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ascii="Times New Roman" w:hAnsi="Times New Roman" w:eastAsia="幼圆" w:cs="Times New Roman"/>
          <w:bCs/>
          <w:sz w:val="24"/>
        </w:rPr>
      </w:pPr>
    </w:p>
    <w:p>
      <w:pPr>
        <w:pStyle w:val="2"/>
        <w:spacing w:before="0" w:after="0" w:line="520" w:lineRule="exact"/>
        <w:rPr>
          <w:rFonts w:hint="eastAsia" w:ascii="方正小标宋简体" w:hAnsi="方正小标宋简体" w:cs="方正小标宋简体"/>
          <w:b w:val="0"/>
        </w:rPr>
      </w:pPr>
      <w:bookmarkStart w:id="0" w:name="_Hlk25274109"/>
      <w:r>
        <w:rPr>
          <w:rFonts w:hint="eastAsia" w:ascii="方正小标宋简体" w:hAnsi="方正小标宋简体" w:cs="方正小标宋简体"/>
          <w:b w:val="0"/>
        </w:rPr>
        <w:t>常州市其他食品（DHA藻油）</w:t>
      </w:r>
      <w:bookmarkEnd w:id="0"/>
      <w:r>
        <w:rPr>
          <w:rFonts w:hint="eastAsia" w:ascii="方正小标宋简体" w:hAnsi="方正小标宋简体" w:cs="方正小标宋简体"/>
          <w:b w:val="0"/>
        </w:rPr>
        <w:t>生产许可</w:t>
      </w:r>
    </w:p>
    <w:p>
      <w:pPr>
        <w:pStyle w:val="2"/>
        <w:spacing w:before="0" w:after="0" w:line="520" w:lineRule="exact"/>
        <w:rPr>
          <w:rFonts w:hint="eastAsia" w:ascii="方正小标宋简体" w:hAnsi="方正小标宋简体" w:cs="方正小标宋简体"/>
          <w:b w:val="0"/>
        </w:rPr>
      </w:pPr>
      <w:r>
        <w:rPr>
          <w:rFonts w:hint="eastAsia" w:ascii="方正小标宋简体" w:hAnsi="方正小标宋简体" w:cs="方正小标宋简体"/>
          <w:b w:val="0"/>
        </w:rPr>
        <w:t>审查细则</w:t>
      </w:r>
    </w:p>
    <w:p>
      <w:pPr>
        <w:pStyle w:val="2"/>
        <w:spacing w:before="0" w:after="0" w:line="520" w:lineRule="exact"/>
        <w:rPr>
          <w:rFonts w:ascii="Times New Roman" w:hAnsi="Times New Roman" w:eastAsia="幼圆" w:cs="Times New Roman"/>
          <w:b w:val="0"/>
          <w:sz w:val="30"/>
          <w:szCs w:val="30"/>
        </w:rPr>
      </w:pPr>
      <w:r>
        <w:rPr>
          <w:rFonts w:hint="eastAsia" w:ascii="楷体_GB2312" w:hAnsi="楷体_GB2312" w:eastAsia="楷体_GB2312" w:cs="楷体_GB2312"/>
          <w:b w:val="0"/>
          <w:sz w:val="32"/>
          <w:szCs w:val="32"/>
        </w:rPr>
        <w:t>（征求意见稿）</w:t>
      </w:r>
    </w:p>
    <w:p>
      <w:pPr>
        <w:spacing w:line="520" w:lineRule="exact"/>
        <w:jc w:val="center"/>
        <w:rPr>
          <w:rFonts w:ascii="Times New Roman" w:hAnsi="Times New Roman" w:eastAsia="幼圆" w:cs="Times New Roman"/>
          <w:sz w:val="24"/>
        </w:rPr>
      </w:pPr>
    </w:p>
    <w:p>
      <w:pPr>
        <w:pStyle w:val="3"/>
        <w:spacing w:before="200" w:after="200" w:line="520" w:lineRule="exact"/>
        <w:jc w:val="center"/>
        <w:rPr>
          <w:rFonts w:hint="eastAsia" w:ascii="仿宋_GB2312" w:hAnsi="仿宋_GB2312" w:eastAsia="仿宋_GB2312" w:cs="仿宋_GB2312"/>
          <w:b w:val="0"/>
        </w:rPr>
      </w:pPr>
      <w:r>
        <w:rPr>
          <w:rFonts w:hint="eastAsia" w:ascii="楷体_GB2312" w:hAnsi="楷体_GB2312" w:eastAsia="楷体_GB2312" w:cs="楷体_GB2312"/>
          <w:b w:val="0"/>
        </w:rPr>
        <w:t>第一章 总则</w:t>
      </w:r>
    </w:p>
    <w:p>
      <w:pPr>
        <w:pStyle w:val="7"/>
        <w:numPr>
          <w:ilvl w:val="0"/>
          <w:numId w:val="2"/>
        </w:numPr>
        <w:ind w:firstLineChars="0"/>
        <w:rPr>
          <w:rFonts w:hint="eastAsia"/>
        </w:rPr>
      </w:pPr>
      <w:r>
        <w:rPr>
          <w:rFonts w:hint="eastAsia"/>
        </w:rPr>
        <w:t>为了做好其他食品（DHA藻油）生产许可审查工作，依据《中华人民共和国食品安全法》及其实施条例、《食品生产许可管理办法》、《食品生产许可审查通则》（以下简称通则）等有关法律法规、规章和食品安全国家标准，制定其他食品（DHA藻油）生产许可审查细则（以下简称细则）。</w:t>
      </w:r>
    </w:p>
    <w:p>
      <w:pPr>
        <w:pStyle w:val="7"/>
        <w:numPr>
          <w:ilvl w:val="0"/>
          <w:numId w:val="2"/>
        </w:numPr>
        <w:ind w:firstLineChars="0"/>
        <w:rPr>
          <w:rFonts w:hint="eastAsia"/>
        </w:rPr>
      </w:pPr>
      <w:r>
        <w:rPr>
          <w:rFonts w:hint="eastAsia"/>
        </w:rPr>
        <w:t>本细则应与通则结合使用，适用于脂禾生物科技（常州）有限公司其他食品（DHA藻油）生产许可审查工作。仅有包装场地、工序、设备，没有完整的生产条件，不予生产许可。</w:t>
      </w:r>
    </w:p>
    <w:p>
      <w:pPr>
        <w:pStyle w:val="7"/>
        <w:numPr>
          <w:ilvl w:val="0"/>
          <w:numId w:val="2"/>
        </w:numPr>
        <w:ind w:firstLineChars="0"/>
        <w:rPr>
          <w:rFonts w:hint="eastAsia"/>
        </w:rPr>
      </w:pPr>
      <w:r>
        <w:rPr>
          <w:rFonts w:hint="eastAsia"/>
        </w:rPr>
        <w:t>本细则所称其他食品（DHA藻油），是指以利用裂壶藻或者吾肯氏壶藻或者寇氏隐甲藻等藻种,经生物发酵、分离、提纯等工艺生产的一种可供食用的富含DHA的油脂（以下简称产品）。</w:t>
      </w:r>
    </w:p>
    <w:p>
      <w:pPr>
        <w:pStyle w:val="7"/>
        <w:numPr>
          <w:ilvl w:val="0"/>
          <w:numId w:val="2"/>
        </w:numPr>
        <w:ind w:firstLineChars="0"/>
        <w:rPr>
          <w:rFonts w:hint="eastAsia"/>
        </w:rPr>
      </w:pPr>
      <w:r>
        <w:rPr>
          <w:rFonts w:hint="eastAsia"/>
        </w:rPr>
        <w:t>本细则正文中引用的文件、标准通过引用成为本细则的内容。凡是引用文件、标准，其最新版本（包括所有的修改单）适用于本细则。</w:t>
      </w:r>
    </w:p>
    <w:p>
      <w:pPr>
        <w:pStyle w:val="3"/>
        <w:spacing w:before="200" w:after="200" w:line="520" w:lineRule="exact"/>
        <w:jc w:val="center"/>
        <w:rPr>
          <w:rFonts w:hint="eastAsia" w:ascii="楷体_GB2312" w:hAnsi="楷体_GB2312" w:eastAsia="楷体_GB2312" w:cs="楷体_GB2312"/>
          <w:b w:val="0"/>
        </w:rPr>
      </w:pPr>
      <w:r>
        <w:rPr>
          <w:rFonts w:hint="eastAsia" w:ascii="楷体_GB2312" w:hAnsi="楷体_GB2312" w:eastAsia="楷体_GB2312" w:cs="楷体_GB2312"/>
          <w:b w:val="0"/>
        </w:rPr>
        <w:t>第二章 其他食品（DHA藻油）生产许可审查要求</w:t>
      </w:r>
    </w:p>
    <w:p>
      <w:pPr>
        <w:pStyle w:val="7"/>
        <w:rPr>
          <w:rFonts w:hint="eastAsia"/>
        </w:rPr>
      </w:pPr>
      <w:r>
        <w:rPr>
          <w:rFonts w:hint="eastAsia"/>
        </w:rPr>
        <w:t>第一节 许可范围</w:t>
      </w:r>
    </w:p>
    <w:p>
      <w:pPr>
        <w:pStyle w:val="7"/>
        <w:numPr>
          <w:ilvl w:val="0"/>
          <w:numId w:val="2"/>
        </w:numPr>
        <w:ind w:firstLineChars="0"/>
        <w:rPr>
          <w:rFonts w:hint="eastAsia"/>
        </w:rPr>
      </w:pPr>
      <w:r>
        <w:rPr>
          <w:rFonts w:hint="eastAsia"/>
        </w:rPr>
        <w:t>实施食品生产许可管理的其他食品（DHA藻油）的生产许可类别编号3101。</w:t>
      </w:r>
    </w:p>
    <w:p>
      <w:pPr>
        <w:pStyle w:val="7"/>
        <w:rPr>
          <w:rFonts w:hint="eastAsia"/>
        </w:rPr>
      </w:pPr>
      <w:r>
        <w:rPr>
          <w:rFonts w:hint="eastAsia"/>
        </w:rPr>
        <w:t>第二节 生产场所核查</w:t>
      </w:r>
    </w:p>
    <w:p>
      <w:pPr>
        <w:pStyle w:val="7"/>
        <w:numPr>
          <w:ilvl w:val="0"/>
          <w:numId w:val="2"/>
        </w:numPr>
        <w:ind w:firstLineChars="0"/>
        <w:rPr>
          <w:rFonts w:hint="eastAsia"/>
        </w:rPr>
      </w:pPr>
      <w:r>
        <w:rPr>
          <w:rFonts w:hint="eastAsia"/>
        </w:rPr>
        <w:t>生产场所一般应设置菌种培养间、脱包间、发酵提纯间、冬化间、过滤间、脱臭间、软水间、包装间、外包间、原辅料及包材仓库、成品仓库。</w:t>
      </w:r>
    </w:p>
    <w:p>
      <w:pPr>
        <w:pStyle w:val="7"/>
        <w:numPr>
          <w:ilvl w:val="0"/>
          <w:numId w:val="2"/>
        </w:numPr>
        <w:ind w:firstLineChars="0"/>
        <w:rPr>
          <w:rFonts w:hint="eastAsia"/>
        </w:rPr>
      </w:pPr>
      <w:r>
        <w:rPr>
          <w:rFonts w:hint="eastAsia"/>
        </w:rPr>
        <w:t>生产车间依其清洁度要求一般分为：非食品生产处理区（办公室、配电、动力装备等），一般作业区（仓储区、脱包间、外包间、检验室等），准清洁作业区（菌种培养间、软水间、发酵提纯间、冬化间、过滤间、脱臭间），清洁作业区（包装间）。</w:t>
      </w:r>
    </w:p>
    <w:p>
      <w:pPr>
        <w:pStyle w:val="7"/>
        <w:numPr>
          <w:ilvl w:val="0"/>
          <w:numId w:val="2"/>
        </w:numPr>
        <w:ind w:firstLineChars="0"/>
        <w:rPr>
          <w:rFonts w:hint="eastAsia"/>
          <w:b/>
        </w:rPr>
      </w:pPr>
      <w:r>
        <w:rPr>
          <w:rFonts w:hint="eastAsia"/>
        </w:rPr>
        <w:t>生产场所或生产车间入口处应设置更衣室，洗手、干手和消毒设施，换鞋（穿戴鞋套）或工作鞋靴消毒设施。</w:t>
      </w:r>
    </w:p>
    <w:p>
      <w:pPr>
        <w:pStyle w:val="7"/>
        <w:numPr>
          <w:ilvl w:val="0"/>
          <w:numId w:val="2"/>
        </w:numPr>
        <w:ind w:firstLineChars="0"/>
        <w:rPr>
          <w:rFonts w:hint="eastAsia"/>
          <w:b/>
        </w:rPr>
      </w:pPr>
      <w:r>
        <w:rPr>
          <w:rFonts w:hint="eastAsia"/>
        </w:rPr>
        <w:t>清洁作业区入口应设置更衣区，洗手、干手和（或）消毒设施，换鞋（穿戴鞋套）或工作鞋靴消毒设施。</w:t>
      </w:r>
    </w:p>
    <w:p>
      <w:pPr>
        <w:pStyle w:val="28"/>
        <w:numPr>
          <w:ilvl w:val="0"/>
          <w:numId w:val="2"/>
        </w:numPr>
        <w:spacing w:before="200" w:line="520" w:lineRule="exact"/>
        <w:ind w:firstLineChars="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清洁作业区需安装初效和中效空气净化设备，洁净度达到十万级。</w:t>
      </w:r>
    </w:p>
    <w:p>
      <w:pPr>
        <w:pStyle w:val="28"/>
        <w:numPr>
          <w:ilvl w:val="0"/>
          <w:numId w:val="2"/>
        </w:numPr>
        <w:spacing w:before="200" w:line="520" w:lineRule="exact"/>
        <w:ind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准清洁作业区及清洁作业区与其他作业区应相对密闭，清洁作业区应设有空气处理装置和空气消毒设施。</w:t>
      </w:r>
    </w:p>
    <w:p>
      <w:pPr>
        <w:pStyle w:val="7"/>
        <w:rPr>
          <w:rFonts w:hint="eastAsia"/>
        </w:rPr>
      </w:pPr>
      <w:r>
        <w:rPr>
          <w:rFonts w:hint="eastAsia"/>
        </w:rPr>
        <w:t>第三节 设备设施核查</w:t>
      </w:r>
    </w:p>
    <w:p>
      <w:pPr>
        <w:pStyle w:val="28"/>
        <w:numPr>
          <w:ilvl w:val="0"/>
          <w:numId w:val="2"/>
        </w:numPr>
        <w:spacing w:before="200" w:line="520" w:lineRule="exact"/>
        <w:ind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生产设备根据实际工艺需要配备，一般包括：称量设备、菌种培养设备、发酵设备、分离设备、脱胶碱炼设备、脱色设备、冬化过滤设备、脱臭设备、包装设备及制水、制气等辅助设备。</w:t>
      </w:r>
    </w:p>
    <w:p>
      <w:pPr>
        <w:pStyle w:val="7"/>
        <w:numPr>
          <w:ilvl w:val="0"/>
          <w:numId w:val="2"/>
        </w:numPr>
        <w:ind w:firstLineChars="0"/>
        <w:rPr>
          <w:rFonts w:hint="eastAsia"/>
        </w:rPr>
      </w:pPr>
      <w:r>
        <w:rPr>
          <w:rFonts w:hint="eastAsia"/>
        </w:rPr>
        <w:t>其他食品（DHA藻油）生产企业应具有的检验设备至少包括：真空泵、干燥箱、培养箱、水浴锅、分析天平（0.1mg）、天平（0.1g）、酸度计、紫外分光光度计、气相色谱仪等。检验室应当布局合理，检验设备的数量、性能、精度应当满足相应的检验需求。</w:t>
      </w:r>
    </w:p>
    <w:p>
      <w:pPr>
        <w:pStyle w:val="7"/>
        <w:rPr>
          <w:rFonts w:hint="eastAsia"/>
        </w:rPr>
      </w:pPr>
      <w:r>
        <w:rPr>
          <w:rFonts w:hint="eastAsia"/>
        </w:rPr>
        <w:t>第四节 设备布局和工艺流程</w:t>
      </w:r>
    </w:p>
    <w:p>
      <w:pPr>
        <w:pStyle w:val="7"/>
        <w:numPr>
          <w:ilvl w:val="0"/>
          <w:numId w:val="2"/>
        </w:numPr>
        <w:ind w:firstLineChars="0"/>
        <w:rPr>
          <w:rFonts w:hint="eastAsia"/>
        </w:rPr>
      </w:pPr>
      <w:r>
        <w:rPr>
          <w:rFonts w:hint="eastAsia"/>
        </w:rPr>
        <w:t>设备布局应按工艺流程设计，一般包括：原料验收、配料、菌种培养、发酵、分离、脱胶碱炼、脱色、冬化过滤、脱臭和包装等工艺。工艺流程必须科学合理，符合相关规定。</w:t>
      </w:r>
    </w:p>
    <w:p>
      <w:pPr>
        <w:pStyle w:val="28"/>
        <w:numPr>
          <w:ilvl w:val="0"/>
          <w:numId w:val="2"/>
        </w:numPr>
        <w:spacing w:before="200" w:line="520" w:lineRule="exact"/>
        <w:ind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应对生产过程中的质量安全关键点（原辅料及菌种、发酵、脱胶碱炼、</w:t>
      </w:r>
      <w:bookmarkStart w:id="1" w:name="_Hlk181602006"/>
      <w:r>
        <w:rPr>
          <w:rFonts w:hint="eastAsia" w:ascii="仿宋_GB2312" w:hAnsi="仿宋_GB2312" w:eastAsia="仿宋_GB2312" w:cs="仿宋_GB2312"/>
          <w:sz w:val="32"/>
          <w:szCs w:val="32"/>
        </w:rPr>
        <w:t>冬化过滤</w:t>
      </w:r>
      <w:bookmarkEnd w:id="1"/>
      <w:r>
        <w:rPr>
          <w:rFonts w:hint="eastAsia" w:ascii="仿宋_GB2312" w:hAnsi="仿宋_GB2312" w:eastAsia="仿宋_GB2312" w:cs="仿宋_GB2312"/>
          <w:sz w:val="32"/>
          <w:szCs w:val="32"/>
        </w:rPr>
        <w:t>、灌装）进行控制，处理后的产品应达到生产工艺要求，监控并记录各项指标。</w:t>
      </w:r>
    </w:p>
    <w:p>
      <w:pPr>
        <w:spacing w:before="200" w:line="520" w:lineRule="exact"/>
        <w:ind w:left="29"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辅料、菌种控制。应严格按标准及有关规定控制食品安全指标；菌种应有鉴定保藏证明，原始菌种用菌种保藏管分装，原始菌种于-10℃下储存。对工作菌株培养的温度、酸度、转速和时间、菌体形态和菌液浓度进行记录。</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发酵控制。使用发酵罐，发酵条件必须满足生产工艺要求，持续监控发酵时间，观察菌体形态和检测菌液浓度并记录。发酵用水采用公共供水系统的水。培养温度控制在28±2℃，培养时间不低于48小时。</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脱胶碱炼。使用炼油锅，发酵结束后加入氢氧化钠等原料，温度维持在60-90℃，反应时间不低于20分钟，沉降时间不低于2小时。</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脱色。使用脱色锅，温度不低于60℃，反应时间不低于20分钟。</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冬化过滤。使用冬化结晶罐、板框过滤机，温度不高于5℃，养晶时间不低于48小时。</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脱臭。使用脱臭塔，温度不低于160℃，脱臭时间不低于1小时。</w:t>
      </w:r>
    </w:p>
    <w:p>
      <w:pPr>
        <w:pStyle w:val="27"/>
        <w:spacing w:before="200" w:line="520" w:lineRule="exact"/>
        <w:ind w:left="0"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灌装。产品经过程检验后，在包装间计量灌装，包装过程中，应检抽检净含量，确保灌装后产品密封良好，计量准确，标签信息符合标准。</w:t>
      </w:r>
    </w:p>
    <w:p>
      <w:pPr>
        <w:pStyle w:val="4"/>
        <w:widowControl w:val="0"/>
        <w:spacing w:before="200" w:beforeAutospacing="0" w:afterAutospacing="0" w:line="520" w:lineRule="exact"/>
        <w:jc w:val="center"/>
        <w:rPr>
          <w:rFonts w:hint="eastAsia" w:ascii="仿宋_GB2312" w:hAnsi="仿宋_GB2312" w:eastAsia="仿宋_GB2312" w:cs="仿宋_GB2312"/>
          <w:b w:val="0"/>
          <w:bCs w:val="0"/>
          <w:szCs w:val="32"/>
        </w:rPr>
      </w:pPr>
      <w:r>
        <w:rPr>
          <w:rFonts w:hint="eastAsia" w:ascii="仿宋_GB2312" w:hAnsi="仿宋_GB2312" w:eastAsia="仿宋_GB2312" w:cs="仿宋_GB2312"/>
          <w:b w:val="0"/>
          <w:bCs w:val="0"/>
          <w:kern w:val="2"/>
          <w:szCs w:val="32"/>
        </w:rPr>
        <w:t>第五节 人员核查</w:t>
      </w:r>
    </w:p>
    <w:p>
      <w:pPr>
        <w:pStyle w:val="7"/>
        <w:numPr>
          <w:ilvl w:val="0"/>
          <w:numId w:val="2"/>
        </w:numPr>
        <w:ind w:firstLineChars="0"/>
        <w:rPr>
          <w:rFonts w:hint="eastAsia"/>
        </w:rPr>
      </w:pPr>
      <w:bookmarkStart w:id="2" w:name="_Hlk25269794"/>
      <w:r>
        <w:rPr>
          <w:rFonts w:hint="eastAsia"/>
        </w:rPr>
        <w:t>应当配备专职或兼职食品安全管理人员和食品安全专业技术人员，明确其职责。人员要求应当符合有关规定。</w:t>
      </w:r>
      <w:bookmarkEnd w:id="2"/>
    </w:p>
    <w:p>
      <w:pPr>
        <w:pStyle w:val="4"/>
        <w:widowControl w:val="0"/>
        <w:spacing w:before="200" w:beforeAutospacing="0" w:afterAutospacing="0" w:line="520" w:lineRule="exact"/>
        <w:jc w:val="center"/>
        <w:rPr>
          <w:rFonts w:hint="eastAsia" w:ascii="仿宋_GB2312" w:hAnsi="仿宋_GB2312" w:eastAsia="仿宋_GB2312" w:cs="仿宋_GB2312"/>
          <w:szCs w:val="32"/>
        </w:rPr>
      </w:pPr>
      <w:r>
        <w:rPr>
          <w:rFonts w:hint="eastAsia" w:ascii="仿宋_GB2312" w:hAnsi="仿宋_GB2312" w:eastAsia="仿宋_GB2312" w:cs="仿宋_GB2312"/>
          <w:b w:val="0"/>
          <w:bCs w:val="0"/>
          <w:kern w:val="2"/>
          <w:szCs w:val="32"/>
        </w:rPr>
        <w:t>第六节 管理制度审查</w:t>
      </w:r>
    </w:p>
    <w:p>
      <w:pPr>
        <w:pStyle w:val="28"/>
        <w:numPr>
          <w:ilvl w:val="0"/>
          <w:numId w:val="2"/>
        </w:numPr>
        <w:spacing w:before="200" w:line="520" w:lineRule="exact"/>
        <w:ind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应当建立进货查验记录制度，对原辅料、包装容器供应商进行审核，并定期进行审核评估；应在和供应商签订的合同中明确双方承担的食品安全责任。包装容器应符合相应食品安全国家标准和相应产品标准的要求。</w:t>
      </w:r>
    </w:p>
    <w:p>
      <w:pPr>
        <w:pStyle w:val="7"/>
        <w:numPr>
          <w:ilvl w:val="0"/>
          <w:numId w:val="2"/>
        </w:numPr>
        <w:ind w:firstLineChars="0"/>
        <w:rPr>
          <w:rFonts w:hint="eastAsia"/>
        </w:rPr>
      </w:pPr>
      <w:r>
        <w:rPr>
          <w:rFonts w:hint="eastAsia"/>
        </w:rPr>
        <w:t>应当建立生产过程控制制度，制定所需的操作规程或作业指导书， 明确原料（如领料、投料、余料管理等）、称量、生产、工器具清洗消毒、储运和交付等环节质量安全进行管控。</w:t>
      </w:r>
    </w:p>
    <w:p>
      <w:pPr>
        <w:pStyle w:val="7"/>
        <w:rPr>
          <w:rFonts w:hint="eastAsia"/>
        </w:rPr>
      </w:pPr>
      <w:r>
        <w:rPr>
          <w:rFonts w:hint="eastAsia"/>
        </w:rPr>
        <w:t>应当制定有效的清洗、消毒方法和管理制度并验证，保证生产场所、生产设备、包装容器、工作服和人员的清洁卫生和安全，防止产品及包装在生产过程中被污染。</w:t>
      </w:r>
    </w:p>
    <w:p>
      <w:pPr>
        <w:pStyle w:val="7"/>
        <w:numPr>
          <w:ilvl w:val="0"/>
          <w:numId w:val="2"/>
        </w:numPr>
        <w:ind w:firstLineChars="0"/>
        <w:rPr>
          <w:rFonts w:hint="eastAsia"/>
        </w:rPr>
      </w:pPr>
      <w:r>
        <w:rPr>
          <w:rFonts w:hint="eastAsia"/>
        </w:rPr>
        <w:t>应当制定检验管理制度，包括对原辅料、过程、出厂检验的管理规定，确保产品符合食品安全标准要求。</w:t>
      </w:r>
    </w:p>
    <w:p>
      <w:pPr>
        <w:pStyle w:val="7"/>
        <w:rPr>
          <w:rFonts w:hint="eastAsia"/>
        </w:rPr>
      </w:pPr>
      <w:r>
        <w:rPr>
          <w:rFonts w:hint="eastAsia"/>
        </w:rPr>
        <w:t>DHA藻油企业的出厂检验项目为感官、DHA含量、水分及挥发物含量、不溶性杂质含量、酸价、过氧化值、不皂化物、反式脂肪酸、溶剂残留量。</w:t>
      </w:r>
    </w:p>
    <w:p>
      <w:pPr>
        <w:pStyle w:val="7"/>
        <w:rPr>
          <w:rFonts w:hint="eastAsia"/>
        </w:rPr>
      </w:pPr>
      <w:r>
        <w:rPr>
          <w:rFonts w:hint="eastAsia"/>
        </w:rPr>
        <w:t>企业可以使用快速检测方法及设备，但应保证检测结果准确。使用快速检测方法及设备做检验时，应定期与国家标准规定的检验方法比对或验证。快速检测结果不合格时，应使用国家标准规定的检验方法进行确认。委托检验的，应当委托有资质的机构进行检验。</w:t>
      </w:r>
    </w:p>
    <w:p>
      <w:pPr>
        <w:pStyle w:val="7"/>
        <w:numPr>
          <w:ilvl w:val="0"/>
          <w:numId w:val="2"/>
        </w:numPr>
        <w:ind w:firstLineChars="0"/>
        <w:rPr>
          <w:rFonts w:hint="eastAsia"/>
        </w:rPr>
      </w:pPr>
      <w:r>
        <w:rPr>
          <w:rFonts w:hint="eastAsia"/>
        </w:rPr>
        <w:t>应当建立并执行运输和交付管理制度，规定根据产品特点、贮存要求、运输条件选择适宜的运输方式，并做好交付记录。委托运输的，应当对受托方的食品安全保障能力进行审核。</w:t>
      </w:r>
    </w:p>
    <w:p>
      <w:pPr>
        <w:pStyle w:val="7"/>
        <w:numPr>
          <w:ilvl w:val="0"/>
          <w:numId w:val="2"/>
        </w:numPr>
        <w:ind w:firstLineChars="0"/>
        <w:rPr>
          <w:rFonts w:hint="eastAsia"/>
        </w:rPr>
      </w:pPr>
      <w:r>
        <w:rPr>
          <w:rFonts w:hint="eastAsia"/>
        </w:rPr>
        <w:t>应制定</w:t>
      </w:r>
      <w:r>
        <w:rPr>
          <w:rFonts w:hint="eastAsia"/>
          <w:lang w:val="zh-CN"/>
        </w:rPr>
        <w:t>食品安全事故处置</w:t>
      </w:r>
      <w:r>
        <w:rPr>
          <w:rFonts w:hint="eastAsia"/>
        </w:rPr>
        <w:t>管理制度。明确食品安全事故的种类及应急处理的措施，并组织定期演练，以便于能保证在出现食品安全事故时，能及时作出响应和持续改进。</w:t>
      </w:r>
    </w:p>
    <w:p>
      <w:pPr>
        <w:pStyle w:val="7"/>
        <w:numPr>
          <w:ilvl w:val="0"/>
          <w:numId w:val="2"/>
        </w:numPr>
        <w:ind w:firstLineChars="0"/>
        <w:rPr>
          <w:rFonts w:hint="eastAsia"/>
          <w:lang w:val="zh-CN"/>
        </w:rPr>
      </w:pPr>
      <w:r>
        <w:rPr>
          <w:rFonts w:hint="eastAsia"/>
          <w:lang w:val="zh-CN"/>
        </w:rPr>
        <w:t>应当建立并执行食品安全追溯管理体系，记录并保存法律、法规及标准等规定的信息，保证产品可追溯。</w:t>
      </w:r>
    </w:p>
    <w:p>
      <w:pPr>
        <w:pStyle w:val="7"/>
        <w:numPr>
          <w:ilvl w:val="0"/>
          <w:numId w:val="2"/>
        </w:numPr>
        <w:ind w:firstLineChars="0"/>
        <w:rPr>
          <w:rFonts w:hint="eastAsia"/>
          <w:lang w:val="zh-CN"/>
        </w:rPr>
      </w:pPr>
      <w:r>
        <w:rPr>
          <w:rFonts w:hint="eastAsia"/>
          <w:lang w:val="zh-CN"/>
        </w:rPr>
        <w:t>应当建立并执行食品安全自查制度，规定对食品安全状况定期进行检查评价，并根据评价结果采取相应的处理措施。有发生食品安全事故潜在风险的，应当立即停止食品生产活动，并向所在地县级市场监督管理部门报告。</w:t>
      </w:r>
    </w:p>
    <w:p>
      <w:pPr>
        <w:pStyle w:val="7"/>
        <w:numPr>
          <w:ilvl w:val="0"/>
          <w:numId w:val="2"/>
        </w:numPr>
        <w:ind w:firstLineChars="0"/>
        <w:rPr>
          <w:rFonts w:hint="eastAsia"/>
          <w:lang w:val="zh-CN"/>
        </w:rPr>
      </w:pPr>
      <w:r>
        <w:rPr>
          <w:rFonts w:hint="eastAsia"/>
          <w:lang w:val="zh-CN"/>
        </w:rPr>
        <w:t>应当建立并执行不合格品管理制度，规定原料、半成品、成品及食品相关产品中不合格品的管理要求和处置措施。</w:t>
      </w:r>
    </w:p>
    <w:p>
      <w:pPr>
        <w:pStyle w:val="7"/>
        <w:numPr>
          <w:ilvl w:val="0"/>
          <w:numId w:val="2"/>
        </w:numPr>
        <w:ind w:firstLineChars="0"/>
        <w:rPr>
          <w:rFonts w:hint="eastAsia"/>
          <w:lang w:val="zh-CN"/>
        </w:rPr>
      </w:pPr>
      <w:r>
        <w:rPr>
          <w:rFonts w:hint="eastAsia"/>
          <w:lang w:val="zh-CN"/>
        </w:rPr>
        <w:t>应当建立并执行不安全食品召回制度，规定停止生产、通知相关生产经营者和消费者、召回和处置不安全食 品的相关要求，记录召回和通知情况。</w:t>
      </w:r>
    </w:p>
    <w:p>
      <w:pPr>
        <w:pStyle w:val="7"/>
        <w:numPr>
          <w:ilvl w:val="0"/>
          <w:numId w:val="2"/>
        </w:numPr>
        <w:ind w:firstLineChars="0"/>
        <w:rPr>
          <w:rFonts w:hint="eastAsia"/>
          <w:lang w:val="zh-CN"/>
        </w:rPr>
      </w:pPr>
      <w:r>
        <w:rPr>
          <w:rFonts w:hint="eastAsia"/>
          <w:lang w:val="zh-CN"/>
        </w:rPr>
        <w:t>应当建立食品安全事故处置方案，规定食品安全事故处置措施及向事故发生地县级市场监督管理部门和卫生行政部门报告的要求。</w:t>
      </w:r>
    </w:p>
    <w:p>
      <w:pPr>
        <w:pStyle w:val="7"/>
        <w:numPr>
          <w:ilvl w:val="0"/>
          <w:numId w:val="2"/>
        </w:numPr>
        <w:ind w:firstLineChars="0"/>
        <w:rPr>
          <w:rFonts w:hint="eastAsia"/>
        </w:rPr>
      </w:pPr>
      <w:r>
        <w:rPr>
          <w:rFonts w:hint="eastAsia"/>
          <w:lang w:val="zh-CN"/>
        </w:rPr>
        <w:t>应当建立人员培训制度。制定和实施职工培训计划，根据岗位需求开展食品安全知识及卫生培训，做好培训记录。食品安全管理人员上岗前应当经过培训，并考核合格。</w:t>
      </w:r>
    </w:p>
    <w:p>
      <w:pPr>
        <w:pStyle w:val="7"/>
        <w:numPr>
          <w:ilvl w:val="0"/>
          <w:numId w:val="2"/>
        </w:numPr>
        <w:ind w:firstLineChars="0"/>
        <w:rPr>
          <w:rFonts w:hint="eastAsia"/>
        </w:rPr>
      </w:pPr>
      <w:r>
        <w:rPr>
          <w:rFonts w:hint="eastAsia"/>
        </w:rPr>
        <w:t>应当建立并执行从业人员健康管理制度。明确患有国务院卫生行政部门规定的有碍食品安全疾病的或有明显皮肤损伤未愈合的人员，不得从事接触直接入口食品的工作。从事接触直接入口食品工作的食品生产人员 应当每年进行健康检查，取得健康证明后方可上岗工作。</w:t>
      </w:r>
    </w:p>
    <w:p>
      <w:pPr>
        <w:pStyle w:val="7"/>
        <w:numPr>
          <w:ilvl w:val="0"/>
          <w:numId w:val="2"/>
        </w:numPr>
        <w:ind w:firstLineChars="0"/>
        <w:rPr>
          <w:rFonts w:hint="eastAsia"/>
        </w:rPr>
      </w:pPr>
      <w:r>
        <w:rPr>
          <w:rFonts w:hint="eastAsia"/>
        </w:rPr>
        <w:t>应当建立并执行菌种管理制度。明确菌种的保藏、储存、检查、销毁等相关要求。</w:t>
      </w:r>
    </w:p>
    <w:p>
      <w:pPr>
        <w:pStyle w:val="3"/>
        <w:spacing w:before="200" w:after="200" w:line="520" w:lineRule="exact"/>
        <w:jc w:val="center"/>
        <w:rPr>
          <w:rFonts w:hint="eastAsia" w:ascii="仿宋_GB2312" w:hAnsi="仿宋_GB2312" w:eastAsia="仿宋_GB2312" w:cs="仿宋_GB2312"/>
          <w:b w:val="0"/>
          <w:bCs w:val="0"/>
        </w:rPr>
      </w:pPr>
      <w:r>
        <w:rPr>
          <w:rFonts w:hint="eastAsia" w:ascii="仿宋_GB2312" w:hAnsi="仿宋_GB2312" w:eastAsia="仿宋_GB2312" w:cs="仿宋_GB2312"/>
          <w:b w:val="0"/>
          <w:bCs w:val="0"/>
        </w:rPr>
        <w:t>第七节 试制产品检验</w:t>
      </w:r>
    </w:p>
    <w:p>
      <w:pPr>
        <w:pStyle w:val="7"/>
        <w:numPr>
          <w:ilvl w:val="0"/>
          <w:numId w:val="2"/>
        </w:numPr>
        <w:ind w:firstLineChars="0"/>
        <w:rPr>
          <w:rFonts w:hint="eastAsia"/>
        </w:rPr>
      </w:pPr>
      <w:r>
        <w:rPr>
          <w:rFonts w:hint="eastAsia"/>
        </w:rPr>
        <w:t>按所申报其他食品（DHA藻油）执行标准，分别从同一规格、同一批次的试制产品中抽取具有代表性的样品检验。</w:t>
      </w:r>
    </w:p>
    <w:p>
      <w:pPr>
        <w:pStyle w:val="7"/>
        <w:numPr>
          <w:ilvl w:val="0"/>
          <w:numId w:val="2"/>
        </w:numPr>
        <w:ind w:firstLineChars="0"/>
        <w:rPr>
          <w:rFonts w:hint="eastAsia"/>
        </w:rPr>
      </w:pPr>
      <w:r>
        <w:rPr>
          <w:rFonts w:hint="eastAsia"/>
        </w:rPr>
        <w:t>企业应对提供的检验报告真实性负责；检验项目按产品适用的食品安全国家标准、行业标准及国务院卫生行政部门的相关公告要求进行。</w:t>
      </w:r>
    </w:p>
    <w:p>
      <w:pPr>
        <w:pStyle w:val="3"/>
        <w:spacing w:before="200" w:after="200" w:line="520" w:lineRule="exact"/>
        <w:jc w:val="center"/>
        <w:rPr>
          <w:rFonts w:hint="eastAsia" w:ascii="仿宋_GB2312" w:hAnsi="仿宋_GB2312" w:eastAsia="仿宋_GB2312" w:cs="仿宋_GB2312"/>
          <w:b w:val="0"/>
        </w:rPr>
      </w:pPr>
      <w:r>
        <w:rPr>
          <w:rFonts w:hint="eastAsia" w:ascii="楷体_GB2312" w:hAnsi="楷体_GB2312" w:eastAsia="楷体_GB2312" w:cs="楷体_GB2312"/>
          <w:b w:val="0"/>
        </w:rPr>
        <w:t>第三章 附则</w:t>
      </w:r>
    </w:p>
    <w:p>
      <w:pPr>
        <w:pStyle w:val="7"/>
        <w:numPr>
          <w:ilvl w:val="0"/>
          <w:numId w:val="2"/>
        </w:numPr>
        <w:ind w:firstLineChars="0"/>
        <w:rPr>
          <w:rFonts w:hint="eastAsia"/>
        </w:rPr>
      </w:pPr>
      <w:r>
        <w:rPr>
          <w:rFonts w:hint="eastAsia"/>
        </w:rPr>
        <w:t>其他食品（DHA藻油）适用标准：DHA藻油产品执行</w:t>
      </w:r>
      <w:r>
        <w:t>LS/T 3243</w:t>
      </w:r>
      <w:r>
        <w:rPr>
          <w:rFonts w:hint="eastAsia"/>
        </w:rPr>
        <w:t>《DHA藻油》。</w:t>
      </w:r>
    </w:p>
    <w:p>
      <w:pPr>
        <w:pStyle w:val="7"/>
        <w:numPr>
          <w:ilvl w:val="0"/>
          <w:numId w:val="2"/>
        </w:numPr>
        <w:ind w:firstLineChars="0"/>
        <w:rPr>
          <w:rFonts w:hint="eastAsia"/>
        </w:rPr>
      </w:pPr>
      <w:r>
        <w:rPr>
          <w:rFonts w:hint="eastAsia"/>
        </w:rPr>
        <w:t>本细则自2024年</w:t>
      </w:r>
      <w:r>
        <w:rPr>
          <w:rFonts w:hint="eastAsia"/>
          <w:lang w:val="en-US" w:eastAsia="zh-CN"/>
        </w:rPr>
        <w:t>*</w:t>
      </w:r>
      <w:r>
        <w:rPr>
          <w:rFonts w:hint="eastAsia"/>
        </w:rPr>
        <w:t>月</w:t>
      </w:r>
      <w:r>
        <w:rPr>
          <w:rFonts w:hint="eastAsia"/>
          <w:lang w:val="en-US" w:eastAsia="zh-CN"/>
        </w:rPr>
        <w:t>*</w:t>
      </w:r>
      <w:r>
        <w:rPr>
          <w:rFonts w:hint="eastAsia"/>
        </w:rPr>
        <w:t>日</w:t>
      </w:r>
      <w:bookmarkStart w:id="3" w:name="_GoBack"/>
      <w:bookmarkEnd w:id="3"/>
      <w:r>
        <w:rPr>
          <w:rFonts w:hint="eastAsia"/>
        </w:rPr>
        <w:t>起实施。</w:t>
      </w:r>
    </w:p>
    <w:sectPr>
      <w:headerReference r:id="rId3" w:type="default"/>
      <w:footerReference r:id="rId4" w:type="default"/>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幼圆">
    <w:altName w:val="宋体"/>
    <w:panose1 w:val="0201050906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69F1F7E"/>
    <w:multiLevelType w:val="multilevel"/>
    <w:tmpl w:val="669F1F7E"/>
    <w:lvl w:ilvl="0" w:tentative="0">
      <w:start w:val="1"/>
      <w:numFmt w:val="chineseCountingThousand"/>
      <w:suff w:val="nothing"/>
      <w:lvlText w:val="第%1条　"/>
      <w:lvlJc w:val="left"/>
      <w:pPr>
        <w:ind w:left="172" w:firstLine="680"/>
      </w:pPr>
      <w:rPr>
        <w:rFonts w:hint="eastAsia" w:ascii="黑体" w:hAnsi="黑体" w:eastAsia="黑体" w:cs="黑体"/>
        <w:b w:val="0"/>
        <w:bCs/>
        <w:i w:val="0"/>
        <w:color w:val="000000" w:themeColor="text1"/>
        <w:sz w:val="32"/>
        <w:szCs w:val="32"/>
        <w:lang w:val="en-US"/>
        <w14:textFill>
          <w14:solidFill>
            <w14:schemeClr w14:val="tx1"/>
          </w14:solidFill>
        </w14:textFill>
      </w:rPr>
    </w:lvl>
    <w:lvl w:ilvl="1" w:tentative="0">
      <w:start w:val="1"/>
      <w:numFmt w:val="chineseCounting"/>
      <w:suff w:val="nothing"/>
      <w:lvlText w:val="第%2节　"/>
      <w:lvlJc w:val="left"/>
      <w:pPr>
        <w:ind w:left="-24" w:firstLine="402"/>
      </w:pPr>
      <w:rPr>
        <w:rFonts w:hint="eastAsia"/>
      </w:rPr>
    </w:lvl>
    <w:lvl w:ilvl="2" w:tentative="0">
      <w:start w:val="1"/>
      <w:numFmt w:val="chineseCounting"/>
      <w:suff w:val="nothing"/>
      <w:lvlText w:val="第%3条　"/>
      <w:lvlJc w:val="left"/>
      <w:pPr>
        <w:ind w:left="-24" w:firstLine="402"/>
      </w:pPr>
      <w:rPr>
        <w:rFonts w:hint="eastAsia"/>
      </w:rPr>
    </w:lvl>
    <w:lvl w:ilvl="3" w:tentative="0">
      <w:start w:val="1"/>
      <w:numFmt w:val="chineseCounting"/>
      <w:suff w:val="nothing"/>
      <w:lvlText w:val="（%4）"/>
      <w:lvlJc w:val="left"/>
      <w:pPr>
        <w:ind w:left="-24" w:firstLine="402"/>
      </w:pPr>
      <w:rPr>
        <w:rFonts w:hint="eastAsia"/>
      </w:rPr>
    </w:lvl>
    <w:lvl w:ilvl="4" w:tentative="0">
      <w:start w:val="1"/>
      <w:numFmt w:val="decimal"/>
      <w:suff w:val="nothing"/>
      <w:lvlText w:val="%5．"/>
      <w:lvlJc w:val="left"/>
      <w:pPr>
        <w:ind w:left="-24" w:firstLine="402"/>
      </w:pPr>
      <w:rPr>
        <w:rFonts w:hint="eastAsia"/>
      </w:rPr>
    </w:lvl>
    <w:lvl w:ilvl="5" w:tentative="0">
      <w:start w:val="1"/>
      <w:numFmt w:val="decimal"/>
      <w:suff w:val="nothing"/>
      <w:lvlText w:val="（%6）"/>
      <w:lvlJc w:val="left"/>
      <w:pPr>
        <w:ind w:left="-24" w:firstLine="402"/>
      </w:pPr>
      <w:rPr>
        <w:rFonts w:hint="eastAsia"/>
      </w:rPr>
    </w:lvl>
    <w:lvl w:ilvl="6" w:tentative="0">
      <w:start w:val="1"/>
      <w:numFmt w:val="decimalEnclosedCircleChinese"/>
      <w:suff w:val="nothing"/>
      <w:lvlText w:val="%7 "/>
      <w:lvlJc w:val="left"/>
      <w:pPr>
        <w:ind w:left="-24" w:firstLine="402"/>
      </w:pPr>
      <w:rPr>
        <w:rFonts w:hint="eastAsia"/>
      </w:rPr>
    </w:lvl>
    <w:lvl w:ilvl="7" w:tentative="0">
      <w:start w:val="1"/>
      <w:numFmt w:val="decimal"/>
      <w:suff w:val="nothing"/>
      <w:lvlText w:val="%8）"/>
      <w:lvlJc w:val="left"/>
      <w:pPr>
        <w:ind w:left="-24" w:firstLine="402"/>
      </w:pPr>
      <w:rPr>
        <w:rFonts w:hint="eastAsia"/>
      </w:rPr>
    </w:lvl>
    <w:lvl w:ilvl="8" w:tentative="0">
      <w:start w:val="1"/>
      <w:numFmt w:val="lowerLetter"/>
      <w:suff w:val="nothing"/>
      <w:lvlText w:val="%9．"/>
      <w:lvlJc w:val="left"/>
      <w:pPr>
        <w:ind w:left="-24" w:firstLine="402"/>
      </w:pPr>
      <w:rPr>
        <w:rFonts w:hint="eastAsia"/>
      </w:rPr>
    </w:lvl>
  </w:abstractNum>
  <w:abstractNum w:abstractNumId="1">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pStyle w:val="24"/>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21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0Y2M2NGQyMmY3Y2QxYzY3ODM1MWU3ZmNhMzk5NDMifQ=="/>
  </w:docVars>
  <w:rsids>
    <w:rsidRoot w:val="00172A27"/>
    <w:rsid w:val="00001C4B"/>
    <w:rsid w:val="0000349D"/>
    <w:rsid w:val="00004E45"/>
    <w:rsid w:val="00010A91"/>
    <w:rsid w:val="00014C9A"/>
    <w:rsid w:val="00015696"/>
    <w:rsid w:val="00015A35"/>
    <w:rsid w:val="00022619"/>
    <w:rsid w:val="00024D28"/>
    <w:rsid w:val="00025C45"/>
    <w:rsid w:val="00030251"/>
    <w:rsid w:val="00035B35"/>
    <w:rsid w:val="00043C74"/>
    <w:rsid w:val="00052ACB"/>
    <w:rsid w:val="0005570F"/>
    <w:rsid w:val="00074451"/>
    <w:rsid w:val="000748A5"/>
    <w:rsid w:val="0008072C"/>
    <w:rsid w:val="000876AD"/>
    <w:rsid w:val="0009489B"/>
    <w:rsid w:val="000A043D"/>
    <w:rsid w:val="000A04B6"/>
    <w:rsid w:val="000A2A61"/>
    <w:rsid w:val="000C5E18"/>
    <w:rsid w:val="000D613C"/>
    <w:rsid w:val="000D6C1D"/>
    <w:rsid w:val="000D7449"/>
    <w:rsid w:val="000E0666"/>
    <w:rsid w:val="000E5383"/>
    <w:rsid w:val="00104DD1"/>
    <w:rsid w:val="00110382"/>
    <w:rsid w:val="00127833"/>
    <w:rsid w:val="001319B9"/>
    <w:rsid w:val="001433F3"/>
    <w:rsid w:val="001442CC"/>
    <w:rsid w:val="00150925"/>
    <w:rsid w:val="00150EA4"/>
    <w:rsid w:val="00162DEE"/>
    <w:rsid w:val="001649A1"/>
    <w:rsid w:val="0016556C"/>
    <w:rsid w:val="001660E6"/>
    <w:rsid w:val="00172A27"/>
    <w:rsid w:val="00176BC5"/>
    <w:rsid w:val="001776BC"/>
    <w:rsid w:val="00177D4A"/>
    <w:rsid w:val="001A0477"/>
    <w:rsid w:val="001A101E"/>
    <w:rsid w:val="001A7635"/>
    <w:rsid w:val="001B78BF"/>
    <w:rsid w:val="001C00D8"/>
    <w:rsid w:val="001C17A8"/>
    <w:rsid w:val="001C6943"/>
    <w:rsid w:val="001F2C68"/>
    <w:rsid w:val="00217885"/>
    <w:rsid w:val="00217AAA"/>
    <w:rsid w:val="00220C08"/>
    <w:rsid w:val="002320D5"/>
    <w:rsid w:val="00233C3F"/>
    <w:rsid w:val="00243195"/>
    <w:rsid w:val="00243E92"/>
    <w:rsid w:val="002562D7"/>
    <w:rsid w:val="00256966"/>
    <w:rsid w:val="00267283"/>
    <w:rsid w:val="00271D87"/>
    <w:rsid w:val="0027253B"/>
    <w:rsid w:val="00286E27"/>
    <w:rsid w:val="00296387"/>
    <w:rsid w:val="00297138"/>
    <w:rsid w:val="002A7EF7"/>
    <w:rsid w:val="002B757F"/>
    <w:rsid w:val="002D1D8E"/>
    <w:rsid w:val="002D3419"/>
    <w:rsid w:val="002D6A3F"/>
    <w:rsid w:val="002D78A1"/>
    <w:rsid w:val="002F46A2"/>
    <w:rsid w:val="002F6640"/>
    <w:rsid w:val="002F7894"/>
    <w:rsid w:val="0030071E"/>
    <w:rsid w:val="00300DCB"/>
    <w:rsid w:val="00301F61"/>
    <w:rsid w:val="00306FC3"/>
    <w:rsid w:val="00314731"/>
    <w:rsid w:val="0031567F"/>
    <w:rsid w:val="0032066D"/>
    <w:rsid w:val="0032117F"/>
    <w:rsid w:val="00321F3E"/>
    <w:rsid w:val="00326F4C"/>
    <w:rsid w:val="00330308"/>
    <w:rsid w:val="00331D57"/>
    <w:rsid w:val="00332805"/>
    <w:rsid w:val="003565A7"/>
    <w:rsid w:val="003616BC"/>
    <w:rsid w:val="00361B85"/>
    <w:rsid w:val="00365F73"/>
    <w:rsid w:val="00374D8D"/>
    <w:rsid w:val="0038033C"/>
    <w:rsid w:val="0038275E"/>
    <w:rsid w:val="003924EF"/>
    <w:rsid w:val="003A0681"/>
    <w:rsid w:val="003A1156"/>
    <w:rsid w:val="003B2D1A"/>
    <w:rsid w:val="003B7B06"/>
    <w:rsid w:val="003E0892"/>
    <w:rsid w:val="00421C32"/>
    <w:rsid w:val="00425F70"/>
    <w:rsid w:val="00440965"/>
    <w:rsid w:val="00441835"/>
    <w:rsid w:val="0044225E"/>
    <w:rsid w:val="00443E2D"/>
    <w:rsid w:val="004440F2"/>
    <w:rsid w:val="004558B9"/>
    <w:rsid w:val="0046386C"/>
    <w:rsid w:val="00467ADA"/>
    <w:rsid w:val="004718FF"/>
    <w:rsid w:val="00471DCA"/>
    <w:rsid w:val="004759B6"/>
    <w:rsid w:val="00476211"/>
    <w:rsid w:val="00482954"/>
    <w:rsid w:val="00482B77"/>
    <w:rsid w:val="00496823"/>
    <w:rsid w:val="004A1B67"/>
    <w:rsid w:val="004A6514"/>
    <w:rsid w:val="004B508A"/>
    <w:rsid w:val="004C143E"/>
    <w:rsid w:val="004C26E9"/>
    <w:rsid w:val="004D179C"/>
    <w:rsid w:val="004E0267"/>
    <w:rsid w:val="004E3059"/>
    <w:rsid w:val="004E5DA9"/>
    <w:rsid w:val="004F1859"/>
    <w:rsid w:val="004F2376"/>
    <w:rsid w:val="004F23F1"/>
    <w:rsid w:val="004F41A2"/>
    <w:rsid w:val="004F6A10"/>
    <w:rsid w:val="005049CB"/>
    <w:rsid w:val="00505CC9"/>
    <w:rsid w:val="0050717E"/>
    <w:rsid w:val="00513B8B"/>
    <w:rsid w:val="00514DC1"/>
    <w:rsid w:val="005158B5"/>
    <w:rsid w:val="00527E62"/>
    <w:rsid w:val="00530F6F"/>
    <w:rsid w:val="005311E6"/>
    <w:rsid w:val="00544C89"/>
    <w:rsid w:val="00554172"/>
    <w:rsid w:val="0055784F"/>
    <w:rsid w:val="0057498F"/>
    <w:rsid w:val="00577796"/>
    <w:rsid w:val="00583B3C"/>
    <w:rsid w:val="00587942"/>
    <w:rsid w:val="00592448"/>
    <w:rsid w:val="00593849"/>
    <w:rsid w:val="005966B4"/>
    <w:rsid w:val="005A364A"/>
    <w:rsid w:val="005A6C2C"/>
    <w:rsid w:val="005B2430"/>
    <w:rsid w:val="005B7493"/>
    <w:rsid w:val="005C10A2"/>
    <w:rsid w:val="005C37D4"/>
    <w:rsid w:val="005E0775"/>
    <w:rsid w:val="005E08CE"/>
    <w:rsid w:val="005E2E66"/>
    <w:rsid w:val="005E4E53"/>
    <w:rsid w:val="005E5F0D"/>
    <w:rsid w:val="00601FB4"/>
    <w:rsid w:val="0060373B"/>
    <w:rsid w:val="00606682"/>
    <w:rsid w:val="006066EC"/>
    <w:rsid w:val="00612F43"/>
    <w:rsid w:val="00630CDE"/>
    <w:rsid w:val="0065381A"/>
    <w:rsid w:val="00672D17"/>
    <w:rsid w:val="00681DB5"/>
    <w:rsid w:val="00685FDD"/>
    <w:rsid w:val="006952C3"/>
    <w:rsid w:val="006A46E7"/>
    <w:rsid w:val="006A7535"/>
    <w:rsid w:val="006C155B"/>
    <w:rsid w:val="006C59A4"/>
    <w:rsid w:val="006D3A0F"/>
    <w:rsid w:val="006D6F73"/>
    <w:rsid w:val="006E0ABB"/>
    <w:rsid w:val="006E237D"/>
    <w:rsid w:val="006F1F27"/>
    <w:rsid w:val="0070041C"/>
    <w:rsid w:val="0070326E"/>
    <w:rsid w:val="007137A3"/>
    <w:rsid w:val="00725941"/>
    <w:rsid w:val="00730579"/>
    <w:rsid w:val="00731947"/>
    <w:rsid w:val="00731E18"/>
    <w:rsid w:val="00733649"/>
    <w:rsid w:val="00740FF7"/>
    <w:rsid w:val="00746D86"/>
    <w:rsid w:val="00747AF3"/>
    <w:rsid w:val="00752FAE"/>
    <w:rsid w:val="007606DE"/>
    <w:rsid w:val="00760D39"/>
    <w:rsid w:val="00766A0B"/>
    <w:rsid w:val="007700A6"/>
    <w:rsid w:val="00780ECF"/>
    <w:rsid w:val="00784E13"/>
    <w:rsid w:val="00786C8A"/>
    <w:rsid w:val="00787AB7"/>
    <w:rsid w:val="00792309"/>
    <w:rsid w:val="00792B7D"/>
    <w:rsid w:val="007A1351"/>
    <w:rsid w:val="007A135E"/>
    <w:rsid w:val="007D0D41"/>
    <w:rsid w:val="007D7127"/>
    <w:rsid w:val="007D7303"/>
    <w:rsid w:val="007F0252"/>
    <w:rsid w:val="007F3D10"/>
    <w:rsid w:val="007F4BE8"/>
    <w:rsid w:val="007F54B1"/>
    <w:rsid w:val="007F5574"/>
    <w:rsid w:val="0080356A"/>
    <w:rsid w:val="008077A9"/>
    <w:rsid w:val="008118A9"/>
    <w:rsid w:val="00825FEF"/>
    <w:rsid w:val="00831D9E"/>
    <w:rsid w:val="00833987"/>
    <w:rsid w:val="00834B7B"/>
    <w:rsid w:val="00837B54"/>
    <w:rsid w:val="00844193"/>
    <w:rsid w:val="00851300"/>
    <w:rsid w:val="00857AE2"/>
    <w:rsid w:val="008611F9"/>
    <w:rsid w:val="0086655E"/>
    <w:rsid w:val="008752A7"/>
    <w:rsid w:val="00890830"/>
    <w:rsid w:val="008A7A1D"/>
    <w:rsid w:val="008B14F3"/>
    <w:rsid w:val="008D0BE3"/>
    <w:rsid w:val="008D3F92"/>
    <w:rsid w:val="008E0F69"/>
    <w:rsid w:val="008E2C3F"/>
    <w:rsid w:val="008F77A2"/>
    <w:rsid w:val="008F7FC0"/>
    <w:rsid w:val="0090125F"/>
    <w:rsid w:val="009028FA"/>
    <w:rsid w:val="00904018"/>
    <w:rsid w:val="00913EE0"/>
    <w:rsid w:val="00922DDC"/>
    <w:rsid w:val="00924D7A"/>
    <w:rsid w:val="0092620F"/>
    <w:rsid w:val="0092694A"/>
    <w:rsid w:val="0093333B"/>
    <w:rsid w:val="00936370"/>
    <w:rsid w:val="009462FD"/>
    <w:rsid w:val="009469C9"/>
    <w:rsid w:val="00956EF7"/>
    <w:rsid w:val="009767C3"/>
    <w:rsid w:val="00981829"/>
    <w:rsid w:val="00982C7C"/>
    <w:rsid w:val="009837D2"/>
    <w:rsid w:val="009840E4"/>
    <w:rsid w:val="009A2C31"/>
    <w:rsid w:val="009A767E"/>
    <w:rsid w:val="009C6E88"/>
    <w:rsid w:val="009D31D1"/>
    <w:rsid w:val="009D7F4E"/>
    <w:rsid w:val="009E08D1"/>
    <w:rsid w:val="009E0E8A"/>
    <w:rsid w:val="009E2F21"/>
    <w:rsid w:val="009F2306"/>
    <w:rsid w:val="00A01A4A"/>
    <w:rsid w:val="00A038B9"/>
    <w:rsid w:val="00A039D1"/>
    <w:rsid w:val="00A05C37"/>
    <w:rsid w:val="00A105CB"/>
    <w:rsid w:val="00A12A1E"/>
    <w:rsid w:val="00A159C4"/>
    <w:rsid w:val="00A169D7"/>
    <w:rsid w:val="00A276B4"/>
    <w:rsid w:val="00A31230"/>
    <w:rsid w:val="00A44A35"/>
    <w:rsid w:val="00A52DA6"/>
    <w:rsid w:val="00A57803"/>
    <w:rsid w:val="00A61EFF"/>
    <w:rsid w:val="00A77697"/>
    <w:rsid w:val="00A83C87"/>
    <w:rsid w:val="00A8454B"/>
    <w:rsid w:val="00AA5006"/>
    <w:rsid w:val="00AA52D4"/>
    <w:rsid w:val="00AB2522"/>
    <w:rsid w:val="00AB33A5"/>
    <w:rsid w:val="00AC1403"/>
    <w:rsid w:val="00AC196F"/>
    <w:rsid w:val="00AD19B5"/>
    <w:rsid w:val="00AD499B"/>
    <w:rsid w:val="00AD4BDC"/>
    <w:rsid w:val="00AD62C9"/>
    <w:rsid w:val="00AE5DC9"/>
    <w:rsid w:val="00B004BB"/>
    <w:rsid w:val="00B048FB"/>
    <w:rsid w:val="00B05D3C"/>
    <w:rsid w:val="00B22832"/>
    <w:rsid w:val="00B24839"/>
    <w:rsid w:val="00B25482"/>
    <w:rsid w:val="00B33469"/>
    <w:rsid w:val="00B44D8F"/>
    <w:rsid w:val="00B44E53"/>
    <w:rsid w:val="00B44EA1"/>
    <w:rsid w:val="00B45748"/>
    <w:rsid w:val="00B65767"/>
    <w:rsid w:val="00B841C3"/>
    <w:rsid w:val="00B939E4"/>
    <w:rsid w:val="00BD1A24"/>
    <w:rsid w:val="00BD281B"/>
    <w:rsid w:val="00BE487D"/>
    <w:rsid w:val="00BF1445"/>
    <w:rsid w:val="00BF3E46"/>
    <w:rsid w:val="00BF700B"/>
    <w:rsid w:val="00C06975"/>
    <w:rsid w:val="00C11C9E"/>
    <w:rsid w:val="00C13B7D"/>
    <w:rsid w:val="00C32A6B"/>
    <w:rsid w:val="00C43F9D"/>
    <w:rsid w:val="00C57FF8"/>
    <w:rsid w:val="00C67E35"/>
    <w:rsid w:val="00C716E7"/>
    <w:rsid w:val="00C725BE"/>
    <w:rsid w:val="00C759E0"/>
    <w:rsid w:val="00C75F7C"/>
    <w:rsid w:val="00C800B9"/>
    <w:rsid w:val="00C8344D"/>
    <w:rsid w:val="00C86AF5"/>
    <w:rsid w:val="00C924D6"/>
    <w:rsid w:val="00C967C6"/>
    <w:rsid w:val="00C97E4A"/>
    <w:rsid w:val="00CA3D55"/>
    <w:rsid w:val="00CA774F"/>
    <w:rsid w:val="00CB2725"/>
    <w:rsid w:val="00CB2FEF"/>
    <w:rsid w:val="00CB3046"/>
    <w:rsid w:val="00CB71C7"/>
    <w:rsid w:val="00CC1AA2"/>
    <w:rsid w:val="00CC4BDA"/>
    <w:rsid w:val="00CD1F73"/>
    <w:rsid w:val="00CD5F18"/>
    <w:rsid w:val="00CE085C"/>
    <w:rsid w:val="00D0741E"/>
    <w:rsid w:val="00D15F5C"/>
    <w:rsid w:val="00D22876"/>
    <w:rsid w:val="00D54A26"/>
    <w:rsid w:val="00D6496F"/>
    <w:rsid w:val="00D7189E"/>
    <w:rsid w:val="00D7373E"/>
    <w:rsid w:val="00D73AC4"/>
    <w:rsid w:val="00D76D95"/>
    <w:rsid w:val="00D92DC6"/>
    <w:rsid w:val="00DA5180"/>
    <w:rsid w:val="00DA7126"/>
    <w:rsid w:val="00DB30DD"/>
    <w:rsid w:val="00DB493E"/>
    <w:rsid w:val="00DB77E1"/>
    <w:rsid w:val="00DC28DB"/>
    <w:rsid w:val="00DD1DD2"/>
    <w:rsid w:val="00DD3C40"/>
    <w:rsid w:val="00DE3F8F"/>
    <w:rsid w:val="00DE432E"/>
    <w:rsid w:val="00DE764D"/>
    <w:rsid w:val="00DE7C3B"/>
    <w:rsid w:val="00E05FB0"/>
    <w:rsid w:val="00E070A5"/>
    <w:rsid w:val="00E10A88"/>
    <w:rsid w:val="00E12331"/>
    <w:rsid w:val="00E13360"/>
    <w:rsid w:val="00E14F4A"/>
    <w:rsid w:val="00E36A98"/>
    <w:rsid w:val="00E4384B"/>
    <w:rsid w:val="00E449D7"/>
    <w:rsid w:val="00E5229D"/>
    <w:rsid w:val="00E534CE"/>
    <w:rsid w:val="00E675FF"/>
    <w:rsid w:val="00E67965"/>
    <w:rsid w:val="00E77CB0"/>
    <w:rsid w:val="00E805F6"/>
    <w:rsid w:val="00E93341"/>
    <w:rsid w:val="00E93865"/>
    <w:rsid w:val="00E96A1B"/>
    <w:rsid w:val="00EA419A"/>
    <w:rsid w:val="00EB0A3F"/>
    <w:rsid w:val="00EB4372"/>
    <w:rsid w:val="00EC16EA"/>
    <w:rsid w:val="00EC29EF"/>
    <w:rsid w:val="00ED336B"/>
    <w:rsid w:val="00ED72D9"/>
    <w:rsid w:val="00EF0A85"/>
    <w:rsid w:val="00EF4299"/>
    <w:rsid w:val="00F0119B"/>
    <w:rsid w:val="00F152C1"/>
    <w:rsid w:val="00F27A4F"/>
    <w:rsid w:val="00F331F8"/>
    <w:rsid w:val="00F403D6"/>
    <w:rsid w:val="00F44386"/>
    <w:rsid w:val="00F4773D"/>
    <w:rsid w:val="00F5519A"/>
    <w:rsid w:val="00F55937"/>
    <w:rsid w:val="00F80240"/>
    <w:rsid w:val="00F82F5E"/>
    <w:rsid w:val="00F8538A"/>
    <w:rsid w:val="00F90984"/>
    <w:rsid w:val="00F91425"/>
    <w:rsid w:val="00F92291"/>
    <w:rsid w:val="00F93531"/>
    <w:rsid w:val="00F93CD5"/>
    <w:rsid w:val="00FB00D0"/>
    <w:rsid w:val="00FB3929"/>
    <w:rsid w:val="00FB5826"/>
    <w:rsid w:val="00FB6FA6"/>
    <w:rsid w:val="00FC3441"/>
    <w:rsid w:val="00FF1C84"/>
    <w:rsid w:val="013921FA"/>
    <w:rsid w:val="014A4883"/>
    <w:rsid w:val="01881482"/>
    <w:rsid w:val="019C11BA"/>
    <w:rsid w:val="01DF59B6"/>
    <w:rsid w:val="02141939"/>
    <w:rsid w:val="027D3AA3"/>
    <w:rsid w:val="035F60FC"/>
    <w:rsid w:val="03FE3AC5"/>
    <w:rsid w:val="040401F4"/>
    <w:rsid w:val="04117F24"/>
    <w:rsid w:val="046849CD"/>
    <w:rsid w:val="04AA0119"/>
    <w:rsid w:val="04C3442B"/>
    <w:rsid w:val="05323292"/>
    <w:rsid w:val="06FF5EC8"/>
    <w:rsid w:val="07032665"/>
    <w:rsid w:val="070B3BCF"/>
    <w:rsid w:val="075A6BE8"/>
    <w:rsid w:val="07740E9B"/>
    <w:rsid w:val="078B7C3C"/>
    <w:rsid w:val="07B14488"/>
    <w:rsid w:val="07BA195D"/>
    <w:rsid w:val="07FE2892"/>
    <w:rsid w:val="08257F62"/>
    <w:rsid w:val="088E0665"/>
    <w:rsid w:val="08BB6BF6"/>
    <w:rsid w:val="08D506D5"/>
    <w:rsid w:val="095445BB"/>
    <w:rsid w:val="0967151C"/>
    <w:rsid w:val="097C3963"/>
    <w:rsid w:val="0ADD4673"/>
    <w:rsid w:val="0B40611C"/>
    <w:rsid w:val="0B847C6B"/>
    <w:rsid w:val="0BB935F5"/>
    <w:rsid w:val="0BD01137"/>
    <w:rsid w:val="0BE234E7"/>
    <w:rsid w:val="0C433FAA"/>
    <w:rsid w:val="0C814FDD"/>
    <w:rsid w:val="0CAE7E5A"/>
    <w:rsid w:val="0CBF091A"/>
    <w:rsid w:val="0D200115"/>
    <w:rsid w:val="0D2D0673"/>
    <w:rsid w:val="0D913CB0"/>
    <w:rsid w:val="0DC174A6"/>
    <w:rsid w:val="0DD33A78"/>
    <w:rsid w:val="0DDB3B9E"/>
    <w:rsid w:val="0E044638"/>
    <w:rsid w:val="0E8C4983"/>
    <w:rsid w:val="0EFD3F41"/>
    <w:rsid w:val="0F807A3F"/>
    <w:rsid w:val="0FA01B40"/>
    <w:rsid w:val="0FA6713F"/>
    <w:rsid w:val="0FA83ACE"/>
    <w:rsid w:val="0FD06C62"/>
    <w:rsid w:val="105A279E"/>
    <w:rsid w:val="10F1410F"/>
    <w:rsid w:val="10F51A99"/>
    <w:rsid w:val="111515C6"/>
    <w:rsid w:val="11617510"/>
    <w:rsid w:val="11785CDA"/>
    <w:rsid w:val="11DC4C94"/>
    <w:rsid w:val="12D43C61"/>
    <w:rsid w:val="13267CD3"/>
    <w:rsid w:val="13626917"/>
    <w:rsid w:val="13B616AB"/>
    <w:rsid w:val="14116B51"/>
    <w:rsid w:val="14520861"/>
    <w:rsid w:val="149265AD"/>
    <w:rsid w:val="14D229ED"/>
    <w:rsid w:val="16140835"/>
    <w:rsid w:val="165612C3"/>
    <w:rsid w:val="16707AE9"/>
    <w:rsid w:val="16C61B8E"/>
    <w:rsid w:val="17627037"/>
    <w:rsid w:val="17CE4C35"/>
    <w:rsid w:val="17DC3137"/>
    <w:rsid w:val="186A282D"/>
    <w:rsid w:val="189A5FB9"/>
    <w:rsid w:val="189A7259"/>
    <w:rsid w:val="194A286A"/>
    <w:rsid w:val="19883259"/>
    <w:rsid w:val="19EA0582"/>
    <w:rsid w:val="19F81C5B"/>
    <w:rsid w:val="1A0903BC"/>
    <w:rsid w:val="1AA570F2"/>
    <w:rsid w:val="1AF074E9"/>
    <w:rsid w:val="1B2147D9"/>
    <w:rsid w:val="1B285174"/>
    <w:rsid w:val="1B4E28AF"/>
    <w:rsid w:val="1B9F015F"/>
    <w:rsid w:val="1C1E04DE"/>
    <w:rsid w:val="1C812E9E"/>
    <w:rsid w:val="1C904743"/>
    <w:rsid w:val="1C960F52"/>
    <w:rsid w:val="1CA76033"/>
    <w:rsid w:val="1D4265C2"/>
    <w:rsid w:val="1D730E90"/>
    <w:rsid w:val="1D7D4A08"/>
    <w:rsid w:val="1D993A04"/>
    <w:rsid w:val="1E0D53B2"/>
    <w:rsid w:val="1E525066"/>
    <w:rsid w:val="1E7E686D"/>
    <w:rsid w:val="1EF33E40"/>
    <w:rsid w:val="1F085224"/>
    <w:rsid w:val="1F2A6EDD"/>
    <w:rsid w:val="1F4B74B7"/>
    <w:rsid w:val="1F8253A2"/>
    <w:rsid w:val="1FA46CB8"/>
    <w:rsid w:val="20154A54"/>
    <w:rsid w:val="208E3626"/>
    <w:rsid w:val="20A63626"/>
    <w:rsid w:val="20C15F6F"/>
    <w:rsid w:val="21005D31"/>
    <w:rsid w:val="21610211"/>
    <w:rsid w:val="21990013"/>
    <w:rsid w:val="229426DC"/>
    <w:rsid w:val="23925221"/>
    <w:rsid w:val="23B11B72"/>
    <w:rsid w:val="23C33E3F"/>
    <w:rsid w:val="23CF264C"/>
    <w:rsid w:val="24017D82"/>
    <w:rsid w:val="24695DA9"/>
    <w:rsid w:val="24780F72"/>
    <w:rsid w:val="24B33816"/>
    <w:rsid w:val="24BB2697"/>
    <w:rsid w:val="25022335"/>
    <w:rsid w:val="2525750B"/>
    <w:rsid w:val="255B0DBB"/>
    <w:rsid w:val="25CD1FA5"/>
    <w:rsid w:val="25ED4F34"/>
    <w:rsid w:val="26781622"/>
    <w:rsid w:val="2684459B"/>
    <w:rsid w:val="26E92CFF"/>
    <w:rsid w:val="27924029"/>
    <w:rsid w:val="28200B45"/>
    <w:rsid w:val="2845679C"/>
    <w:rsid w:val="2864194B"/>
    <w:rsid w:val="2A64073C"/>
    <w:rsid w:val="2AC45EA2"/>
    <w:rsid w:val="2B392EBC"/>
    <w:rsid w:val="2B66691B"/>
    <w:rsid w:val="2C3B0AF1"/>
    <w:rsid w:val="2C94763B"/>
    <w:rsid w:val="2CCC47CA"/>
    <w:rsid w:val="2CEC1D20"/>
    <w:rsid w:val="2CEE3391"/>
    <w:rsid w:val="2D0B0BA8"/>
    <w:rsid w:val="2D4C132D"/>
    <w:rsid w:val="2DE15A02"/>
    <w:rsid w:val="2E5F7BB7"/>
    <w:rsid w:val="2E9E076B"/>
    <w:rsid w:val="2F396A6C"/>
    <w:rsid w:val="2F651E0A"/>
    <w:rsid w:val="300B5B05"/>
    <w:rsid w:val="304A2B14"/>
    <w:rsid w:val="304F0363"/>
    <w:rsid w:val="307E5B95"/>
    <w:rsid w:val="30D90BC1"/>
    <w:rsid w:val="30DC68E1"/>
    <w:rsid w:val="312F7772"/>
    <w:rsid w:val="319535A4"/>
    <w:rsid w:val="32001619"/>
    <w:rsid w:val="329C4A82"/>
    <w:rsid w:val="32D8012A"/>
    <w:rsid w:val="33A675DF"/>
    <w:rsid w:val="33C3470B"/>
    <w:rsid w:val="34885024"/>
    <w:rsid w:val="348A0369"/>
    <w:rsid w:val="34B6510D"/>
    <w:rsid w:val="355569A2"/>
    <w:rsid w:val="35B13B93"/>
    <w:rsid w:val="35C336A7"/>
    <w:rsid w:val="35CF6AB1"/>
    <w:rsid w:val="35FF6EC8"/>
    <w:rsid w:val="36897D3A"/>
    <w:rsid w:val="36D65004"/>
    <w:rsid w:val="36DD0212"/>
    <w:rsid w:val="36E06005"/>
    <w:rsid w:val="371718B6"/>
    <w:rsid w:val="37A67F71"/>
    <w:rsid w:val="38485ACB"/>
    <w:rsid w:val="38D0105E"/>
    <w:rsid w:val="38DA1E71"/>
    <w:rsid w:val="38DB66F7"/>
    <w:rsid w:val="38E1021F"/>
    <w:rsid w:val="398161F0"/>
    <w:rsid w:val="398F019A"/>
    <w:rsid w:val="3A0D6605"/>
    <w:rsid w:val="3A41001D"/>
    <w:rsid w:val="3A9E641C"/>
    <w:rsid w:val="3ACE0955"/>
    <w:rsid w:val="3AD41CF9"/>
    <w:rsid w:val="3C3B5F24"/>
    <w:rsid w:val="3C670EE9"/>
    <w:rsid w:val="3D5452CD"/>
    <w:rsid w:val="3D603D89"/>
    <w:rsid w:val="3D8600B0"/>
    <w:rsid w:val="3E3936D4"/>
    <w:rsid w:val="3E532C5B"/>
    <w:rsid w:val="3E534F93"/>
    <w:rsid w:val="3E936B81"/>
    <w:rsid w:val="3EA81BC0"/>
    <w:rsid w:val="3EBA1612"/>
    <w:rsid w:val="3EE76E24"/>
    <w:rsid w:val="3F0F6206"/>
    <w:rsid w:val="3F40010C"/>
    <w:rsid w:val="402A22BB"/>
    <w:rsid w:val="402C509E"/>
    <w:rsid w:val="408968E7"/>
    <w:rsid w:val="408F0117"/>
    <w:rsid w:val="41CB06C3"/>
    <w:rsid w:val="41EE4E16"/>
    <w:rsid w:val="4265122A"/>
    <w:rsid w:val="42955160"/>
    <w:rsid w:val="42C46FFC"/>
    <w:rsid w:val="42F22481"/>
    <w:rsid w:val="436F31CD"/>
    <w:rsid w:val="437049B3"/>
    <w:rsid w:val="439F143C"/>
    <w:rsid w:val="43A32D03"/>
    <w:rsid w:val="43C95502"/>
    <w:rsid w:val="44000146"/>
    <w:rsid w:val="44046AD3"/>
    <w:rsid w:val="449B5470"/>
    <w:rsid w:val="44DC52E9"/>
    <w:rsid w:val="44FE1BAF"/>
    <w:rsid w:val="457713CA"/>
    <w:rsid w:val="46916E62"/>
    <w:rsid w:val="46B57B23"/>
    <w:rsid w:val="46D07804"/>
    <w:rsid w:val="475F0176"/>
    <w:rsid w:val="476237F2"/>
    <w:rsid w:val="47DF34E6"/>
    <w:rsid w:val="47FB59CF"/>
    <w:rsid w:val="48BC66CB"/>
    <w:rsid w:val="48D724BB"/>
    <w:rsid w:val="4905055E"/>
    <w:rsid w:val="49125C26"/>
    <w:rsid w:val="49F2351B"/>
    <w:rsid w:val="4ACC5514"/>
    <w:rsid w:val="4B520026"/>
    <w:rsid w:val="4BA4312E"/>
    <w:rsid w:val="4BA57D98"/>
    <w:rsid w:val="4BB64FEB"/>
    <w:rsid w:val="4BEB5C3E"/>
    <w:rsid w:val="4C314D4B"/>
    <w:rsid w:val="4C6B5CFA"/>
    <w:rsid w:val="4CD2534C"/>
    <w:rsid w:val="4CDC7E0A"/>
    <w:rsid w:val="4D1403CF"/>
    <w:rsid w:val="4D7F7AAA"/>
    <w:rsid w:val="4D873CBF"/>
    <w:rsid w:val="4D8A1887"/>
    <w:rsid w:val="4E3C0A72"/>
    <w:rsid w:val="4E4F3E7C"/>
    <w:rsid w:val="4E9E1915"/>
    <w:rsid w:val="4ED1580C"/>
    <w:rsid w:val="4F0F7CEC"/>
    <w:rsid w:val="4F2D20B7"/>
    <w:rsid w:val="4F344632"/>
    <w:rsid w:val="4F6A435F"/>
    <w:rsid w:val="500476B9"/>
    <w:rsid w:val="501019C6"/>
    <w:rsid w:val="50AD13B5"/>
    <w:rsid w:val="50ED067F"/>
    <w:rsid w:val="50FA1B19"/>
    <w:rsid w:val="5132731D"/>
    <w:rsid w:val="51334C01"/>
    <w:rsid w:val="514255B7"/>
    <w:rsid w:val="51463168"/>
    <w:rsid w:val="5147242B"/>
    <w:rsid w:val="51490415"/>
    <w:rsid w:val="526B114D"/>
    <w:rsid w:val="52842CCE"/>
    <w:rsid w:val="52C715AE"/>
    <w:rsid w:val="52D36BB8"/>
    <w:rsid w:val="53341FF2"/>
    <w:rsid w:val="535B5C5F"/>
    <w:rsid w:val="53615A4C"/>
    <w:rsid w:val="53660CAA"/>
    <w:rsid w:val="538254E1"/>
    <w:rsid w:val="538332E7"/>
    <w:rsid w:val="53A534F8"/>
    <w:rsid w:val="53BF51D1"/>
    <w:rsid w:val="53C939E4"/>
    <w:rsid w:val="54527ED2"/>
    <w:rsid w:val="54CA4F41"/>
    <w:rsid w:val="54E46C69"/>
    <w:rsid w:val="54EC30B7"/>
    <w:rsid w:val="54F41D4D"/>
    <w:rsid w:val="553D6A94"/>
    <w:rsid w:val="555E6AB8"/>
    <w:rsid w:val="558B4233"/>
    <w:rsid w:val="560C2349"/>
    <w:rsid w:val="569075FA"/>
    <w:rsid w:val="57494238"/>
    <w:rsid w:val="576C74F8"/>
    <w:rsid w:val="57A223C4"/>
    <w:rsid w:val="57AB101A"/>
    <w:rsid w:val="585076B5"/>
    <w:rsid w:val="58840FF1"/>
    <w:rsid w:val="58B0786A"/>
    <w:rsid w:val="58E063E2"/>
    <w:rsid w:val="59313E28"/>
    <w:rsid w:val="594C5CCE"/>
    <w:rsid w:val="595365E4"/>
    <w:rsid w:val="59585539"/>
    <w:rsid w:val="5998234D"/>
    <w:rsid w:val="5A14773B"/>
    <w:rsid w:val="5A6909F1"/>
    <w:rsid w:val="5A9749D0"/>
    <w:rsid w:val="5A9B3CFE"/>
    <w:rsid w:val="5AA729E2"/>
    <w:rsid w:val="5AB27867"/>
    <w:rsid w:val="5AE56594"/>
    <w:rsid w:val="5B2101BF"/>
    <w:rsid w:val="5B273F12"/>
    <w:rsid w:val="5B464417"/>
    <w:rsid w:val="5B511F2A"/>
    <w:rsid w:val="5BA032B4"/>
    <w:rsid w:val="5BFC0AA9"/>
    <w:rsid w:val="5C364DCF"/>
    <w:rsid w:val="5C6946D9"/>
    <w:rsid w:val="5CEC2723"/>
    <w:rsid w:val="5D257513"/>
    <w:rsid w:val="5DC00787"/>
    <w:rsid w:val="5DDB2DC9"/>
    <w:rsid w:val="5E2B6755"/>
    <w:rsid w:val="5E4874FA"/>
    <w:rsid w:val="5EB26A4A"/>
    <w:rsid w:val="5F776EA6"/>
    <w:rsid w:val="6007154D"/>
    <w:rsid w:val="60392BE3"/>
    <w:rsid w:val="603D2C4A"/>
    <w:rsid w:val="609A12CC"/>
    <w:rsid w:val="60AB27A8"/>
    <w:rsid w:val="60C00F3A"/>
    <w:rsid w:val="60EA0411"/>
    <w:rsid w:val="60EE4DA9"/>
    <w:rsid w:val="60F05933"/>
    <w:rsid w:val="61072736"/>
    <w:rsid w:val="614866DE"/>
    <w:rsid w:val="61BD4197"/>
    <w:rsid w:val="620674AF"/>
    <w:rsid w:val="6219379C"/>
    <w:rsid w:val="621B6CF5"/>
    <w:rsid w:val="62576798"/>
    <w:rsid w:val="634B00E6"/>
    <w:rsid w:val="63A16564"/>
    <w:rsid w:val="63BC4D54"/>
    <w:rsid w:val="63C61FB2"/>
    <w:rsid w:val="63ED41F5"/>
    <w:rsid w:val="64527D34"/>
    <w:rsid w:val="64930890"/>
    <w:rsid w:val="64B2734B"/>
    <w:rsid w:val="65612CB5"/>
    <w:rsid w:val="656E7665"/>
    <w:rsid w:val="65C82D5F"/>
    <w:rsid w:val="662767C8"/>
    <w:rsid w:val="663A38BB"/>
    <w:rsid w:val="667764AE"/>
    <w:rsid w:val="66884822"/>
    <w:rsid w:val="66A8173D"/>
    <w:rsid w:val="67171852"/>
    <w:rsid w:val="67514772"/>
    <w:rsid w:val="678A58C5"/>
    <w:rsid w:val="67EA0C63"/>
    <w:rsid w:val="68426C0D"/>
    <w:rsid w:val="693C5F4A"/>
    <w:rsid w:val="69BC6D44"/>
    <w:rsid w:val="69F40840"/>
    <w:rsid w:val="69FF7DE9"/>
    <w:rsid w:val="6A430A54"/>
    <w:rsid w:val="6AFC39DE"/>
    <w:rsid w:val="6B264875"/>
    <w:rsid w:val="6B530E0D"/>
    <w:rsid w:val="6B597E5F"/>
    <w:rsid w:val="6B6A0B36"/>
    <w:rsid w:val="6B6D05BE"/>
    <w:rsid w:val="6B971BF6"/>
    <w:rsid w:val="6C0902D2"/>
    <w:rsid w:val="6CCB5AF0"/>
    <w:rsid w:val="6D05118B"/>
    <w:rsid w:val="6D450D78"/>
    <w:rsid w:val="6D7D2EA7"/>
    <w:rsid w:val="6D884753"/>
    <w:rsid w:val="6D9C1BB3"/>
    <w:rsid w:val="6DD62D38"/>
    <w:rsid w:val="6DE92174"/>
    <w:rsid w:val="6E704334"/>
    <w:rsid w:val="6EAC56ED"/>
    <w:rsid w:val="6F71767D"/>
    <w:rsid w:val="705B066B"/>
    <w:rsid w:val="70AD7E25"/>
    <w:rsid w:val="70B4600C"/>
    <w:rsid w:val="70D70ED4"/>
    <w:rsid w:val="70E653CA"/>
    <w:rsid w:val="71090A5F"/>
    <w:rsid w:val="71312090"/>
    <w:rsid w:val="71895D4D"/>
    <w:rsid w:val="718A0531"/>
    <w:rsid w:val="719A5324"/>
    <w:rsid w:val="71BC064B"/>
    <w:rsid w:val="7277347F"/>
    <w:rsid w:val="727974B5"/>
    <w:rsid w:val="727F2993"/>
    <w:rsid w:val="73447B63"/>
    <w:rsid w:val="73873090"/>
    <w:rsid w:val="73922904"/>
    <w:rsid w:val="73C76192"/>
    <w:rsid w:val="73CC4DB4"/>
    <w:rsid w:val="73F15BC3"/>
    <w:rsid w:val="74041679"/>
    <w:rsid w:val="740614E3"/>
    <w:rsid w:val="744818FD"/>
    <w:rsid w:val="74C10B57"/>
    <w:rsid w:val="750D5402"/>
    <w:rsid w:val="752F5A0C"/>
    <w:rsid w:val="75834E12"/>
    <w:rsid w:val="763B7625"/>
    <w:rsid w:val="76DF35D8"/>
    <w:rsid w:val="775D2E40"/>
    <w:rsid w:val="77CD41A5"/>
    <w:rsid w:val="78760D1C"/>
    <w:rsid w:val="789A1A3E"/>
    <w:rsid w:val="79077B8C"/>
    <w:rsid w:val="790E6CF4"/>
    <w:rsid w:val="796E2C90"/>
    <w:rsid w:val="79892F07"/>
    <w:rsid w:val="79BD1D61"/>
    <w:rsid w:val="7A7A4BD5"/>
    <w:rsid w:val="7A9F5DAF"/>
    <w:rsid w:val="7ABA2A1C"/>
    <w:rsid w:val="7B065569"/>
    <w:rsid w:val="7BAE6A5F"/>
    <w:rsid w:val="7BE22FA0"/>
    <w:rsid w:val="7C0C55A6"/>
    <w:rsid w:val="7C913167"/>
    <w:rsid w:val="7CC26722"/>
    <w:rsid w:val="7CE07DEB"/>
    <w:rsid w:val="7D3E7984"/>
    <w:rsid w:val="7D8601A2"/>
    <w:rsid w:val="7DA0237C"/>
    <w:rsid w:val="7DC3103E"/>
    <w:rsid w:val="7DEA5B0B"/>
    <w:rsid w:val="7E201143"/>
    <w:rsid w:val="7E3B10BE"/>
    <w:rsid w:val="7E402089"/>
    <w:rsid w:val="7ED33C82"/>
    <w:rsid w:val="7F1C1B31"/>
    <w:rsid w:val="7F3F428B"/>
    <w:rsid w:val="7F4A67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nhideWhenUsed="0" w:uiPriority="0" w:semiHidden="0" w:name="endnote text"/>
    <w:lsdException w:uiPriority="0" w:name="table of authorities"/>
    <w:lsdException w:uiPriority="0" w:name="macro"/>
    <w:lsdException w:unhideWhenUsed="0" w:uiPriority="0" w:semiHidden="0" w:name="toa heading"/>
    <w:lsdException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200" w:line="276" w:lineRule="auto"/>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rFonts w:eastAsia="方正小标宋简体"/>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widowControl/>
      <w:spacing w:beforeAutospacing="1" w:afterAutospacing="1"/>
      <w:jc w:val="left"/>
      <w:outlineLvl w:val="2"/>
    </w:pPr>
    <w:rPr>
      <w:rFonts w:ascii="宋体" w:hAnsi="宋体" w:eastAsia="楷体" w:cs="宋体"/>
      <w:b/>
      <w:bCs/>
      <w:kern w:val="0"/>
      <w:sz w:val="32"/>
      <w:szCs w:val="27"/>
    </w:rPr>
  </w:style>
  <w:style w:type="paragraph" w:styleId="5">
    <w:name w:val="heading 4"/>
    <w:basedOn w:val="1"/>
    <w:next w:val="1"/>
    <w:unhideWhenUsed/>
    <w:qFormat/>
    <w:uiPriority w:val="0"/>
    <w:pPr>
      <w:keepNext/>
      <w:keepLines/>
      <w:spacing w:line="376" w:lineRule="auto"/>
      <w:outlineLvl w:val="3"/>
    </w:pPr>
    <w:rPr>
      <w:rFonts w:ascii="Cambria" w:hAnsi="Cambria" w:eastAsia="楷体"/>
      <w:b/>
      <w:bCs/>
      <w:sz w:val="30"/>
      <w:szCs w:val="28"/>
    </w:rPr>
  </w:style>
  <w:style w:type="character" w:default="1" w:styleId="12">
    <w:name w:val="Default Paragraph Font"/>
    <w:semiHidden/>
    <w:unhideWhenUsed/>
    <w:uiPriority w:val="1"/>
  </w:style>
  <w:style w:type="table" w:default="1" w:styleId="17">
    <w:name w:val="Normal Table"/>
    <w:semiHidden/>
    <w:unhideWhenUsed/>
    <w:uiPriority w:val="99"/>
    <w:tblPr>
      <w:tblLayout w:type="fixed"/>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link w:val="22"/>
    <w:qFormat/>
    <w:uiPriority w:val="0"/>
    <w:pPr>
      <w:spacing w:before="200" w:line="520" w:lineRule="exact"/>
      <w:ind w:firstLine="640" w:firstLineChars="200"/>
    </w:pPr>
    <w:rPr>
      <w:rFonts w:ascii="仿宋_GB2312" w:hAnsi="仿宋_GB2312" w:eastAsia="仿宋_GB2312" w:cs="仿宋_GB2312"/>
      <w:sz w:val="32"/>
      <w:szCs w:val="32"/>
    </w:rPr>
  </w:style>
  <w:style w:type="paragraph" w:styleId="8">
    <w:name w:val="Plain Text"/>
    <w:basedOn w:val="1"/>
    <w:qFormat/>
    <w:uiPriority w:val="0"/>
    <w:rPr>
      <w:rFonts w:ascii="宋体" w:hAnsi="Courier New" w:cs="Courier New"/>
      <w:szCs w:val="21"/>
    </w:rPr>
  </w:style>
  <w:style w:type="paragraph" w:styleId="9">
    <w:name w:val="Balloon Text"/>
    <w:basedOn w:val="1"/>
    <w:link w:val="25"/>
    <w:qFormat/>
    <w:uiPriority w:val="0"/>
    <w:rPr>
      <w:sz w:val="18"/>
      <w:szCs w:val="18"/>
    </w:rPr>
  </w:style>
  <w:style w:type="paragraph" w:styleId="10">
    <w:name w:val="footer"/>
    <w:basedOn w:val="1"/>
    <w:link w:val="26"/>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3">
    <w:name w:val="Strong"/>
    <w:basedOn w:val="12"/>
    <w:qFormat/>
    <w:uiPriority w:val="0"/>
    <w:rPr>
      <w:rFonts w:cs="Times New Roman"/>
      <w:b/>
      <w:bCs/>
    </w:rPr>
  </w:style>
  <w:style w:type="character" w:styleId="14">
    <w:name w:val="page number"/>
    <w:basedOn w:val="12"/>
    <w:qFormat/>
    <w:uiPriority w:val="0"/>
    <w:rPr>
      <w:rFonts w:cs="Times New Roman"/>
    </w:rPr>
  </w:style>
  <w:style w:type="character" w:styleId="15">
    <w:name w:val="Hyperlink"/>
    <w:basedOn w:val="12"/>
    <w:qFormat/>
    <w:uiPriority w:val="0"/>
    <w:rPr>
      <w:rFonts w:cs="Times New Roman"/>
      <w:color w:val="0000FF"/>
      <w:u w:val="single"/>
    </w:rPr>
  </w:style>
  <w:style w:type="character" w:styleId="16">
    <w:name w:val="annotation reference"/>
    <w:basedOn w:val="12"/>
    <w:qFormat/>
    <w:uiPriority w:val="0"/>
    <w:rPr>
      <w:sz w:val="21"/>
      <w:szCs w:val="21"/>
    </w:rPr>
  </w:style>
  <w:style w:type="paragraph" w:customStyle="1" w:styleId="18">
    <w:name w:val="表头"/>
    <w:basedOn w:val="1"/>
    <w:qFormat/>
    <w:uiPriority w:val="0"/>
    <w:pPr>
      <w:widowControl/>
      <w:spacing w:line="440" w:lineRule="exact"/>
      <w:jc w:val="center"/>
    </w:pPr>
    <w:rPr>
      <w:rFonts w:ascii="黑体" w:hAnsi="黑体" w:eastAsia="黑体"/>
      <w:b/>
      <w:bCs/>
      <w:color w:val="000000"/>
      <w:kern w:val="0"/>
      <w:sz w:val="32"/>
      <w:szCs w:val="28"/>
    </w:rPr>
  </w:style>
  <w:style w:type="character" w:customStyle="1" w:styleId="19">
    <w:name w:val="页码1"/>
    <w:basedOn w:val="12"/>
    <w:qFormat/>
    <w:uiPriority w:val="0"/>
    <w:rPr>
      <w:rFonts w:cs="Times New Roman"/>
    </w:rPr>
  </w:style>
  <w:style w:type="paragraph" w:customStyle="1" w:styleId="20">
    <w:name w:val="列出段落1"/>
    <w:basedOn w:val="1"/>
    <w:qFormat/>
    <w:uiPriority w:val="99"/>
    <w:pPr>
      <w:ind w:firstLine="420" w:firstLineChars="200"/>
    </w:pPr>
    <w:rPr>
      <w:rFonts w:cs="Calibri"/>
      <w:szCs w:val="21"/>
    </w:rPr>
  </w:style>
  <w:style w:type="paragraph" w:customStyle="1" w:styleId="21">
    <w:name w:val="列出段落3"/>
    <w:basedOn w:val="1"/>
    <w:qFormat/>
    <w:uiPriority w:val="99"/>
    <w:pPr>
      <w:ind w:firstLine="420" w:firstLineChars="200"/>
    </w:pPr>
    <w:rPr>
      <w:rFonts w:cs="Calibri"/>
      <w:szCs w:val="21"/>
    </w:rPr>
  </w:style>
  <w:style w:type="character" w:customStyle="1" w:styleId="22">
    <w:name w:val="正文文本 字符"/>
    <w:basedOn w:val="12"/>
    <w:link w:val="7"/>
    <w:qFormat/>
    <w:uiPriority w:val="0"/>
    <w:rPr>
      <w:rFonts w:ascii="仿宋_GB2312" w:hAnsi="仿宋_GB2312" w:eastAsia="仿宋_GB2312" w:cs="仿宋_GB2312"/>
      <w:kern w:val="2"/>
      <w:sz w:val="32"/>
      <w:szCs w:val="32"/>
    </w:rPr>
  </w:style>
  <w:style w:type="paragraph" w:customStyle="1" w:styleId="23">
    <w:name w:val="段"/>
    <w:qFormat/>
    <w:uiPriority w:val="99"/>
    <w:pPr>
      <w:autoSpaceDE w:val="0"/>
      <w:autoSpaceDN w:val="0"/>
      <w:spacing w:after="200" w:line="276" w:lineRule="auto"/>
      <w:ind w:firstLine="200" w:firstLineChars="200"/>
      <w:jc w:val="both"/>
    </w:pPr>
    <w:rPr>
      <w:rFonts w:ascii="宋体" w:hAnsiTheme="minorHAnsi" w:eastAsiaTheme="minorEastAsia" w:cstheme="minorBidi"/>
      <w:sz w:val="21"/>
      <w:szCs w:val="22"/>
      <w:lang w:val="en-US" w:eastAsia="zh-CN" w:bidi="ar-SA"/>
    </w:rPr>
  </w:style>
  <w:style w:type="paragraph" w:customStyle="1" w:styleId="24">
    <w:name w:val="章标题"/>
    <w:next w:val="23"/>
    <w:qFormat/>
    <w:uiPriority w:val="0"/>
    <w:pPr>
      <w:numPr>
        <w:ilvl w:val="1"/>
        <w:numId w:val="1"/>
      </w:numPr>
      <w:spacing w:beforeLines="50" w:after="200" w:afterLines="50" w:line="276" w:lineRule="auto"/>
      <w:jc w:val="both"/>
      <w:outlineLvl w:val="1"/>
    </w:pPr>
    <w:rPr>
      <w:rFonts w:ascii="黑体" w:eastAsia="黑体" w:hAnsiTheme="minorHAnsi" w:cstheme="minorBidi"/>
      <w:sz w:val="21"/>
      <w:szCs w:val="22"/>
      <w:lang w:val="en-US" w:eastAsia="zh-CN" w:bidi="ar-SA"/>
    </w:rPr>
  </w:style>
  <w:style w:type="character" w:customStyle="1" w:styleId="25">
    <w:name w:val="批注框文本 字符"/>
    <w:basedOn w:val="12"/>
    <w:link w:val="9"/>
    <w:qFormat/>
    <w:uiPriority w:val="0"/>
    <w:rPr>
      <w:rFonts w:asciiTheme="minorHAnsi" w:hAnsiTheme="minorHAnsi" w:eastAsiaTheme="minorEastAsia" w:cstheme="minorBidi"/>
      <w:kern w:val="2"/>
      <w:sz w:val="18"/>
      <w:szCs w:val="18"/>
    </w:rPr>
  </w:style>
  <w:style w:type="character" w:customStyle="1" w:styleId="26">
    <w:name w:val="页脚 字符"/>
    <w:basedOn w:val="12"/>
    <w:link w:val="10"/>
    <w:qFormat/>
    <w:uiPriority w:val="99"/>
    <w:rPr>
      <w:rFonts w:asciiTheme="minorHAnsi" w:hAnsiTheme="minorHAnsi" w:eastAsiaTheme="minorEastAsia" w:cstheme="minorBidi"/>
      <w:kern w:val="2"/>
      <w:sz w:val="18"/>
      <w:szCs w:val="18"/>
    </w:rPr>
  </w:style>
  <w:style w:type="paragraph" w:customStyle="1" w:styleId="27">
    <w:name w:val="列出段落2"/>
    <w:basedOn w:val="1"/>
    <w:unhideWhenUsed/>
    <w:qFormat/>
    <w:uiPriority w:val="99"/>
    <w:pPr>
      <w:ind w:left="720"/>
      <w:contextualSpacing/>
    </w:pPr>
  </w:style>
  <w:style w:type="paragraph" w:styleId="2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5A665B-946D-4E06-9C9D-D07F41FF79EE}">
  <ds:schemaRefs/>
</ds:datastoreItem>
</file>

<file path=docProps/app.xml><?xml version="1.0" encoding="utf-8"?>
<Properties xmlns="http://schemas.openxmlformats.org/officeDocument/2006/extended-properties" xmlns:vt="http://schemas.openxmlformats.org/officeDocument/2006/docPropsVTypes">
  <Template>Normal.dotm</Template>
  <Company>CFDA</Company>
  <Pages>7</Pages>
  <Words>458</Words>
  <Characters>2614</Characters>
  <Lines>21</Lines>
  <Paragraphs>6</Paragraphs>
  <TotalTime>504</TotalTime>
  <ScaleCrop>false</ScaleCrop>
  <LinksUpToDate>false</LinksUpToDate>
  <CharactersWithSpaces>3066</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2024-07-09T02:46:00Z</dcterms:created>
  <dc:creator>11111</dc:creator>
  <cp:lastModifiedBy>admin</cp:lastModifiedBy>
  <cp:lastPrinted>2024-07-03T15:20:00Z</cp:lastPrinted>
  <dcterms:modified xsi:type="dcterms:W3CDTF">2024-11-07T06:26:09Z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BB654E34682A4673923E62683475FD58_13</vt:lpwstr>
  </property>
</Properties>
</file>