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CE426E">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center"/>
        <w:textAlignment w:val="auto"/>
        <w:rPr>
          <w:rFonts w:hint="eastAsia" w:ascii="仿宋_GB2312" w:hAnsi="仿宋_GB2312" w:eastAsia="仿宋_GB2312" w:cs="仿宋_GB2312"/>
          <w:sz w:val="32"/>
          <w:szCs w:val="32"/>
          <w:lang w:val="en-US" w:eastAsia="zh-CN"/>
        </w:rPr>
      </w:pPr>
    </w:p>
    <w:p w14:paraId="2A446877">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center"/>
        <w:textAlignment w:val="auto"/>
        <w:rPr>
          <w:rFonts w:hint="eastAsia" w:ascii="仿宋_GB2312" w:hAnsi="仿宋_GB2312" w:eastAsia="仿宋_GB2312" w:cs="仿宋_GB2312"/>
          <w:sz w:val="32"/>
          <w:szCs w:val="32"/>
          <w:lang w:val="en-US" w:eastAsia="zh-CN"/>
        </w:rPr>
      </w:pPr>
    </w:p>
    <w:p w14:paraId="08E3F0AA">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center"/>
        <w:textAlignment w:val="auto"/>
        <w:rPr>
          <w:rFonts w:hint="eastAsia" w:ascii="仿宋_GB2312" w:hAnsi="仿宋_GB2312" w:eastAsia="仿宋_GB2312" w:cs="仿宋_GB2312"/>
          <w:sz w:val="32"/>
          <w:szCs w:val="32"/>
          <w:lang w:val="en-US" w:eastAsia="zh-CN"/>
        </w:rPr>
      </w:pPr>
    </w:p>
    <w:p w14:paraId="2E674265">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center"/>
        <w:textAlignment w:val="auto"/>
        <w:rPr>
          <w:rFonts w:hint="eastAsia" w:ascii="仿宋_GB2312" w:hAnsi="仿宋_GB2312" w:eastAsia="仿宋_GB2312" w:cs="仿宋_GB2312"/>
          <w:sz w:val="32"/>
          <w:szCs w:val="32"/>
          <w:lang w:val="en-US" w:eastAsia="zh-CN"/>
        </w:rPr>
      </w:pPr>
    </w:p>
    <w:p w14:paraId="1071E2F9">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center"/>
        <w:textAlignment w:val="auto"/>
        <w:rPr>
          <w:rFonts w:hint="eastAsia" w:ascii="仿宋_GB2312" w:hAnsi="仿宋_GB2312" w:eastAsia="仿宋_GB2312" w:cs="仿宋_GB2312"/>
          <w:sz w:val="32"/>
          <w:szCs w:val="32"/>
          <w:lang w:val="en-US" w:eastAsia="zh-CN"/>
        </w:rPr>
      </w:pPr>
    </w:p>
    <w:p w14:paraId="4ABFE040">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center"/>
        <w:textAlignment w:val="auto"/>
        <w:rPr>
          <w:rFonts w:hint="eastAsia" w:ascii="仿宋_GB2312" w:hAnsi="仿宋_GB2312" w:eastAsia="仿宋_GB2312" w:cs="仿宋_GB2312"/>
          <w:sz w:val="32"/>
          <w:szCs w:val="32"/>
          <w:lang w:val="en-US" w:eastAsia="zh-CN"/>
        </w:rPr>
      </w:pPr>
    </w:p>
    <w:p w14:paraId="473A59C9">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center"/>
        <w:textAlignment w:val="auto"/>
        <w:rPr>
          <w:rFonts w:hint="eastAsia" w:ascii="仿宋_GB2312" w:hAnsi="仿宋_GB2312" w:eastAsia="仿宋_GB2312" w:cs="仿宋_GB2312"/>
          <w:sz w:val="32"/>
          <w:szCs w:val="32"/>
          <w:lang w:val="en-US" w:eastAsia="zh-CN"/>
        </w:rPr>
      </w:pPr>
    </w:p>
    <w:p w14:paraId="7F783B4D">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center"/>
        <w:textAlignment w:val="auto"/>
        <w:rPr>
          <w:rFonts w:hint="eastAsia" w:ascii="仿宋_GB2312" w:hAnsi="仿宋_GB2312" w:eastAsia="仿宋_GB2312" w:cs="仿宋_GB2312"/>
          <w:sz w:val="32"/>
          <w:szCs w:val="32"/>
          <w:lang w:val="en-US" w:eastAsia="zh-CN"/>
        </w:rPr>
      </w:pPr>
    </w:p>
    <w:p w14:paraId="3AC8CD97">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center"/>
        <w:textAlignment w:val="auto"/>
        <w:rPr>
          <w:rFonts w:hint="eastAsia" w:ascii="仿宋_GB2312" w:hAnsi="仿宋_GB2312" w:eastAsia="仿宋_GB2312" w:cs="仿宋_GB2312"/>
          <w:sz w:val="32"/>
          <w:szCs w:val="32"/>
          <w:lang w:val="en-US" w:eastAsia="zh-CN"/>
        </w:rPr>
      </w:pPr>
    </w:p>
    <w:p w14:paraId="060D0413">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center"/>
        <w:textAlignment w:val="auto"/>
        <w:rPr>
          <w:rFonts w:hint="eastAsia" w:ascii="仿宋_GB2312" w:hAnsi="仿宋_GB2312" w:eastAsia="仿宋_GB2312" w:cs="仿宋_GB2312"/>
          <w:sz w:val="32"/>
          <w:szCs w:val="32"/>
          <w:lang w:val="en-US" w:eastAsia="zh-CN"/>
        </w:rPr>
      </w:pPr>
    </w:p>
    <w:p w14:paraId="1B87E3AC">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常商运</w:t>
      </w:r>
      <w:r>
        <w:rPr>
          <w:rFonts w:hint="eastAsia" w:ascii="Times New Roman" w:hAnsi="Times New Roman" w:eastAsia="仿宋_GB2312" w:cs="仿宋_GB2312"/>
          <w:sz w:val="32"/>
          <w:szCs w:val="32"/>
          <w:lang w:val="en-US" w:eastAsia="zh-CN"/>
        </w:rPr>
        <w:t>〔2024〕</w:t>
      </w:r>
      <w:r>
        <w:rPr>
          <w:rFonts w:hint="eastAsia" w:ascii="Times New Roman" w:hAnsi="Times New Roman" w:eastAsia="仿宋_GB2312" w:cs="仿宋_GB2312"/>
          <w:sz w:val="32"/>
          <w:szCs w:val="32"/>
          <w:highlight w:val="none"/>
          <w:lang w:val="en-US" w:eastAsia="zh-CN"/>
        </w:rPr>
        <w:t>276号</w:t>
      </w:r>
    </w:p>
    <w:p w14:paraId="52795BA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highlight w:val="none"/>
          <w:lang w:val="en-US" w:eastAsia="zh-CN"/>
        </w:rPr>
      </w:pPr>
    </w:p>
    <w:p w14:paraId="507880E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lang w:val="en-US" w:eastAsia="zh-CN"/>
        </w:rPr>
        <w:t>常州市家装家居改造补贴</w:t>
      </w:r>
      <w:r>
        <w:rPr>
          <w:rFonts w:hint="eastAsia" w:ascii="Times New Roman" w:hAnsi="Times New Roman" w:eastAsia="方正小标宋简体" w:cs="Times New Roman"/>
          <w:sz w:val="44"/>
          <w:szCs w:val="44"/>
          <w:highlight w:val="none"/>
          <w:lang w:val="en-US" w:eastAsia="zh-CN"/>
        </w:rPr>
        <w:t>活动</w:t>
      </w:r>
      <w:r>
        <w:rPr>
          <w:rFonts w:hint="default" w:ascii="Times New Roman" w:hAnsi="Times New Roman" w:eastAsia="方正小标宋简体" w:cs="Times New Roman"/>
          <w:sz w:val="44"/>
          <w:szCs w:val="44"/>
          <w:highlight w:val="none"/>
          <w:lang w:val="en-US" w:eastAsia="zh-CN"/>
        </w:rPr>
        <w:t>实施细则</w:t>
      </w:r>
    </w:p>
    <w:p w14:paraId="7B1C637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sz w:val="32"/>
          <w:szCs w:val="32"/>
          <w:highlight w:val="none"/>
          <w:lang w:val="en-US" w:eastAsia="zh-CN"/>
        </w:rPr>
      </w:pPr>
    </w:p>
    <w:p w14:paraId="1957366F">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各辖市区商务局、发改局、工信局、财政局、住建局、市场监督管理局，溧阳市发改委，新北区经发局，常经开科促局、经发局、建设和交通局：</w:t>
      </w:r>
    </w:p>
    <w:p w14:paraId="29DDC61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为贯彻落实</w:t>
      </w:r>
      <w:r>
        <w:rPr>
          <w:rFonts w:hint="eastAsia" w:ascii="Times New Roman" w:hAnsi="Times New Roman" w:eastAsia="仿宋_GB2312" w:cs="Times New Roman"/>
          <w:sz w:val="32"/>
          <w:szCs w:val="32"/>
          <w:highlight w:val="none"/>
          <w:lang w:val="en-US" w:eastAsia="zh-CN"/>
        </w:rPr>
        <w:t>《推动大规模设备更新和消费品以旧换新行动方案》（国发〔2024〕7号）和</w:t>
      </w:r>
      <w:r>
        <w:rPr>
          <w:rFonts w:hint="default" w:ascii="Times New Roman" w:hAnsi="Times New Roman" w:eastAsia="仿宋_GB2312" w:cs="Times New Roman"/>
          <w:sz w:val="32"/>
          <w:szCs w:val="32"/>
          <w:highlight w:val="none"/>
          <w:lang w:val="en-US" w:eastAsia="zh-CN"/>
        </w:rPr>
        <w:t>《关于加力支持大规模设备更新和消费品以旧换新的若干措施》（发改环资〔2024〕1104号）精神，</w:t>
      </w:r>
      <w:r>
        <w:rPr>
          <w:rFonts w:hint="eastAsia" w:ascii="Times New Roman" w:hAnsi="Times New Roman" w:eastAsia="仿宋_GB2312" w:cs="Times New Roman"/>
          <w:sz w:val="32"/>
          <w:szCs w:val="32"/>
          <w:highlight w:val="none"/>
          <w:lang w:val="en-US" w:eastAsia="zh-CN"/>
        </w:rPr>
        <w:t>进一步</w:t>
      </w:r>
      <w:r>
        <w:rPr>
          <w:rFonts w:hint="default" w:ascii="Times New Roman" w:hAnsi="Times New Roman" w:eastAsia="仿宋_GB2312" w:cs="Times New Roman"/>
          <w:sz w:val="32"/>
          <w:szCs w:val="32"/>
          <w:highlight w:val="none"/>
          <w:lang w:val="en-US" w:eastAsia="zh-CN"/>
        </w:rPr>
        <w:t>促进家装家居改造产品消费，切实提升居民生活品质，特制定本细则。</w:t>
      </w:r>
    </w:p>
    <w:p w14:paraId="12085EE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highlight w:val="none"/>
          <w:lang w:val="en-US" w:eastAsia="zh-CN"/>
        </w:rPr>
      </w:pPr>
      <w:r>
        <w:rPr>
          <w:rFonts w:hint="eastAsia" w:ascii="黑体" w:hAnsi="黑体" w:eastAsia="黑体" w:cs="黑体"/>
          <w:kern w:val="2"/>
          <w:sz w:val="32"/>
          <w:szCs w:val="32"/>
          <w:highlight w:val="none"/>
          <w:lang w:val="en-US" w:eastAsia="zh-CN" w:bidi="ar-SA"/>
        </w:rPr>
        <w:t>一、</w:t>
      </w:r>
      <w:r>
        <w:rPr>
          <w:rFonts w:hint="eastAsia" w:ascii="黑体" w:hAnsi="黑体" w:eastAsia="黑体" w:cs="黑体"/>
          <w:sz w:val="32"/>
          <w:szCs w:val="32"/>
          <w:highlight w:val="none"/>
          <w:lang w:val="en-US" w:eastAsia="zh-CN"/>
        </w:rPr>
        <w:t>实施时间</w:t>
      </w:r>
    </w:p>
    <w:p w14:paraId="066BD75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2024年10月25日至2024年12月31日，若活动资金使用完毕，则活动提前结束。</w:t>
      </w:r>
    </w:p>
    <w:p w14:paraId="2A7B674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二、服务平台</w:t>
      </w:r>
    </w:p>
    <w:p w14:paraId="126EE391">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银联云闪付APP，自2024年11月14日起正式使用。</w:t>
      </w:r>
    </w:p>
    <w:p w14:paraId="3520942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highlight w:val="none"/>
          <w:lang w:val="en-US" w:eastAsia="zh-CN"/>
        </w:rPr>
      </w:pPr>
      <w:r>
        <w:rPr>
          <w:rFonts w:hint="eastAsia" w:ascii="黑体" w:hAnsi="黑体" w:eastAsia="黑体" w:cs="黑体"/>
          <w:kern w:val="2"/>
          <w:sz w:val="32"/>
          <w:szCs w:val="32"/>
          <w:highlight w:val="none"/>
          <w:lang w:val="en-US" w:eastAsia="zh-CN" w:bidi="ar-SA"/>
        </w:rPr>
        <w:t>三、</w:t>
      </w:r>
      <w:r>
        <w:rPr>
          <w:rFonts w:hint="eastAsia" w:ascii="黑体" w:hAnsi="黑体" w:eastAsia="黑体" w:cs="黑体"/>
          <w:sz w:val="32"/>
          <w:szCs w:val="32"/>
          <w:highlight w:val="none"/>
          <w:lang w:val="en-US" w:eastAsia="zh-CN"/>
        </w:rPr>
        <w:t>补贴对象和范围</w:t>
      </w:r>
    </w:p>
    <w:p w14:paraId="047A406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（一）补贴对象。</w:t>
      </w:r>
      <w:r>
        <w:rPr>
          <w:rFonts w:hint="eastAsia" w:ascii="Times New Roman" w:hAnsi="Times New Roman" w:eastAsia="仿宋_GB2312" w:cs="Times New Roman"/>
          <w:sz w:val="32"/>
          <w:szCs w:val="32"/>
          <w:highlight w:val="none"/>
          <w:lang w:val="en-US" w:eastAsia="zh-CN"/>
        </w:rPr>
        <w:t>购买符合条件的补贴产品并获取常州市销售发票的个人消费者。</w:t>
      </w:r>
    </w:p>
    <w:p w14:paraId="699F1AC1">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3" w:firstLineChars="200"/>
        <w:jc w:val="both"/>
        <w:textAlignment w:val="auto"/>
        <w:rPr>
          <w:rFonts w:hint="default" w:ascii="Times New Roman" w:hAnsi="Times New Roman" w:eastAsia="方正仿宋_GBK" w:cs="Times New Roman"/>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（二）补贴范围。</w:t>
      </w:r>
      <w:r>
        <w:rPr>
          <w:rFonts w:ascii="Times New Roman" w:hAnsi="Times New Roman" w:eastAsia="方正仿宋_GBK" w:cs="Times New Roman"/>
          <w:b/>
          <w:bCs/>
          <w:sz w:val="32"/>
          <w:szCs w:val="32"/>
          <w:highlight w:val="none"/>
        </w:rPr>
        <w:t>一是智能家居类：</w:t>
      </w:r>
      <w:r>
        <w:rPr>
          <w:rFonts w:ascii="Times New Roman" w:hAnsi="Times New Roman" w:eastAsia="方正仿宋_GBK" w:cs="Times New Roman"/>
          <w:sz w:val="32"/>
          <w:szCs w:val="32"/>
          <w:highlight w:val="none"/>
        </w:rPr>
        <w:t>智能门锁、智能床（含智能床垫）、智能椅（含智能按摩椅、智能沙发）、智能开关（含智能插座）、智能音响（箱）</w:t>
      </w:r>
      <w:r>
        <w:rPr>
          <w:rFonts w:hint="eastAsia" w:ascii="Times New Roman" w:hAnsi="Times New Roman" w:eastAsia="方正仿宋_GBK" w:cs="Times New Roman"/>
          <w:sz w:val="32"/>
          <w:szCs w:val="32"/>
          <w:highlight w:val="none"/>
          <w:lang w:eastAsia="zh-CN"/>
        </w:rPr>
        <w:t>、</w:t>
      </w:r>
      <w:r>
        <w:rPr>
          <w:rFonts w:hint="eastAsia" w:ascii="Times New Roman" w:hAnsi="Times New Roman" w:eastAsia="方正仿宋_GBK" w:cs="Times New Roman"/>
          <w:sz w:val="32"/>
          <w:szCs w:val="32"/>
          <w:highlight w:val="none"/>
          <w:lang w:val="en-US" w:eastAsia="zh-CN"/>
        </w:rPr>
        <w:t>全屋智能系统</w:t>
      </w:r>
      <w:r>
        <w:rPr>
          <w:rFonts w:ascii="Times New Roman" w:hAnsi="Times New Roman" w:eastAsia="方正仿宋_GBK" w:cs="Times New Roman"/>
          <w:sz w:val="32"/>
          <w:szCs w:val="32"/>
          <w:highlight w:val="none"/>
        </w:rPr>
        <w:t>。</w:t>
      </w:r>
      <w:r>
        <w:rPr>
          <w:rFonts w:ascii="Times New Roman" w:hAnsi="Times New Roman" w:eastAsia="方正仿宋_GBK" w:cs="Times New Roman"/>
          <w:b/>
          <w:bCs/>
          <w:sz w:val="32"/>
          <w:szCs w:val="32"/>
          <w:highlight w:val="none"/>
        </w:rPr>
        <w:t>二是旧房装修和厨卫改造类：</w:t>
      </w:r>
      <w:r>
        <w:rPr>
          <w:rFonts w:ascii="Times New Roman" w:hAnsi="Times New Roman" w:eastAsia="方正仿宋_GBK" w:cs="Times New Roman"/>
          <w:sz w:val="32"/>
          <w:szCs w:val="32"/>
          <w:highlight w:val="none"/>
        </w:rPr>
        <w:t>成品门窗、涂料、瓷砖、石材、木质地板、板材、墙板、墙布、墙纸、家具（含</w:t>
      </w:r>
      <w:r>
        <w:rPr>
          <w:rFonts w:hint="eastAsia" w:ascii="Times New Roman" w:hAnsi="Times New Roman" w:eastAsia="方正仿宋_GBK" w:cs="Times New Roman"/>
          <w:sz w:val="32"/>
          <w:szCs w:val="32"/>
          <w:highlight w:val="none"/>
        </w:rPr>
        <w:t>床、</w:t>
      </w:r>
      <w:r>
        <w:rPr>
          <w:rFonts w:ascii="Times New Roman" w:hAnsi="Times New Roman" w:eastAsia="方正仿宋_GBK" w:cs="Times New Roman"/>
          <w:sz w:val="32"/>
          <w:szCs w:val="32"/>
          <w:highlight w:val="none"/>
        </w:rPr>
        <w:t>床架、床垫、沙发、茶几、桌子、椅子、柜类、全屋定制类）、吊顶（含龙骨）、灯具、卫浴洁具、洗水槽、升降晾衣架。</w:t>
      </w:r>
      <w:r>
        <w:rPr>
          <w:rFonts w:ascii="Times New Roman" w:hAnsi="Times New Roman" w:eastAsia="方正仿宋_GBK" w:cs="Times New Roman"/>
          <w:b/>
          <w:bCs/>
          <w:sz w:val="32"/>
          <w:szCs w:val="32"/>
          <w:highlight w:val="none"/>
        </w:rPr>
        <w:t>三是居家适老化改造类：</w:t>
      </w:r>
      <w:r>
        <w:rPr>
          <w:rFonts w:ascii="Times New Roman" w:hAnsi="Times New Roman" w:eastAsia="方正仿宋_GBK" w:cs="Times New Roman"/>
          <w:sz w:val="32"/>
          <w:szCs w:val="32"/>
          <w:highlight w:val="none"/>
        </w:rPr>
        <w:t>沐浴椅、坐式淋浴器、暖风机、呼救器、护理床、监控摄像头。</w:t>
      </w:r>
      <w:r>
        <w:rPr>
          <w:rFonts w:hint="eastAsia" w:ascii="Times New Roman" w:hAnsi="Times New Roman" w:eastAsia="方正仿宋_GBK" w:cs="Times New Roman"/>
          <w:sz w:val="32"/>
          <w:szCs w:val="32"/>
          <w:highlight w:val="none"/>
          <w:lang w:val="en-US" w:eastAsia="zh-CN"/>
        </w:rPr>
        <w:t>鼓励个人消费者购买经过认证的绿色节能、节水产品。</w:t>
      </w:r>
    </w:p>
    <w:p w14:paraId="2DC62D8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sz w:val="32"/>
          <w:szCs w:val="32"/>
          <w:highlight w:val="none"/>
          <w:lang w:val="en-US" w:eastAsia="zh-CN"/>
        </w:rPr>
      </w:pPr>
      <w:r>
        <w:rPr>
          <w:rFonts w:hint="eastAsia" w:ascii="黑体" w:hAnsi="黑体" w:eastAsia="黑体" w:cs="黑体"/>
          <w:kern w:val="2"/>
          <w:sz w:val="32"/>
          <w:szCs w:val="32"/>
          <w:highlight w:val="none"/>
          <w:lang w:val="en-US" w:eastAsia="zh-CN" w:bidi="ar-SA"/>
        </w:rPr>
        <w:t>四、</w:t>
      </w:r>
      <w:r>
        <w:rPr>
          <w:rFonts w:hint="eastAsia" w:ascii="黑体" w:hAnsi="黑体" w:eastAsia="黑体" w:cs="黑体"/>
          <w:sz w:val="32"/>
          <w:szCs w:val="32"/>
          <w:highlight w:val="none"/>
          <w:lang w:val="en-US" w:eastAsia="zh-CN"/>
        </w:rPr>
        <w:t>补贴标准</w:t>
      </w:r>
    </w:p>
    <w:p w14:paraId="53D2932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对个人消费者在我市</w:t>
      </w:r>
      <w:r>
        <w:rPr>
          <w:rFonts w:ascii="FangSong_GB2312" w:hAnsi="FangSong_GB2312" w:eastAsia="FangSong_GB2312" w:cs="FangSong_GB2312"/>
          <w:spacing w:val="13"/>
          <w:sz w:val="31"/>
          <w:szCs w:val="31"/>
          <w:highlight w:val="none"/>
        </w:rPr>
        <w:t>参加活动的销售</w:t>
      </w:r>
      <w:r>
        <w:rPr>
          <w:rFonts w:hint="eastAsia" w:ascii="FangSong_GB2312" w:hAnsi="FangSong_GB2312" w:eastAsia="FangSong_GB2312" w:cs="FangSong_GB2312"/>
          <w:spacing w:val="13"/>
          <w:sz w:val="31"/>
          <w:szCs w:val="31"/>
          <w:highlight w:val="none"/>
          <w:lang w:val="en-US" w:eastAsia="zh-CN"/>
        </w:rPr>
        <w:t>商家</w:t>
      </w:r>
      <w:r>
        <w:rPr>
          <w:rFonts w:hint="eastAsia" w:ascii="Times New Roman" w:hAnsi="Times New Roman" w:eastAsia="仿宋_GB2312" w:cs="Times New Roman"/>
          <w:sz w:val="32"/>
          <w:szCs w:val="32"/>
          <w:highlight w:val="none"/>
          <w:lang w:val="en-US" w:eastAsia="zh-CN"/>
        </w:rPr>
        <w:t>（另行公布）购买纳入补贴范围的产品，按照产品销售价格（剔除所有折扣优惠后）的15%给予补贴，每户可享受总补贴金额不超过3万元。</w:t>
      </w:r>
    </w:p>
    <w:p w14:paraId="33D5432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sz w:val="32"/>
          <w:szCs w:val="32"/>
          <w:highlight w:val="none"/>
          <w:lang w:val="en-US" w:eastAsia="zh-CN"/>
        </w:rPr>
      </w:pPr>
      <w:r>
        <w:rPr>
          <w:rFonts w:hint="eastAsia" w:ascii="黑体" w:hAnsi="黑体" w:eastAsia="黑体" w:cs="黑体"/>
          <w:kern w:val="2"/>
          <w:sz w:val="32"/>
          <w:szCs w:val="32"/>
          <w:highlight w:val="none"/>
          <w:lang w:val="en-US" w:eastAsia="zh-CN" w:bidi="ar-SA"/>
        </w:rPr>
        <w:t>五、</w:t>
      </w:r>
      <w:r>
        <w:rPr>
          <w:rFonts w:hint="eastAsia" w:ascii="黑体" w:hAnsi="黑体" w:eastAsia="黑体" w:cs="黑体"/>
          <w:sz w:val="32"/>
          <w:szCs w:val="32"/>
          <w:highlight w:val="none"/>
          <w:lang w:val="en-US" w:eastAsia="zh-CN"/>
        </w:rPr>
        <w:t>补贴规则和流程</w:t>
      </w:r>
    </w:p>
    <w:p w14:paraId="1726DF4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（一）补贴使用。</w:t>
      </w:r>
    </w:p>
    <w:p w14:paraId="674305D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rFonts w:hint="eastAsia" w:ascii="Times New Roman" w:hAnsi="Times New Roman" w:eastAsia="仿宋_GB2312" w:cs="Times New Roman"/>
          <w:b/>
          <w:bCs/>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1. 11月14日至12月31日</w:t>
      </w:r>
    </w:p>
    <w:p w14:paraId="17109252">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在此期间，个人消费者在我市参加活动的销售商家购买纳入补贴范围的产品，通过银联云闪付APP支付货款时，符合条件的按产品成交价的15%给予一次性立减补贴，支付完成后开具个人普通发票。消费者下单付款时需携带房产证明材料（房产证、宅基地证、建房申请登记材料、购房发票任意一种），按付款页面提示输入相关信息。</w:t>
      </w:r>
    </w:p>
    <w:p w14:paraId="7AE505E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2</w:t>
      </w:r>
      <w:r>
        <w:rPr>
          <w:rFonts w:hint="default" w:ascii="Times New Roman" w:hAnsi="Times New Roman" w:eastAsia="仿宋_GB2312" w:cs="Times New Roman"/>
          <w:b/>
          <w:bCs/>
          <w:sz w:val="32"/>
          <w:szCs w:val="32"/>
          <w:highlight w:val="none"/>
          <w:lang w:val="en-US" w:eastAsia="zh-CN"/>
        </w:rPr>
        <w:t>. 1</w:t>
      </w:r>
      <w:r>
        <w:rPr>
          <w:rFonts w:hint="eastAsia" w:ascii="Times New Roman" w:hAnsi="Times New Roman" w:eastAsia="仿宋_GB2312" w:cs="Times New Roman"/>
          <w:b/>
          <w:bCs/>
          <w:sz w:val="32"/>
          <w:szCs w:val="32"/>
          <w:highlight w:val="none"/>
          <w:lang w:val="en-US" w:eastAsia="zh-CN"/>
        </w:rPr>
        <w:t>0</w:t>
      </w:r>
      <w:r>
        <w:rPr>
          <w:rFonts w:hint="default" w:ascii="Times New Roman" w:hAnsi="Times New Roman" w:eastAsia="仿宋_GB2312" w:cs="Times New Roman"/>
          <w:b/>
          <w:bCs/>
          <w:sz w:val="32"/>
          <w:szCs w:val="32"/>
          <w:highlight w:val="none"/>
          <w:lang w:val="en-US" w:eastAsia="zh-CN"/>
        </w:rPr>
        <w:t>月</w:t>
      </w:r>
      <w:r>
        <w:rPr>
          <w:rFonts w:hint="eastAsia" w:ascii="Times New Roman" w:hAnsi="Times New Roman" w:eastAsia="仿宋_GB2312" w:cs="Times New Roman"/>
          <w:b/>
          <w:bCs/>
          <w:sz w:val="32"/>
          <w:szCs w:val="32"/>
          <w:highlight w:val="none"/>
          <w:lang w:val="en-US" w:eastAsia="zh-CN"/>
        </w:rPr>
        <w:t>25</w:t>
      </w:r>
      <w:r>
        <w:rPr>
          <w:rFonts w:hint="default" w:ascii="Times New Roman" w:hAnsi="Times New Roman" w:eastAsia="仿宋_GB2312" w:cs="Times New Roman"/>
          <w:b/>
          <w:bCs/>
          <w:sz w:val="32"/>
          <w:szCs w:val="32"/>
          <w:highlight w:val="none"/>
          <w:lang w:val="en-US" w:eastAsia="zh-CN"/>
        </w:rPr>
        <w:t>日至11月</w:t>
      </w:r>
      <w:r>
        <w:rPr>
          <w:rFonts w:hint="eastAsia" w:ascii="Times New Roman" w:hAnsi="Times New Roman" w:eastAsia="仿宋_GB2312" w:cs="Times New Roman"/>
          <w:b/>
          <w:bCs/>
          <w:sz w:val="32"/>
          <w:szCs w:val="32"/>
          <w:highlight w:val="none"/>
          <w:lang w:val="en-US" w:eastAsia="zh-CN"/>
        </w:rPr>
        <w:t>13</w:t>
      </w:r>
      <w:r>
        <w:rPr>
          <w:rFonts w:hint="default" w:ascii="Times New Roman" w:hAnsi="Times New Roman" w:eastAsia="仿宋_GB2312" w:cs="Times New Roman"/>
          <w:b/>
          <w:bCs/>
          <w:sz w:val="32"/>
          <w:szCs w:val="32"/>
          <w:highlight w:val="none"/>
          <w:lang w:val="en-US" w:eastAsia="zh-CN"/>
        </w:rPr>
        <w:t>日</w:t>
      </w:r>
    </w:p>
    <w:p w14:paraId="2547ABB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在此期间，个人消费者在我市参加活动的销售商家购买纳入补贴范围的产品，采取事后申报的方式参与活动，经审核通过后可享受补贴。</w:t>
      </w:r>
    </w:p>
    <w:p w14:paraId="73D989B1">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个人</w:t>
      </w:r>
      <w:r>
        <w:rPr>
          <w:rFonts w:hint="eastAsia" w:ascii="Times New Roman" w:hAnsi="Times New Roman" w:eastAsia="仿宋_GB2312" w:cs="Times New Roman"/>
          <w:sz w:val="32"/>
          <w:szCs w:val="32"/>
          <w:highlight w:val="none"/>
          <w:lang w:val="en-US" w:eastAsia="zh-CN"/>
        </w:rPr>
        <w:t>消费者登录银联云闪付APP，定位常州，在首页“家装补贴”模块内点击“10月25日至11月13日交易订单补贴申领登记”端口，按要求提交如下所列本人身份信息及相关交易凭证，审核通过后按照活动标准以现金形式补贴至消费者银行账户。</w:t>
      </w:r>
    </w:p>
    <w:p w14:paraId="259F0BD2">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（1）申请人本人姓名、有效身份证件号码及照片；</w:t>
      </w:r>
    </w:p>
    <w:p w14:paraId="4B08D8E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（2）申请人本人拥有的可正常接收电话、短信的手机号码；</w:t>
      </w:r>
    </w:p>
    <w:p w14:paraId="10EC60B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（3）10月25日至11月</w:t>
      </w:r>
      <w:r>
        <w:rPr>
          <w:rFonts w:hint="eastAsia" w:ascii="Times New Roman" w:hAnsi="Times New Roman" w:eastAsia="仿宋_GB2312" w:cs="Times New Roman"/>
          <w:sz w:val="32"/>
          <w:szCs w:val="32"/>
          <w:highlight w:val="none"/>
          <w:lang w:val="en-US" w:eastAsia="zh-CN"/>
        </w:rPr>
        <w:t>13</w:t>
      </w:r>
      <w:r>
        <w:rPr>
          <w:rFonts w:hint="default" w:ascii="Times New Roman" w:hAnsi="Times New Roman" w:eastAsia="仿宋_GB2312" w:cs="Times New Roman"/>
          <w:sz w:val="32"/>
          <w:szCs w:val="32"/>
          <w:highlight w:val="none"/>
          <w:lang w:val="en-US" w:eastAsia="zh-CN"/>
        </w:rPr>
        <w:t>日前在我市参加活动</w:t>
      </w:r>
      <w:r>
        <w:rPr>
          <w:rFonts w:hint="eastAsia" w:ascii="Times New Roman" w:hAnsi="Times New Roman" w:eastAsia="仿宋_GB2312" w:cs="Times New Roman"/>
          <w:sz w:val="32"/>
          <w:szCs w:val="32"/>
          <w:highlight w:val="none"/>
          <w:lang w:val="en-US" w:eastAsia="zh-CN"/>
        </w:rPr>
        <w:t>的</w:t>
      </w:r>
      <w:r>
        <w:rPr>
          <w:rFonts w:hint="default" w:ascii="Times New Roman" w:hAnsi="Times New Roman" w:eastAsia="仿宋_GB2312" w:cs="Times New Roman"/>
          <w:sz w:val="32"/>
          <w:szCs w:val="32"/>
          <w:highlight w:val="none"/>
          <w:lang w:val="en-US" w:eastAsia="zh-CN"/>
        </w:rPr>
        <w:t>商家开具的个人普通发票原件照片（须为本人首次开具，对重开、伪造的发票，不予认定补贴资格），并填写对应交易金额；</w:t>
      </w:r>
    </w:p>
    <w:p w14:paraId="764CFF7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（4）申报发票对应的商品明细（发票信息、订单明细等）、支付凭证（POS小票、电子支付账单等）；</w:t>
      </w:r>
    </w:p>
    <w:p w14:paraId="684ADFF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（5）申请人本人名下的银行</w:t>
      </w:r>
      <w:r>
        <w:rPr>
          <w:rFonts w:hint="eastAsia" w:ascii="Times New Roman" w:hAnsi="Times New Roman" w:eastAsia="仿宋_GB2312" w:cs="Times New Roman"/>
          <w:sz w:val="32"/>
          <w:szCs w:val="32"/>
          <w:highlight w:val="none"/>
          <w:lang w:val="en-US" w:eastAsia="zh-CN"/>
        </w:rPr>
        <w:t>一类</w:t>
      </w:r>
      <w:r>
        <w:rPr>
          <w:rFonts w:hint="default" w:ascii="Times New Roman" w:hAnsi="Times New Roman" w:eastAsia="仿宋_GB2312" w:cs="Times New Roman"/>
          <w:sz w:val="32"/>
          <w:szCs w:val="32"/>
          <w:highlight w:val="none"/>
          <w:lang w:val="en-US" w:eastAsia="zh-CN"/>
        </w:rPr>
        <w:t>借记卡（接收补贴资金发放）及银行卡预留手机号。</w:t>
      </w:r>
    </w:p>
    <w:p w14:paraId="38EC0AA2">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上述申请人提交的材料须与本人信息保持一致</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对申报材料不齐全、</w:t>
      </w:r>
      <w:r>
        <w:rPr>
          <w:rFonts w:hint="eastAsia" w:ascii="Times New Roman" w:hAnsi="Times New Roman" w:eastAsia="仿宋_GB2312" w:cs="Times New Roman"/>
          <w:sz w:val="32"/>
          <w:szCs w:val="32"/>
          <w:highlight w:val="none"/>
          <w:lang w:val="en-US" w:eastAsia="zh-CN"/>
        </w:rPr>
        <w:t>申报材料不清晰的</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将退回限期修改，逾期作废</w:t>
      </w:r>
      <w:r>
        <w:rPr>
          <w:rFonts w:hint="default" w:ascii="Times New Roman" w:hAnsi="Times New Roman" w:eastAsia="仿宋_GB2312" w:cs="Times New Roman"/>
          <w:sz w:val="32"/>
          <w:szCs w:val="32"/>
          <w:highlight w:val="none"/>
          <w:lang w:val="en-US" w:eastAsia="zh-CN"/>
        </w:rPr>
        <w:t>。</w:t>
      </w:r>
    </w:p>
    <w:p w14:paraId="3E91281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（二）退货处理。</w:t>
      </w:r>
      <w:r>
        <w:rPr>
          <w:rFonts w:hint="eastAsia" w:ascii="Times New Roman" w:hAnsi="Times New Roman" w:eastAsia="仿宋_GB2312" w:cs="Times New Roman"/>
          <w:sz w:val="32"/>
          <w:szCs w:val="32"/>
          <w:highlight w:val="none"/>
          <w:lang w:val="en-US" w:eastAsia="zh-CN"/>
        </w:rPr>
        <w:t>消费者享受财政补贴的订单如需退货，消费者联系销售商家，商家核实商品退货情况后，为消费者申请退款，退货应在12月31日前完成。退还消费者款项不包含补贴资金，实付资金通过原支付渠道退还。如退货发生在财政补贴资金拨付以后，由销售商家及时将与退货相关的补贴资金退还国库。</w:t>
      </w:r>
    </w:p>
    <w:p w14:paraId="227F843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（三）注意事项。</w:t>
      </w:r>
      <w:r>
        <w:rPr>
          <w:rFonts w:hint="eastAsia" w:ascii="Times New Roman" w:hAnsi="Times New Roman" w:eastAsia="仿宋_GB2312" w:cs="Times New Roman"/>
          <w:sz w:val="32"/>
          <w:szCs w:val="32"/>
          <w:highlight w:val="none"/>
          <w:lang w:val="en-US" w:eastAsia="zh-CN"/>
        </w:rPr>
        <w:t>收货地址必须与上传附件佐证材料的地址一致；如同时购买多件产品，收货地址必须填写一致；一个地址只能一个消费者申请。</w:t>
      </w:r>
    </w:p>
    <w:p w14:paraId="6A0CC5B0">
      <w:pPr>
        <w:keepNext w:val="0"/>
        <w:keepLines w:val="0"/>
        <w:pageBreakBefore w:val="0"/>
        <w:widowControl w:val="0"/>
        <w:kinsoku/>
        <w:wordWrap/>
        <w:overflowPunct/>
        <w:topLinePunct w:val="0"/>
        <w:autoSpaceDE/>
        <w:autoSpaceDN/>
        <w:bidi w:val="0"/>
        <w:adjustRightInd/>
        <w:snapToGrid/>
        <w:spacing w:before="56" w:line="580" w:lineRule="exact"/>
        <w:ind w:left="653"/>
        <w:textAlignment w:val="auto"/>
        <w:outlineLvl w:val="1"/>
        <w:rPr>
          <w:rFonts w:hint="eastAsia" w:ascii="黑体" w:hAnsi="黑体" w:eastAsia="黑体" w:cs="黑体"/>
          <w:spacing w:val="6"/>
          <w:sz w:val="31"/>
          <w:szCs w:val="31"/>
          <w:highlight w:val="none"/>
          <w:lang w:val="en-US" w:eastAsia="zh-CN"/>
        </w:rPr>
      </w:pPr>
      <w:r>
        <w:rPr>
          <w:rFonts w:hint="eastAsia" w:ascii="黑体" w:hAnsi="黑体" w:eastAsia="黑体" w:cs="黑体"/>
          <w:spacing w:val="6"/>
          <w:sz w:val="31"/>
          <w:szCs w:val="31"/>
          <w:highlight w:val="none"/>
          <w:lang w:val="en-US" w:eastAsia="zh-CN"/>
        </w:rPr>
        <w:t>六、实施步骤</w:t>
      </w:r>
    </w:p>
    <w:p w14:paraId="244AED87">
      <w:pPr>
        <w:keepNext w:val="0"/>
        <w:keepLines w:val="0"/>
        <w:pageBreakBefore w:val="0"/>
        <w:widowControl w:val="0"/>
        <w:kinsoku/>
        <w:wordWrap/>
        <w:overflowPunct/>
        <w:topLinePunct w:val="0"/>
        <w:autoSpaceDE/>
        <w:autoSpaceDN/>
        <w:bidi w:val="0"/>
        <w:adjustRightInd/>
        <w:snapToGrid/>
        <w:spacing w:before="56" w:line="580" w:lineRule="exact"/>
        <w:ind w:firstLine="643" w:firstLineChars="200"/>
        <w:textAlignment w:val="auto"/>
        <w:outlineLvl w:val="1"/>
        <w:rPr>
          <w:rFonts w:hint="default" w:ascii="Times New Roman" w:hAnsi="Times New Roman" w:eastAsia="仿宋_GB2312" w:cs="Times New Roman"/>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（一）公开征选服务平台。</w:t>
      </w:r>
      <w:r>
        <w:rPr>
          <w:rFonts w:hint="eastAsia" w:ascii="Times New Roman" w:hAnsi="Times New Roman" w:eastAsia="仿宋_GB2312" w:cs="Times New Roman"/>
          <w:sz w:val="32"/>
          <w:szCs w:val="32"/>
          <w:highlight w:val="none"/>
          <w:lang w:val="en-US" w:eastAsia="zh-CN"/>
        </w:rPr>
        <w:t>公开征选确定本次活动的支付服务平台，并签订相关协议。</w:t>
      </w:r>
    </w:p>
    <w:p w14:paraId="276129F4">
      <w:pPr>
        <w:keepNext w:val="0"/>
        <w:keepLines w:val="0"/>
        <w:pageBreakBefore w:val="0"/>
        <w:widowControl w:val="0"/>
        <w:kinsoku/>
        <w:wordWrap/>
        <w:overflowPunct/>
        <w:topLinePunct w:val="0"/>
        <w:autoSpaceDE/>
        <w:autoSpaceDN/>
        <w:bidi w:val="0"/>
        <w:adjustRightInd/>
        <w:snapToGrid/>
        <w:spacing w:before="56" w:line="580" w:lineRule="exact"/>
        <w:ind w:firstLine="643" w:firstLineChars="200"/>
        <w:textAlignment w:val="auto"/>
        <w:outlineLvl w:val="1"/>
        <w:rPr>
          <w:rFonts w:hint="default" w:ascii="Times New Roman" w:hAnsi="Times New Roman" w:eastAsia="仿宋_GB2312" w:cs="Times New Roman"/>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（二）遴选活动参与企业。</w:t>
      </w:r>
      <w:r>
        <w:rPr>
          <w:rFonts w:hint="eastAsia" w:ascii="Times New Roman" w:hAnsi="Times New Roman" w:eastAsia="仿宋_GB2312" w:cs="Times New Roman"/>
          <w:sz w:val="32"/>
          <w:szCs w:val="32"/>
          <w:highlight w:val="none"/>
          <w:lang w:val="en-US" w:eastAsia="zh-CN"/>
        </w:rPr>
        <w:t>面向全市组织家装家居改造领域销售企业申报参与活动，各辖市（区）、常州经开区商务主管部门做好参加活动单位摸排和材料收集工作，并会同板块相关部门开展初审，市商务局会同市级相关部门复审后，确定参与企业并公告，后续将视情滚动开展遴选。</w:t>
      </w:r>
    </w:p>
    <w:p w14:paraId="1033D960">
      <w:pPr>
        <w:keepNext w:val="0"/>
        <w:keepLines w:val="0"/>
        <w:pageBreakBefore w:val="0"/>
        <w:widowControl w:val="0"/>
        <w:kinsoku/>
        <w:wordWrap/>
        <w:overflowPunct/>
        <w:topLinePunct w:val="0"/>
        <w:autoSpaceDE/>
        <w:autoSpaceDN/>
        <w:bidi w:val="0"/>
        <w:adjustRightInd/>
        <w:snapToGrid/>
        <w:spacing w:before="56" w:line="580" w:lineRule="exact"/>
        <w:ind w:firstLine="643" w:firstLineChars="200"/>
        <w:textAlignment w:val="auto"/>
        <w:outlineLvl w:val="1"/>
        <w:rPr>
          <w:rFonts w:hint="default" w:ascii="Times New Roman" w:hAnsi="Times New Roman" w:eastAsia="仿宋_GB2312" w:cs="Times New Roman"/>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（三）正式开展补贴活动。</w:t>
      </w:r>
      <w:r>
        <w:rPr>
          <w:rFonts w:hint="eastAsia" w:ascii="Times New Roman" w:hAnsi="Times New Roman" w:eastAsia="仿宋_GB2312" w:cs="Times New Roman"/>
          <w:sz w:val="32"/>
          <w:szCs w:val="32"/>
          <w:highlight w:val="none"/>
          <w:lang w:val="en-US" w:eastAsia="zh-CN"/>
        </w:rPr>
        <w:t>活动参与企业需与选定的服务平台完成对接和调试后，正式开展补贴活动。</w:t>
      </w:r>
    </w:p>
    <w:p w14:paraId="54C63A67">
      <w:pPr>
        <w:keepNext w:val="0"/>
        <w:keepLines w:val="0"/>
        <w:pageBreakBefore w:val="0"/>
        <w:widowControl w:val="0"/>
        <w:kinsoku/>
        <w:wordWrap/>
        <w:overflowPunct/>
        <w:topLinePunct w:val="0"/>
        <w:autoSpaceDE/>
        <w:autoSpaceDN/>
        <w:bidi w:val="0"/>
        <w:adjustRightInd/>
        <w:snapToGrid/>
        <w:spacing w:before="56" w:line="580" w:lineRule="exact"/>
        <w:ind w:firstLine="643" w:firstLineChars="200"/>
        <w:textAlignment w:val="auto"/>
        <w:outlineLvl w:val="1"/>
        <w:rPr>
          <w:rFonts w:hint="default"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（四）资金拨付。</w:t>
      </w:r>
      <w:r>
        <w:rPr>
          <w:rFonts w:hint="eastAsia" w:ascii="Times New Roman" w:hAnsi="Times New Roman" w:eastAsia="仿宋_GB2312" w:cs="Times New Roman"/>
          <w:sz w:val="32"/>
          <w:szCs w:val="32"/>
          <w:highlight w:val="none"/>
          <w:lang w:val="en-US" w:eastAsia="zh-CN"/>
        </w:rPr>
        <w:t>补贴资金由企业先行垫付，活动结束后，由市商务局委托的第三方审计机构对参与企业的补贴交易进行审计，确认无误后将补贴资金拨付至参与企业。</w:t>
      </w:r>
    </w:p>
    <w:p w14:paraId="1A0660B6">
      <w:pPr>
        <w:keepNext w:val="0"/>
        <w:keepLines w:val="0"/>
        <w:pageBreakBefore w:val="0"/>
        <w:widowControl w:val="0"/>
        <w:kinsoku/>
        <w:wordWrap/>
        <w:overflowPunct/>
        <w:topLinePunct w:val="0"/>
        <w:autoSpaceDE/>
        <w:autoSpaceDN/>
        <w:bidi w:val="0"/>
        <w:adjustRightInd/>
        <w:snapToGrid/>
        <w:spacing w:before="56" w:line="580" w:lineRule="exact"/>
        <w:ind w:left="653"/>
        <w:textAlignment w:val="auto"/>
        <w:outlineLvl w:val="1"/>
        <w:rPr>
          <w:rFonts w:hint="default" w:ascii="黑体" w:hAnsi="黑体" w:eastAsia="黑体" w:cs="黑体"/>
          <w:spacing w:val="6"/>
          <w:sz w:val="31"/>
          <w:szCs w:val="31"/>
          <w:highlight w:val="none"/>
          <w:lang w:val="en-US" w:eastAsia="zh-CN"/>
        </w:rPr>
      </w:pPr>
      <w:r>
        <w:rPr>
          <w:rFonts w:hint="eastAsia" w:ascii="黑体" w:hAnsi="黑体" w:eastAsia="黑体" w:cs="黑体"/>
          <w:sz w:val="32"/>
          <w:szCs w:val="32"/>
          <w:highlight w:val="none"/>
          <w:lang w:val="en-US" w:eastAsia="zh-CN"/>
        </w:rPr>
        <w:t>七、保障措施</w:t>
      </w:r>
    </w:p>
    <w:p w14:paraId="018ABDA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市商务局、市发展改革委、市财政局、市工业和信息化局、市住房城乡建设局、市市场监督管理局会同有关部门建立联系机制，加强工作统筹，定期开展协商，确保家装家居改造补贴活动顺利推进。</w:t>
      </w:r>
    </w:p>
    <w:p w14:paraId="00C65983">
      <w:pPr>
        <w:keepNext w:val="0"/>
        <w:keepLines w:val="0"/>
        <w:pageBreakBefore w:val="0"/>
        <w:widowControl w:val="0"/>
        <w:kinsoku/>
        <w:wordWrap/>
        <w:overflowPunct/>
        <w:topLinePunct w:val="0"/>
        <w:autoSpaceDE/>
        <w:autoSpaceDN/>
        <w:bidi w:val="0"/>
        <w:adjustRightInd/>
        <w:snapToGrid/>
        <w:spacing w:before="56" w:line="580" w:lineRule="exact"/>
        <w:ind w:left="653"/>
        <w:textAlignment w:val="auto"/>
        <w:outlineLvl w:val="1"/>
        <w:rPr>
          <w:rFonts w:hint="default" w:ascii="黑体" w:hAnsi="黑体" w:eastAsia="黑体" w:cs="黑体"/>
          <w:sz w:val="31"/>
          <w:szCs w:val="31"/>
          <w:highlight w:val="none"/>
          <w:lang w:val="en-US" w:eastAsia="zh-CN"/>
        </w:rPr>
      </w:pPr>
      <w:r>
        <w:rPr>
          <w:rFonts w:hint="eastAsia" w:ascii="黑体" w:hAnsi="黑体" w:eastAsia="黑体" w:cs="黑体"/>
          <w:spacing w:val="6"/>
          <w:sz w:val="31"/>
          <w:szCs w:val="31"/>
          <w:highlight w:val="none"/>
          <w:lang w:val="en-US" w:eastAsia="zh-CN"/>
        </w:rPr>
        <w:t>八、其他</w:t>
      </w:r>
    </w:p>
    <w:p w14:paraId="67CCDEB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（一）个人消费者要对提供材料的完整性和真实性负责，对弄虚作假、冒领骗取补贴的，将追缴补贴，并依据相关规定追究法律责任。</w:t>
      </w:r>
    </w:p>
    <w:p w14:paraId="5FA99D3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二）参与活动销售单位采用公开报名并经商务部门确认，名单动态更新；活动期间商品售价应不高于该商品近一个月平均成交价格，不得借机提高商品价格，不得撤架畅销商品，不得搭售滞销商品，不为个人用户享受补贴增设任何附加条件；补贴商品仅开具个人普通发票，不得开具增值税专用发票，发票中销售货物的名称要规范，要明确商品的品牌、品类、型号等，发票价格合计金额应为“消费者个人实际支付金额+政府补贴金额”，需分别注明；愿意先行垫付补贴资金，能承受政府补贴兑现等待时间；能接受相关部门及其委托机构的检查和审计；对于个人消费者在获取补贴资金后如发生退货情形的，按相关规定退还补贴资金，如发现弄虚作假、冒领骗取补贴的，取消参加活动资格。</w:t>
      </w:r>
    </w:p>
    <w:p w14:paraId="3F50861E">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（三）服务平台负责平台支持和参加活动单位软硬件安装及后期审计数据调度等工作，做好支付立减及消费场景的技术支持和咨询服务，并安排专门人员负责。</w:t>
      </w:r>
    </w:p>
    <w:p w14:paraId="42414E6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（四）发挥家居、家装、建材等相关行业协会作用，切实做到行业自律，引导和鼓励符合条件的会员单位积极参加活动，定期汇总相关信息。</w:t>
      </w:r>
    </w:p>
    <w:p w14:paraId="29B1CFB7">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p>
    <w:p w14:paraId="17441048">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常州市商务局                常州市发展和改革委员会</w:t>
      </w:r>
    </w:p>
    <w:p w14:paraId="53552DDB">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p>
    <w:p w14:paraId="7EE64C07">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p>
    <w:p w14:paraId="42FEC550">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常州市工业和信息化局                 常州市财政局</w:t>
      </w:r>
    </w:p>
    <w:p w14:paraId="2F8E824F">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p>
    <w:p w14:paraId="015DF9CB">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p>
    <w:p w14:paraId="1DD068F8">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常州市住房和城乡建设局           常州市市场监督管理局</w:t>
      </w:r>
    </w:p>
    <w:p w14:paraId="17135CD8">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5760" w:firstLineChars="1800"/>
        <w:jc w:val="both"/>
        <w:textAlignment w:val="auto"/>
        <w:rPr>
          <w:rFonts w:hint="eastAsia" w:ascii="Times New Roman" w:hAnsi="Times New Roman" w:eastAsia="仿宋_GB2312" w:cs="Times New Roman"/>
          <w:sz w:val="32"/>
          <w:szCs w:val="32"/>
          <w:highlight w:val="none"/>
          <w:lang w:val="en-US" w:eastAsia="zh-CN"/>
        </w:rPr>
      </w:pPr>
    </w:p>
    <w:p w14:paraId="4335DCA2">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5760" w:firstLineChars="1800"/>
        <w:jc w:val="both"/>
        <w:textAlignment w:val="auto"/>
        <w:rPr>
          <w:rFonts w:hint="eastAsia" w:ascii="Times New Roman" w:hAnsi="Times New Roman" w:eastAsia="仿宋_GB2312" w:cs="Times New Roman"/>
          <w:sz w:val="32"/>
          <w:szCs w:val="32"/>
          <w:highlight w:val="none"/>
          <w:lang w:val="en-US" w:eastAsia="zh-CN"/>
        </w:rPr>
      </w:pPr>
    </w:p>
    <w:p w14:paraId="3D255D05">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default" w:ascii="Times New Roman" w:hAnsi="Times New Roman" w:eastAsia="仿宋_GB2312" w:cs="Times New Roman"/>
          <w:sz w:val="32"/>
          <w:szCs w:val="32"/>
          <w:highlight w:val="none"/>
          <w:lang w:val="en-US" w:eastAsia="zh-CN"/>
        </w:rPr>
      </w:pPr>
    </w:p>
    <w:p w14:paraId="70132109">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default" w:ascii="Times New Roman" w:hAnsi="Times New Roman" w:eastAsia="仿宋_GB2312" w:cs="Times New Roman"/>
          <w:sz w:val="32"/>
          <w:szCs w:val="32"/>
          <w:highlight w:val="none"/>
          <w:lang w:val="en-US" w:eastAsia="zh-CN"/>
        </w:rPr>
      </w:pPr>
      <w:bookmarkStart w:id="0" w:name="_GoBack"/>
      <w:bookmarkEnd w:id="0"/>
    </w:p>
    <w:p w14:paraId="6B860C02">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320" w:firstLineChars="100"/>
        <w:jc w:val="lef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375285</wp:posOffset>
                </wp:positionV>
                <wp:extent cx="5600700" cy="0"/>
                <wp:effectExtent l="0" t="4445" r="0" b="5080"/>
                <wp:wrapNone/>
                <wp:docPr id="2" name="直接连接符 2"/>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9.55pt;height:0pt;width:441pt;z-index:251660288;mso-width-relative:page;mso-height-relative:page;" filled="f" stroked="t" coordsize="21600,21600" o:gfxdata="UEsDBAoAAAAAAIdO4kAAAAAAAAAAAAAAAAAEAAAAZHJzL1BLAwQUAAAACACHTuJAXIOBBtMAAAAG&#10;AQAADwAAAGRycy9kb3ducmV2LnhtbE2PvU7EMBCEeyTewVokmhNnJwgUQpwrgHQ0HCDavXhJIuJ1&#10;Lvb9wNOziALKmVnNfFutjn5Ue5rjENhCtjSgiNvgBu4svDw3FwWomJAdjoHJwidFWNWnJxWWLhz4&#10;ifbr1Ckp4ViihT6lqdQ6tj15jMswEUv2HmaPSeTcaTfjQcr9qHNjrrXHgWWhx4nuemo/1jtvITav&#10;tG2+Fu3CvF12gfLt/eMDWnt+lplbUImO6e8YfvAFHWph2oQdu6hGC/JIsnB1k4GStChyMTa/hq4r&#10;/R+//gZQSwMEFAAAAAgAh07iQNTY1P71AQAA5AMAAA4AAABkcnMvZTJvRG9jLnhtbK1TzY7TMBC+&#10;I/EOlu80aaUuEDXdw5blgqAS8ABT20ks+U8et2lfghdA4gYnjtx5G3Yfg3HS7cLupYfNwRl7xt/M&#10;9814cbm3hu1URO1dzaeTkjPlhJfatTX//On6xSvOMIGTYLxTNT8o5JfL588WfajUzHfeSBUZgTis&#10;+lDzLqVQFQWKTlnAiQ/KkbPx0UKibWwLGaEndGuKWVleFL2PMkQvFCKdrkYnPyLGcwB902ihVl5s&#10;rXJpRI3KQCJK2OmAfDlU2zRKpA9NgyoxU3NimoaVkpC9yWuxXEDVRgidFscS4JwSHnCyoB0lPUGt&#10;IAHbRv0IymoRPfomTYS3xUhkUIRYTMsH2nzsIKiBC0mN4SQ6Ph2seL9bR6ZlzWecObDU8Juvv/58&#10;+X77+xutNz9/sFkWqQ9YUeyVW8fjDsM6Zsb7Jtr8Jy5sPwh7OAmr9okJOpxflOXLkjQXd77i/mKI&#10;mN4qb1k2am60y5yhgt07TJSMQu9C8rFxrK/56/lsTnBAA9hQ48m0gUiga4e76I2W19qYfANju7ky&#10;ke0gD8HwZUqE+19YTrIC7Ma4wTWOR6dAvnGSpUMgeRy9Cp5LsEpyZhQ9omwRIFQJtDknklIbRxVk&#10;VUcds7Xx8kDN2Iao246UmA5VZg81f6j3OKh5uv7dD0j3j3P5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yDgQbTAAAABgEAAA8AAAAAAAAAAQAgAAAAIgAAAGRycy9kb3ducmV2LnhtbFBLAQIUABQA&#10;AAAIAIdO4kDU2NT+9QEAAOQDAAAOAAAAAAAAAAEAIAAAACIBAABkcnMvZTJvRG9jLnhtbFBLBQYA&#10;AAAABgAGAFkBAACJBQAAAAA=&#10;">
                <v:fill on="f" focussize="0,0"/>
                <v:stroke color="#000000" joinstyle="round"/>
                <v:imagedata o:title=""/>
                <o:lock v:ext="edit" aspectratio="f"/>
              </v:line>
            </w:pict>
          </mc:Fallback>
        </mc:AlternateContent>
      </w:r>
      <w:r>
        <w:rPr>
          <w:rFonts w:hint="default" w:ascii="Times New Roman" w:hAnsi="Times New Roman" w:eastAsia="仿宋_GB2312" w:cs="Times New Roman"/>
          <w:sz w:val="32"/>
          <w:szCs w:val="32"/>
          <w:highlight w:val="none"/>
          <w:lang w:val="en-US" w:eastAsia="zh-CN"/>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27940</wp:posOffset>
                </wp:positionV>
                <wp:extent cx="5600700"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2pt;height:0pt;width:441pt;z-index:251659264;mso-width-relative:page;mso-height-relative:page;" filled="f" stroked="t" coordsize="21600,21600" o:gfxdata="UEsDBAoAAAAAAIdO4kAAAAAAAAAAAAAAAAAEAAAAZHJzL1BLAwQUAAAACACHTuJA7zZ0otIAAAAE&#10;AQAADwAAAGRycy9kb3ducmV2LnhtbE2Py07DMBBF90j8gzVIbCpqN1QoCnG6ALJjQwGxncbTJGo8&#10;TmP3AV/PwAaWR3d075lydfaDOtIU+8AWFnMDirgJrufWwttrfZODignZ4RCYLHxShFV1eVFi4cKJ&#10;X+i4Tq2SEo4FWuhSGgutY9ORxzgPI7Fk2zB5TIJTq92EJyn3g86MudMee5aFDkd66KjZrQ/eQqzf&#10;aV9/zZqZ+bhtA2X7x+cntPb6amHuQSU6p79j+NEXdajEaRMO7KIaLMgjycJyCUrCPM+EN7+sq1L/&#10;l6++AVBLAwQUAAAACACHTuJAxbOwk/UBAADkAwAADgAAAGRycy9lMm9Eb2MueG1srVPNjtMwEL4j&#10;8Q6W7zRpV10garqHLcsFQSXgAaaOk1jynzxu074EL4DEDU4cufM2uzwGY6fbheXSAzk4Y8/4m/m+&#10;GS+u9kaznQyonK35dFJyJq1wjbJdzT9+uHn2gjOMYBvQzsqaHyTyq+XTJ4vBV3LmeqcbGRiBWKwG&#10;X/M+Rl8VBYpeGsCJ89KSs3XBQKRt6IomwEDoRhezsrwsBhcaH5yQiHS6Gp38iBjOAXRtq4RcObE1&#10;0sYRNUgNkShhrzzyZa62baWI79oWZWS65sQ05pWSkL1Ja7FcQNUF8L0SxxLgnBIecTKgLCU9Qa0g&#10;AtsG9Q+UUSI4dG2cCGeKkUhWhFhMy0favO/By8yFpEZ/Eh3/H6x4u1sHppqaX3BmwVDD7z7/uP30&#10;9dfPL7Teff/GLpJIg8eKYq/tOhx36NchMd63waQ/cWH7LOzhJKzcRybocH5Zls9L0lzc+4qHiz5g&#10;fC2dYcmouVY2cYYKdm8wUjIKvQ9Jx9qyoeYv57M5wQENYEuNJ9N4IoG2y3fRadXcKK3TDQzd5loH&#10;toM0BPlLlAj3r7CUZAXYj3HZNY5HL6F5ZRsWD57ksfQqeCrByIYzLekRJYsAoYqg9DmRlFpbqiCp&#10;OuqYrI1rDtSMrQ+q60mJaa4yeaj5ud7joKbp+nOfkR4e5/I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7zZ0otIAAAAEAQAADwAAAAAAAAABACAAAAAiAAAAZHJzL2Rvd25yZXYueG1sUEsBAhQAFAAA&#10;AAgAh07iQMWzsJP1AQAA5AMAAA4AAAAAAAAAAQAgAAAAIQEAAGRycy9lMm9Eb2MueG1sUEsFBgAA&#10;AAAGAAYAWQEAAIgFAAAAAA==&#10;">
                <v:fill on="f" focussize="0,0"/>
                <v:stroke color="#000000" joinstyle="round"/>
                <v:imagedata o:title=""/>
                <o:lock v:ext="edit" aspectratio="f"/>
              </v:line>
            </w:pict>
          </mc:Fallback>
        </mc:AlternateContent>
      </w:r>
      <w:r>
        <w:rPr>
          <w:rFonts w:hint="default" w:ascii="Times New Roman" w:hAnsi="Times New Roman" w:eastAsia="仿宋_GB2312" w:cs="Times New Roman"/>
          <w:sz w:val="32"/>
          <w:szCs w:val="32"/>
          <w:highlight w:val="none"/>
          <w:lang w:val="en-US" w:eastAsia="zh-CN"/>
        </w:rPr>
        <w:t>常州市商务局办公室              2024年</w:t>
      </w:r>
      <w:r>
        <w:rPr>
          <w:rFonts w:hint="eastAsia" w:ascii="Times New Roman" w:hAnsi="Times New Roman" w:eastAsia="仿宋_GB2312" w:cs="Times New Roman"/>
          <w:sz w:val="32"/>
          <w:szCs w:val="32"/>
          <w:highlight w:val="none"/>
          <w:lang w:val="en-US" w:eastAsia="zh-CN"/>
        </w:rPr>
        <w:t>11</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14</w:t>
      </w:r>
      <w:r>
        <w:rPr>
          <w:rFonts w:hint="default" w:ascii="Times New Roman" w:hAnsi="Times New Roman" w:eastAsia="仿宋_GB2312" w:cs="Times New Roman"/>
          <w:sz w:val="32"/>
          <w:szCs w:val="32"/>
          <w:highlight w:val="none"/>
          <w:lang w:val="en-US" w:eastAsia="zh-CN"/>
        </w:rPr>
        <w:t>日印发</w:t>
      </w:r>
    </w:p>
    <w:sectPr>
      <w:footerReference r:id="rId3" w:type="default"/>
      <w:pgSz w:w="11906" w:h="16838"/>
      <w:pgMar w:top="1814" w:right="1531" w:bottom="181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FangSong_GB2312">
    <w:altName w:val="仿宋_GB2312"/>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A1F29D">
    <w:pPr>
      <w:spacing w:line="169" w:lineRule="auto"/>
      <w:ind w:left="7583"/>
      <w:rPr>
        <w:rFonts w:ascii="宋体" w:hAnsi="宋体" w:eastAsia="宋体" w:cs="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hYjMxMjY2YjZjZTIzNjc4YzhjODE5YjljMWM5ODUifQ=="/>
  </w:docVars>
  <w:rsids>
    <w:rsidRoot w:val="00000000"/>
    <w:rsid w:val="000D2701"/>
    <w:rsid w:val="004D6899"/>
    <w:rsid w:val="01037CAD"/>
    <w:rsid w:val="01224AB2"/>
    <w:rsid w:val="01635C49"/>
    <w:rsid w:val="02BF07A6"/>
    <w:rsid w:val="03522419"/>
    <w:rsid w:val="047F3065"/>
    <w:rsid w:val="04AB0032"/>
    <w:rsid w:val="06D25372"/>
    <w:rsid w:val="09320D22"/>
    <w:rsid w:val="0A8315F6"/>
    <w:rsid w:val="0C824041"/>
    <w:rsid w:val="0D305579"/>
    <w:rsid w:val="0DCA4693"/>
    <w:rsid w:val="0FC32EAA"/>
    <w:rsid w:val="12F901BB"/>
    <w:rsid w:val="130C6140"/>
    <w:rsid w:val="140A090B"/>
    <w:rsid w:val="148B31D8"/>
    <w:rsid w:val="151D1013"/>
    <w:rsid w:val="15EA710A"/>
    <w:rsid w:val="17171557"/>
    <w:rsid w:val="179766AE"/>
    <w:rsid w:val="19D43D12"/>
    <w:rsid w:val="1A1D30DC"/>
    <w:rsid w:val="1BF47218"/>
    <w:rsid w:val="1C36422E"/>
    <w:rsid w:val="1C4C052D"/>
    <w:rsid w:val="1C5D5C5E"/>
    <w:rsid w:val="1E625FE5"/>
    <w:rsid w:val="1E9C605F"/>
    <w:rsid w:val="209316D3"/>
    <w:rsid w:val="20EA3839"/>
    <w:rsid w:val="20FC21BE"/>
    <w:rsid w:val="21CB18BC"/>
    <w:rsid w:val="21D270C2"/>
    <w:rsid w:val="22C04851"/>
    <w:rsid w:val="22E846ED"/>
    <w:rsid w:val="264353D8"/>
    <w:rsid w:val="27221F7E"/>
    <w:rsid w:val="27B34624"/>
    <w:rsid w:val="27B54CE8"/>
    <w:rsid w:val="283A1F49"/>
    <w:rsid w:val="2A17569E"/>
    <w:rsid w:val="2B450971"/>
    <w:rsid w:val="2B8C5C18"/>
    <w:rsid w:val="2C6803E8"/>
    <w:rsid w:val="2CEB299B"/>
    <w:rsid w:val="2D697EA3"/>
    <w:rsid w:val="2ED90258"/>
    <w:rsid w:val="30C96FC7"/>
    <w:rsid w:val="30F71D86"/>
    <w:rsid w:val="31120AB3"/>
    <w:rsid w:val="31237C6B"/>
    <w:rsid w:val="31D565CF"/>
    <w:rsid w:val="320F30FF"/>
    <w:rsid w:val="348C32D1"/>
    <w:rsid w:val="35B424EE"/>
    <w:rsid w:val="35BE7316"/>
    <w:rsid w:val="35EF74CF"/>
    <w:rsid w:val="365E28A7"/>
    <w:rsid w:val="36B70FA8"/>
    <w:rsid w:val="37A662B4"/>
    <w:rsid w:val="37D42E21"/>
    <w:rsid w:val="38A151C2"/>
    <w:rsid w:val="38E47094"/>
    <w:rsid w:val="393B1A65"/>
    <w:rsid w:val="39965CD7"/>
    <w:rsid w:val="3A494D5F"/>
    <w:rsid w:val="3A617662"/>
    <w:rsid w:val="3C6109FB"/>
    <w:rsid w:val="3CBB52B9"/>
    <w:rsid w:val="3D6D6A3B"/>
    <w:rsid w:val="3DC6211D"/>
    <w:rsid w:val="3E7C7D6E"/>
    <w:rsid w:val="3E8157A4"/>
    <w:rsid w:val="3EA82911"/>
    <w:rsid w:val="3EE46A75"/>
    <w:rsid w:val="3F4C7741"/>
    <w:rsid w:val="409A0980"/>
    <w:rsid w:val="42004812"/>
    <w:rsid w:val="422B7AE1"/>
    <w:rsid w:val="43DB1093"/>
    <w:rsid w:val="467F5E3C"/>
    <w:rsid w:val="46F834AF"/>
    <w:rsid w:val="48384A2F"/>
    <w:rsid w:val="4B123244"/>
    <w:rsid w:val="4BB434EA"/>
    <w:rsid w:val="4C6F27ED"/>
    <w:rsid w:val="4C8E32AA"/>
    <w:rsid w:val="4CF11927"/>
    <w:rsid w:val="4E5B1189"/>
    <w:rsid w:val="4F1E2EF2"/>
    <w:rsid w:val="50056699"/>
    <w:rsid w:val="52D65847"/>
    <w:rsid w:val="5350484D"/>
    <w:rsid w:val="53E144A4"/>
    <w:rsid w:val="53FF2B7C"/>
    <w:rsid w:val="548D462B"/>
    <w:rsid w:val="55652EB2"/>
    <w:rsid w:val="56A93273"/>
    <w:rsid w:val="57DA71EA"/>
    <w:rsid w:val="58967A9B"/>
    <w:rsid w:val="5AC661A1"/>
    <w:rsid w:val="5AD20FEA"/>
    <w:rsid w:val="5ADE2FF4"/>
    <w:rsid w:val="5AFE3B8D"/>
    <w:rsid w:val="5B01367D"/>
    <w:rsid w:val="5B54712C"/>
    <w:rsid w:val="5BE808C9"/>
    <w:rsid w:val="5D1C425D"/>
    <w:rsid w:val="5E021BE6"/>
    <w:rsid w:val="5E693A13"/>
    <w:rsid w:val="5E754896"/>
    <w:rsid w:val="5EAD1589"/>
    <w:rsid w:val="5EE93E95"/>
    <w:rsid w:val="603718EF"/>
    <w:rsid w:val="60841151"/>
    <w:rsid w:val="6126799A"/>
    <w:rsid w:val="632B74E9"/>
    <w:rsid w:val="632D7981"/>
    <w:rsid w:val="649564CF"/>
    <w:rsid w:val="66BC2B4E"/>
    <w:rsid w:val="67852F40"/>
    <w:rsid w:val="67C14FEE"/>
    <w:rsid w:val="67D619EE"/>
    <w:rsid w:val="68336E40"/>
    <w:rsid w:val="699F653B"/>
    <w:rsid w:val="6AA858C3"/>
    <w:rsid w:val="6E0D5FE7"/>
    <w:rsid w:val="72A42E14"/>
    <w:rsid w:val="734D525A"/>
    <w:rsid w:val="74C017DE"/>
    <w:rsid w:val="76412030"/>
    <w:rsid w:val="76AE4262"/>
    <w:rsid w:val="7730657F"/>
    <w:rsid w:val="799325F8"/>
    <w:rsid w:val="7AAD65DE"/>
    <w:rsid w:val="7AC92273"/>
    <w:rsid w:val="7B917B38"/>
    <w:rsid w:val="7CED4E43"/>
    <w:rsid w:val="7D0E684C"/>
    <w:rsid w:val="7D602866"/>
    <w:rsid w:val="7DB5472A"/>
    <w:rsid w:val="7E203B02"/>
    <w:rsid w:val="7ED40CDB"/>
    <w:rsid w:val="7F1906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2409</Words>
  <Characters>2475</Characters>
  <Lines>0</Lines>
  <Paragraphs>0</Paragraphs>
  <TotalTime>7</TotalTime>
  <ScaleCrop>false</ScaleCrop>
  <LinksUpToDate>false</LinksUpToDate>
  <CharactersWithSpaces>2535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2024-10-28T01:17:00Z</dcterms:created>
  <dc:creator>19614</dc:creator>
  <cp:lastModifiedBy>梅庆阳</cp:lastModifiedBy>
  <cp:lastPrinted>2024-11-14T00:53:57Z</cp:lastPrinted>
  <dcterms:modified xsi:type="dcterms:W3CDTF">2024-11-14T05:59:53Z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EDF255F7142243B3902737BF852DD3A3_12</vt:lpwstr>
  </property>
</Properties>
</file>