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36357">
      <w:pPr>
        <w:rPr>
          <w:rFonts w:ascii="Times New Roman" w:hAnsi="Times New Roman" w:eastAsia="黑体" w:cs="仿宋_GB2312"/>
          <w:color w:val="000000"/>
        </w:rPr>
      </w:pPr>
      <w:r>
        <w:rPr>
          <w:rFonts w:ascii="Times New Roman" w:hAnsi="Times New Roman" w:eastAsia="黑体" w:cs="仿宋_GB2312"/>
          <w:color w:val="000000"/>
        </w:rPr>
        <w:t>附件</w:t>
      </w:r>
      <w:r>
        <w:rPr>
          <w:rFonts w:hint="eastAsia" w:ascii="Times New Roman" w:hAnsi="Times New Roman" w:eastAsia="黑体" w:cs="仿宋_GB2312"/>
          <w:color w:val="000000"/>
        </w:rPr>
        <w:t>2</w:t>
      </w:r>
      <w:bookmarkStart w:id="0" w:name="_GoBack"/>
      <w:bookmarkEnd w:id="0"/>
    </w:p>
    <w:p w14:paraId="2FE72A77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参保患者入院评估表</w:t>
      </w:r>
    </w:p>
    <w:p w14:paraId="336DF699">
      <w:pPr>
        <w:tabs>
          <w:tab w:val="left" w:pos="3041"/>
          <w:tab w:val="left" w:pos="6282"/>
          <w:tab w:val="left" w:pos="8375"/>
        </w:tabs>
        <w:spacing w:before="41"/>
        <w:rPr>
          <w:rFonts w:ascii="Times New Roman" w:hAnsi="Times New Roman" w:eastAsiaTheme="minorEastAsia"/>
          <w:sz w:val="21"/>
          <w:szCs w:val="21"/>
          <w:u w:val="single"/>
        </w:rPr>
      </w:pPr>
      <w:r>
        <w:rPr>
          <w:rFonts w:ascii="Times New Roman" w:hAnsiTheme="minorEastAsia" w:eastAsiaTheme="minorEastAsia"/>
          <w:spacing w:val="4"/>
          <w:sz w:val="21"/>
          <w:szCs w:val="21"/>
        </w:rPr>
        <w:t>姓</w:t>
      </w:r>
      <w:r>
        <w:rPr>
          <w:rFonts w:ascii="Times New Roman" w:hAnsiTheme="minorEastAsia" w:eastAsiaTheme="minorEastAsia"/>
          <w:spacing w:val="6"/>
          <w:sz w:val="21"/>
          <w:szCs w:val="21"/>
        </w:rPr>
        <w:t>名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pacing w:val="-37"/>
          <w:w w:val="75"/>
          <w:sz w:val="21"/>
          <w:szCs w:val="21"/>
        </w:rPr>
        <w:t xml:space="preserve"> </w:t>
      </w:r>
      <w:r>
        <w:rPr>
          <w:rFonts w:ascii="Times New Roman" w:hAnsi="Times New Roman" w:eastAsiaTheme="minorEastAsia"/>
          <w:w w:val="75"/>
          <w:sz w:val="21"/>
          <w:szCs w:val="21"/>
          <w:u w:val="single"/>
        </w:rPr>
        <w:t xml:space="preserve">      </w:t>
      </w:r>
      <w:r>
        <w:rPr>
          <w:rFonts w:ascii="Times New Roman" w:hAnsi="Times New Roman" w:eastAsiaTheme="minorEastAsia"/>
          <w:spacing w:val="-46"/>
          <w:w w:val="75"/>
          <w:sz w:val="21"/>
          <w:szCs w:val="21"/>
        </w:rPr>
        <w:t xml:space="preserve">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性别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pacing w:val="-37"/>
          <w:w w:val="75"/>
          <w:sz w:val="21"/>
          <w:szCs w:val="21"/>
        </w:rPr>
        <w:t xml:space="preserve"> </w:t>
      </w:r>
      <w:r>
        <w:rPr>
          <w:rFonts w:ascii="Times New Roman" w:hAnsi="Times New Roman" w:eastAsiaTheme="minorEastAsia"/>
          <w:w w:val="75"/>
          <w:sz w:val="21"/>
          <w:szCs w:val="21"/>
          <w:u w:val="single"/>
        </w:rPr>
        <w:t xml:space="preserve">      </w:t>
      </w:r>
      <w:r>
        <w:rPr>
          <w:rFonts w:ascii="Times New Roman" w:hAnsi="Times New Roman" w:eastAsiaTheme="minorEastAsia"/>
          <w:spacing w:val="-46"/>
          <w:w w:val="75"/>
          <w:sz w:val="21"/>
          <w:szCs w:val="21"/>
        </w:rPr>
        <w:t xml:space="preserve">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年龄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pacing w:val="-53"/>
          <w:w w:val="75"/>
          <w:sz w:val="21"/>
          <w:szCs w:val="21"/>
          <w:u w:val="single"/>
        </w:rPr>
        <w:t xml:space="preserve"> </w:t>
      </w:r>
      <w:r>
        <w:rPr>
          <w:rFonts w:ascii="Times New Roman" w:hAnsi="Times New Roman" w:eastAsiaTheme="minorEastAsia"/>
          <w:w w:val="95"/>
          <w:sz w:val="21"/>
          <w:szCs w:val="21"/>
          <w:u w:val="single"/>
        </w:rPr>
        <w:t xml:space="preserve"> 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科室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w w:val="75"/>
          <w:sz w:val="21"/>
          <w:szCs w:val="21"/>
          <w:u w:val="single"/>
        </w:rPr>
        <w:t xml:space="preserve">       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床号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pacing w:val="-4"/>
          <w:w w:val="75"/>
          <w:sz w:val="21"/>
          <w:szCs w:val="21"/>
        </w:rPr>
        <w:t xml:space="preserve"> </w:t>
      </w:r>
      <w:r>
        <w:rPr>
          <w:rFonts w:ascii="Times New Roman" w:hAnsi="Times New Roman" w:eastAsiaTheme="minorEastAsia"/>
          <w:w w:val="75"/>
          <w:sz w:val="21"/>
          <w:szCs w:val="21"/>
          <w:u w:val="single"/>
        </w:rPr>
        <w:t xml:space="preserve">  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住院号</w:t>
      </w:r>
      <w:r>
        <w:rPr>
          <w:rFonts w:ascii="Times New Roman" w:hAnsiTheme="minorEastAsia" w:eastAsiaTheme="minorEastAsia"/>
          <w:sz w:val="21"/>
          <w:szCs w:val="21"/>
        </w:rPr>
        <w:t>：</w:t>
      </w:r>
      <w:r>
        <w:rPr>
          <w:rFonts w:ascii="Times New Roman" w:hAnsi="Times New Roman" w:eastAsiaTheme="minorEastAsia"/>
          <w:sz w:val="21"/>
          <w:szCs w:val="21"/>
          <w:u w:val="single"/>
        </w:rPr>
        <w:t xml:space="preserve">    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入院日</w:t>
      </w:r>
      <w:r>
        <w:rPr>
          <w:rFonts w:ascii="Times New Roman" w:hAnsiTheme="minorEastAsia" w:eastAsiaTheme="minorEastAsia"/>
          <w:spacing w:val="-4"/>
          <w:sz w:val="21"/>
          <w:szCs w:val="21"/>
        </w:rPr>
        <w:t>期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z w:val="21"/>
          <w:szCs w:val="21"/>
          <w:u w:val="single"/>
        </w:rPr>
        <w:t xml:space="preserve">           </w:t>
      </w:r>
    </w:p>
    <w:p w14:paraId="464C5787">
      <w:pPr>
        <w:tabs>
          <w:tab w:val="left" w:pos="3041"/>
          <w:tab w:val="left" w:pos="6282"/>
          <w:tab w:val="left" w:pos="8375"/>
        </w:tabs>
        <w:spacing w:before="41"/>
        <w:rPr>
          <w:rFonts w:ascii="Times New Roman" w:hAnsi="Times New Roman" w:eastAsiaTheme="minorEastAsia"/>
          <w:sz w:val="21"/>
          <w:szCs w:val="21"/>
          <w:u w:val="single"/>
        </w:rPr>
      </w:pPr>
      <w:r>
        <w:rPr>
          <w:rFonts w:ascii="Times New Roman" w:hAnsiTheme="minorEastAsia" w:eastAsiaTheme="minorEastAsia"/>
          <w:spacing w:val="4"/>
          <w:sz w:val="21"/>
          <w:szCs w:val="21"/>
        </w:rPr>
        <w:t>医保编号</w:t>
      </w:r>
      <w:r>
        <w:rPr>
          <w:rFonts w:ascii="Times New Roman" w:hAnsiTheme="minorEastAsia" w:eastAsiaTheme="minorEastAsia"/>
          <w:sz w:val="21"/>
          <w:szCs w:val="21"/>
        </w:rPr>
        <w:t>：</w:t>
      </w:r>
      <w:r>
        <w:rPr>
          <w:rFonts w:ascii="Times New Roman" w:hAnsi="Times New Roman" w:eastAsiaTheme="minorEastAsia"/>
          <w:sz w:val="21"/>
          <w:szCs w:val="21"/>
          <w:u w:val="single"/>
        </w:rPr>
        <w:t xml:space="preserve">     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医院联系电话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pacing w:val="-40"/>
          <w:sz w:val="21"/>
          <w:szCs w:val="21"/>
        </w:rPr>
        <w:t xml:space="preserve"> </w:t>
      </w:r>
      <w:r>
        <w:rPr>
          <w:rFonts w:ascii="Times New Roman" w:hAnsi="Times New Roman" w:eastAsiaTheme="minorEastAsia"/>
          <w:sz w:val="21"/>
          <w:szCs w:val="21"/>
          <w:u w:val="single"/>
        </w:rPr>
        <w:t xml:space="preserve">        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家属联系电话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pacing w:val="-40"/>
          <w:sz w:val="21"/>
          <w:szCs w:val="21"/>
        </w:rPr>
        <w:t xml:space="preserve"> </w:t>
      </w:r>
      <w:r>
        <w:rPr>
          <w:rFonts w:ascii="Times New Roman" w:hAnsi="Times New Roman" w:eastAsiaTheme="minorEastAsia"/>
          <w:sz w:val="21"/>
          <w:szCs w:val="21"/>
          <w:u w:val="single"/>
        </w:rPr>
        <w:t xml:space="preserve">           </w:t>
      </w:r>
      <w:r>
        <w:rPr>
          <w:rFonts w:ascii="Times New Roman" w:hAnsiTheme="minorEastAsia" w:eastAsiaTheme="minorEastAsia"/>
          <w:spacing w:val="4"/>
          <w:sz w:val="21"/>
          <w:szCs w:val="21"/>
        </w:rPr>
        <w:t>入院诊断</w:t>
      </w:r>
      <w:r>
        <w:rPr>
          <w:rFonts w:ascii="Times New Roman" w:hAnsiTheme="minorEastAsia" w:eastAsiaTheme="minorEastAsia"/>
          <w:w w:val="75"/>
          <w:sz w:val="21"/>
          <w:szCs w:val="21"/>
        </w:rPr>
        <w:t>：</w:t>
      </w:r>
      <w:r>
        <w:rPr>
          <w:rFonts w:ascii="Times New Roman" w:hAnsi="Times New Roman" w:eastAsiaTheme="minorEastAsia"/>
          <w:sz w:val="21"/>
          <w:szCs w:val="21"/>
          <w:u w:val="single"/>
        </w:rPr>
        <w:t xml:space="preserve">           </w:t>
      </w:r>
    </w:p>
    <w:tbl>
      <w:tblPr>
        <w:tblStyle w:val="6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952"/>
        <w:gridCol w:w="6"/>
        <w:gridCol w:w="708"/>
        <w:gridCol w:w="3449"/>
        <w:gridCol w:w="2363"/>
        <w:gridCol w:w="11"/>
        <w:gridCol w:w="761"/>
      </w:tblGrid>
      <w:tr w14:paraId="40E51A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610" w:type="dxa"/>
            <w:vAlign w:val="center"/>
          </w:tcPr>
          <w:p w14:paraId="04040018">
            <w:pPr>
              <w:pStyle w:val="5"/>
              <w:spacing w:line="300" w:lineRule="exact"/>
              <w:jc w:val="center"/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958" w:type="dxa"/>
            <w:gridSpan w:val="2"/>
            <w:vAlign w:val="center"/>
          </w:tcPr>
          <w:p w14:paraId="3B645DFC">
            <w:pPr>
              <w:pStyle w:val="5"/>
              <w:spacing w:line="300" w:lineRule="exact"/>
              <w:jc w:val="center"/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708" w:type="dxa"/>
            <w:vAlign w:val="center"/>
          </w:tcPr>
          <w:p w14:paraId="2390D8A1">
            <w:pPr>
              <w:pStyle w:val="5"/>
              <w:spacing w:line="300" w:lineRule="exact"/>
              <w:jc w:val="center"/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  <w:t>分值</w:t>
            </w:r>
          </w:p>
        </w:tc>
        <w:tc>
          <w:tcPr>
            <w:tcW w:w="5812" w:type="dxa"/>
            <w:gridSpan w:val="2"/>
            <w:vAlign w:val="center"/>
          </w:tcPr>
          <w:p w14:paraId="25FA61E9">
            <w:pPr>
              <w:pStyle w:val="5"/>
              <w:spacing w:line="300" w:lineRule="exact"/>
              <w:jc w:val="center"/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  <w:t>评估标准</w:t>
            </w:r>
          </w:p>
        </w:tc>
        <w:tc>
          <w:tcPr>
            <w:tcW w:w="772" w:type="dxa"/>
            <w:gridSpan w:val="2"/>
            <w:vAlign w:val="center"/>
          </w:tcPr>
          <w:p w14:paraId="6AE50F74">
            <w:pPr>
              <w:pStyle w:val="5"/>
              <w:spacing w:line="300" w:lineRule="exact"/>
              <w:jc w:val="center"/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Times New Roman"/>
                <w:snapToGrid w:val="0"/>
                <w:color w:val="000000"/>
                <w:sz w:val="21"/>
                <w:szCs w:val="21"/>
                <w:lang w:eastAsia="zh-CN"/>
              </w:rPr>
              <w:t>得分</w:t>
            </w:r>
          </w:p>
        </w:tc>
      </w:tr>
      <w:tr w14:paraId="6EF43A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6140805D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958" w:type="dxa"/>
            <w:gridSpan w:val="2"/>
            <w:vMerge w:val="restart"/>
            <w:vAlign w:val="center"/>
          </w:tcPr>
          <w:p w14:paraId="568CDC5C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进食</w:t>
            </w:r>
          </w:p>
        </w:tc>
        <w:tc>
          <w:tcPr>
            <w:tcW w:w="708" w:type="dxa"/>
            <w:vAlign w:val="center"/>
          </w:tcPr>
          <w:p w14:paraId="5C4E7948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12" w:type="dxa"/>
            <w:gridSpan w:val="2"/>
            <w:vAlign w:val="center"/>
          </w:tcPr>
          <w:p w14:paraId="7107D250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较大或完全依赖，或有留置营养管</w:t>
            </w:r>
          </w:p>
        </w:tc>
        <w:tc>
          <w:tcPr>
            <w:tcW w:w="772" w:type="dxa"/>
            <w:gridSpan w:val="2"/>
            <w:vAlign w:val="center"/>
          </w:tcPr>
          <w:p w14:paraId="013A1FD1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5C5150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65E5195C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73498CA9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17011223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12" w:type="dxa"/>
            <w:gridSpan w:val="2"/>
            <w:vAlign w:val="center"/>
          </w:tcPr>
          <w:p w14:paraId="4F055FAB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需部分帮助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夹菜、盛饭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15DAABD4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55EE6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0926800A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74256191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0C5E589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812" w:type="dxa"/>
            <w:gridSpan w:val="2"/>
            <w:vAlign w:val="center"/>
          </w:tcPr>
          <w:p w14:paraId="600313D1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自理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在合理时间内能独立使用餐具进食各种食物，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可使用辅助工具独立完成进食，但不包括做饭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2A58F787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36F3C5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71C0F9C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958" w:type="dxa"/>
            <w:gridSpan w:val="2"/>
            <w:vMerge w:val="restart"/>
            <w:vAlign w:val="center"/>
          </w:tcPr>
          <w:p w14:paraId="5D6BEAB4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穿衣</w:t>
            </w:r>
          </w:p>
        </w:tc>
        <w:tc>
          <w:tcPr>
            <w:tcW w:w="708" w:type="dxa"/>
            <w:vAlign w:val="center"/>
          </w:tcPr>
          <w:p w14:paraId="40B42E51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12" w:type="dxa"/>
            <w:gridSpan w:val="2"/>
            <w:vAlign w:val="center"/>
          </w:tcPr>
          <w:p w14:paraId="53808773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依赖他人</w:t>
            </w:r>
          </w:p>
        </w:tc>
        <w:tc>
          <w:tcPr>
            <w:tcW w:w="772" w:type="dxa"/>
            <w:gridSpan w:val="2"/>
            <w:vAlign w:val="center"/>
          </w:tcPr>
          <w:p w14:paraId="699AE078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390F8B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0F02A55C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35CE08C5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1B6C7971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12" w:type="dxa"/>
            <w:gridSpan w:val="2"/>
            <w:vAlign w:val="center"/>
          </w:tcPr>
          <w:p w14:paraId="492AA2EF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需要部分帮助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能自己穿脱衣服或假肢或矫形器，但需他人帮助整理衣物、系扣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/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鞋带、拉拉链等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4ADC1D06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37C442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20737C0F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702E93C8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4BBC149D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812" w:type="dxa"/>
            <w:gridSpan w:val="2"/>
            <w:vAlign w:val="center"/>
          </w:tcPr>
          <w:p w14:paraId="3FBE4539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自理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自己系开纽扣，关开拉链和穿鞋、袜、假肢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或矫形器等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4813A567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54533D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5D570846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958" w:type="dxa"/>
            <w:gridSpan w:val="2"/>
            <w:vMerge w:val="restart"/>
            <w:vAlign w:val="center"/>
          </w:tcPr>
          <w:p w14:paraId="67B9BFD9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面部与</w:t>
            </w:r>
          </w:p>
          <w:p w14:paraId="5D66F1FF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口腔清洁</w:t>
            </w:r>
          </w:p>
        </w:tc>
        <w:tc>
          <w:tcPr>
            <w:tcW w:w="708" w:type="dxa"/>
            <w:vAlign w:val="center"/>
          </w:tcPr>
          <w:p w14:paraId="54895C9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12" w:type="dxa"/>
            <w:gridSpan w:val="2"/>
            <w:vAlign w:val="center"/>
          </w:tcPr>
          <w:p w14:paraId="474C0DCA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需要帮助</w:t>
            </w:r>
          </w:p>
        </w:tc>
        <w:tc>
          <w:tcPr>
            <w:tcW w:w="772" w:type="dxa"/>
            <w:gridSpan w:val="2"/>
            <w:vAlign w:val="center"/>
          </w:tcPr>
          <w:p w14:paraId="099FFC91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2E09FF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7BFF5C08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19BDD7FB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00007D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12" w:type="dxa"/>
            <w:gridSpan w:val="2"/>
            <w:vAlign w:val="center"/>
          </w:tcPr>
          <w:p w14:paraId="2B484705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独立洗脸、梳头、刷牙、剃须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不包括准备洗脸水、梳子、牙刷等准备工作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42B27B7D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5065EA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181777D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958" w:type="dxa"/>
            <w:gridSpan w:val="2"/>
            <w:vMerge w:val="restart"/>
            <w:vAlign w:val="center"/>
          </w:tcPr>
          <w:p w14:paraId="3BCB1945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大便</w:t>
            </w:r>
          </w:p>
          <w:p w14:paraId="464739E3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控制</w:t>
            </w:r>
          </w:p>
        </w:tc>
        <w:tc>
          <w:tcPr>
            <w:tcW w:w="708" w:type="dxa"/>
            <w:vAlign w:val="center"/>
          </w:tcPr>
          <w:p w14:paraId="1619B3BB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12" w:type="dxa"/>
            <w:gridSpan w:val="2"/>
            <w:vAlign w:val="center"/>
          </w:tcPr>
          <w:p w14:paraId="72CA01BC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失禁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平均每周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≥1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次或完全不能控制大便排泄，需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要完全依赖他人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01422246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7DE770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28D46830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0C5D6464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3058CB08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12" w:type="dxa"/>
            <w:gridSpan w:val="2"/>
            <w:vAlign w:val="center"/>
          </w:tcPr>
          <w:p w14:paraId="05D1CD55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偶有失禁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每周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&lt;1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次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）,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或需要他人提示或便秘需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要人工帮助取便</w:t>
            </w:r>
          </w:p>
        </w:tc>
        <w:tc>
          <w:tcPr>
            <w:tcW w:w="772" w:type="dxa"/>
            <w:gridSpan w:val="2"/>
            <w:vAlign w:val="center"/>
          </w:tcPr>
          <w:p w14:paraId="6C8A1D5B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078600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73A17904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501AA182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FB9C335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812" w:type="dxa"/>
            <w:gridSpan w:val="2"/>
            <w:vAlign w:val="center"/>
          </w:tcPr>
          <w:p w14:paraId="1D176B74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能控制</w:t>
            </w:r>
          </w:p>
        </w:tc>
        <w:tc>
          <w:tcPr>
            <w:tcW w:w="772" w:type="dxa"/>
            <w:gridSpan w:val="2"/>
            <w:vAlign w:val="center"/>
          </w:tcPr>
          <w:p w14:paraId="4B987B37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72C54E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5911168D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958" w:type="dxa"/>
            <w:gridSpan w:val="2"/>
            <w:vMerge w:val="restart"/>
            <w:vAlign w:val="center"/>
          </w:tcPr>
          <w:p w14:paraId="7222C148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小便</w:t>
            </w:r>
          </w:p>
          <w:p w14:paraId="2B0F0E73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控制</w:t>
            </w:r>
          </w:p>
        </w:tc>
        <w:tc>
          <w:tcPr>
            <w:tcW w:w="708" w:type="dxa"/>
            <w:vAlign w:val="center"/>
          </w:tcPr>
          <w:p w14:paraId="043C2A7A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12" w:type="dxa"/>
            <w:gridSpan w:val="2"/>
            <w:vAlign w:val="center"/>
          </w:tcPr>
          <w:p w14:paraId="068BF39C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失禁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平均每天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≥1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次或经常尿失禁，完全需要他人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帮忙完成排尿行为；或留置导尿管，但无法自行管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理导尿管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0D3E7F73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5A31D7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40B5FE60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1667DEBD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EDBA21A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12" w:type="dxa"/>
            <w:gridSpan w:val="2"/>
            <w:vAlign w:val="center"/>
          </w:tcPr>
          <w:p w14:paraId="05444633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偶有失禁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每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24h&lt;1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次，但每周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&gt;1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次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）,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或需要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他人提示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71B5E73D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001988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3FFDE014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7B5EB362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1349745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812" w:type="dxa"/>
            <w:gridSpan w:val="2"/>
            <w:vAlign w:val="center"/>
          </w:tcPr>
          <w:p w14:paraId="7803A072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能控制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或留置导尿管，可自行管理导尿管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1D299801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2B699A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3501820F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</w:rPr>
              <w:t>6</w:t>
            </w:r>
          </w:p>
        </w:tc>
        <w:tc>
          <w:tcPr>
            <w:tcW w:w="958" w:type="dxa"/>
            <w:gridSpan w:val="2"/>
            <w:vMerge w:val="restart"/>
            <w:vAlign w:val="center"/>
          </w:tcPr>
          <w:p w14:paraId="603DADF1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pacing w:val="6"/>
                <w:sz w:val="21"/>
                <w:szCs w:val="21"/>
              </w:rPr>
              <w:t>用厕</w:t>
            </w:r>
          </w:p>
        </w:tc>
        <w:tc>
          <w:tcPr>
            <w:tcW w:w="708" w:type="dxa"/>
            <w:vAlign w:val="center"/>
          </w:tcPr>
          <w:p w14:paraId="48B6DDE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</w:rPr>
              <w:t>0</w:t>
            </w:r>
          </w:p>
        </w:tc>
        <w:tc>
          <w:tcPr>
            <w:tcW w:w="5812" w:type="dxa"/>
            <w:gridSpan w:val="2"/>
            <w:vAlign w:val="center"/>
          </w:tcPr>
          <w:p w14:paraId="536398BE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需要极大地帮助或完全依赖他人</w:t>
            </w:r>
          </w:p>
        </w:tc>
        <w:tc>
          <w:tcPr>
            <w:tcW w:w="772" w:type="dxa"/>
            <w:gridSpan w:val="2"/>
            <w:vAlign w:val="center"/>
          </w:tcPr>
          <w:p w14:paraId="233AC7AA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787DA4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235994A1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0E48E765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5223753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</w:rPr>
              <w:t>5</w:t>
            </w:r>
          </w:p>
        </w:tc>
        <w:tc>
          <w:tcPr>
            <w:tcW w:w="5812" w:type="dxa"/>
            <w:gridSpan w:val="2"/>
            <w:vAlign w:val="center"/>
          </w:tcPr>
          <w:p w14:paraId="79F30693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pacing w:val="-5"/>
                <w:sz w:val="21"/>
                <w:szCs w:val="21"/>
                <w:lang w:eastAsia="zh-CN"/>
              </w:rPr>
              <w:t>需部分帮助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pacing w:val="-5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pacing w:val="-5"/>
                <w:sz w:val="21"/>
                <w:szCs w:val="21"/>
                <w:lang w:eastAsia="zh-CN"/>
              </w:rPr>
              <w:t>需他人帮忙整理衣裤、坐上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pacing w:val="-5"/>
                <w:sz w:val="21"/>
                <w:szCs w:val="21"/>
                <w:lang w:eastAsia="zh-CN"/>
              </w:rPr>
              <w:t>/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pacing w:val="-5"/>
                <w:sz w:val="21"/>
                <w:szCs w:val="21"/>
                <w:lang w:eastAsia="zh-CN"/>
              </w:rPr>
              <w:t>蹲上便器等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pacing w:val="-5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71AA0570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65FCA4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056FC85A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 w14:paraId="2A123BCA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64CCDE9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pacing w:val="-7"/>
                <w:sz w:val="21"/>
                <w:szCs w:val="21"/>
              </w:rPr>
              <w:t>10</w:t>
            </w:r>
          </w:p>
        </w:tc>
        <w:tc>
          <w:tcPr>
            <w:tcW w:w="5812" w:type="dxa"/>
            <w:gridSpan w:val="2"/>
            <w:vAlign w:val="center"/>
          </w:tcPr>
          <w:p w14:paraId="6F20FEDD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pacing w:val="3"/>
                <w:sz w:val="21"/>
                <w:szCs w:val="21"/>
                <w:lang w:eastAsia="zh-CN"/>
              </w:rPr>
              <w:t>自理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pacing w:val="3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pacing w:val="3"/>
                <w:sz w:val="21"/>
                <w:szCs w:val="21"/>
                <w:lang w:eastAsia="zh-CN"/>
              </w:rPr>
              <w:t>能够使用厕纸、穿脱裤子等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pacing w:val="3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72" w:type="dxa"/>
            <w:gridSpan w:val="2"/>
            <w:vAlign w:val="center"/>
          </w:tcPr>
          <w:p w14:paraId="19CC608A">
            <w:pPr>
              <w:spacing w:line="300" w:lineRule="exact"/>
              <w:jc w:val="center"/>
              <w:rPr>
                <w:rFonts w:ascii="Times New Roman" w:hAnsi="Times New Roman"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 w14:paraId="12335F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24739BE6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952" w:type="dxa"/>
            <w:vMerge w:val="restart"/>
            <w:vAlign w:val="center"/>
          </w:tcPr>
          <w:p w14:paraId="02FA1E63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平地</w:t>
            </w:r>
          </w:p>
          <w:p w14:paraId="53D18688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行走</w:t>
            </w:r>
          </w:p>
        </w:tc>
        <w:tc>
          <w:tcPr>
            <w:tcW w:w="714" w:type="dxa"/>
            <w:gridSpan w:val="2"/>
            <w:vAlign w:val="center"/>
          </w:tcPr>
          <w:p w14:paraId="4FE2938C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23" w:type="dxa"/>
            <w:gridSpan w:val="3"/>
            <w:vAlign w:val="center"/>
          </w:tcPr>
          <w:p w14:paraId="0A9B7BA6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卧床不起、不能步行、移动需要完全帮助</w:t>
            </w:r>
          </w:p>
        </w:tc>
        <w:tc>
          <w:tcPr>
            <w:tcW w:w="761" w:type="dxa"/>
            <w:vAlign w:val="center"/>
          </w:tcPr>
          <w:p w14:paraId="58867553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36599E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041BE36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45F9A97C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31ED52E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23" w:type="dxa"/>
            <w:gridSpan w:val="3"/>
            <w:vAlign w:val="center"/>
          </w:tcPr>
          <w:p w14:paraId="36AEC5D0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在较大程度上依赖他人搀扶（≥2人）或依赖他人帮 助使用轮椅等辅助工具才能移动</w:t>
            </w:r>
          </w:p>
        </w:tc>
        <w:tc>
          <w:tcPr>
            <w:tcW w:w="761" w:type="dxa"/>
            <w:vAlign w:val="center"/>
          </w:tcPr>
          <w:p w14:paraId="57D775FB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087177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7AA66BBA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473A8FDA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7A60FC78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823" w:type="dxa"/>
            <w:gridSpan w:val="3"/>
            <w:vAlign w:val="center"/>
          </w:tcPr>
          <w:p w14:paraId="09F4A624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需少量帮助（需1人搀扶或需他人在旁提示或在他 人帮助下使用辅助工具）</w:t>
            </w:r>
          </w:p>
        </w:tc>
        <w:tc>
          <w:tcPr>
            <w:tcW w:w="761" w:type="dxa"/>
            <w:vAlign w:val="center"/>
          </w:tcPr>
          <w:p w14:paraId="2B3C7D2E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353C27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37B6B506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3897DB9D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7EB8724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5823" w:type="dxa"/>
            <w:gridSpan w:val="3"/>
            <w:vAlign w:val="center"/>
          </w:tcPr>
          <w:p w14:paraId="3D05EE32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独立步行（自行使用辅助工具，在家及附近等日常 生活活动范围内独立步行）</w:t>
            </w:r>
          </w:p>
        </w:tc>
        <w:tc>
          <w:tcPr>
            <w:tcW w:w="761" w:type="dxa"/>
            <w:vAlign w:val="center"/>
          </w:tcPr>
          <w:p w14:paraId="6CC867D4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7BEF64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4875C216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952" w:type="dxa"/>
            <w:vMerge w:val="restart"/>
            <w:vAlign w:val="center"/>
          </w:tcPr>
          <w:p w14:paraId="08136CF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床椅</w:t>
            </w:r>
          </w:p>
          <w:p w14:paraId="759E1C03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转移</w:t>
            </w:r>
          </w:p>
        </w:tc>
        <w:tc>
          <w:tcPr>
            <w:tcW w:w="714" w:type="dxa"/>
            <w:gridSpan w:val="2"/>
            <w:vAlign w:val="center"/>
          </w:tcPr>
          <w:p w14:paraId="1EBCCB45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23" w:type="dxa"/>
            <w:gridSpan w:val="3"/>
            <w:vAlign w:val="center"/>
          </w:tcPr>
          <w:p w14:paraId="5C3135F0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完全依赖他人，不能坐</w:t>
            </w:r>
          </w:p>
        </w:tc>
        <w:tc>
          <w:tcPr>
            <w:tcW w:w="761" w:type="dxa"/>
            <w:vAlign w:val="center"/>
          </w:tcPr>
          <w:p w14:paraId="036708CE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4CD105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6F8D2C38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1231BACD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3935AB1F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23" w:type="dxa"/>
            <w:gridSpan w:val="3"/>
            <w:vAlign w:val="center"/>
          </w:tcPr>
          <w:p w14:paraId="3D311AC7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需大量帮助（至少2人，身体帮助）,能坐</w:t>
            </w:r>
          </w:p>
        </w:tc>
        <w:tc>
          <w:tcPr>
            <w:tcW w:w="761" w:type="dxa"/>
            <w:vAlign w:val="center"/>
          </w:tcPr>
          <w:p w14:paraId="25C1E7C3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6A2128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0F4027E7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7F73654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197D3B75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823" w:type="dxa"/>
            <w:gridSpan w:val="3"/>
            <w:vAlign w:val="center"/>
          </w:tcPr>
          <w:p w14:paraId="5B2E1DF4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需少量帮助（1人搀扶或使用拐杖等辅助工具或扶着 墙、周围设施，转移时需他人在旁监护、提示）</w:t>
            </w:r>
          </w:p>
        </w:tc>
        <w:tc>
          <w:tcPr>
            <w:tcW w:w="761" w:type="dxa"/>
            <w:vAlign w:val="center"/>
          </w:tcPr>
          <w:p w14:paraId="7C774AF7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47A7EB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7CAF08DA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643C2603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4D158539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5823" w:type="dxa"/>
            <w:gridSpan w:val="3"/>
            <w:vAlign w:val="center"/>
          </w:tcPr>
          <w:p w14:paraId="584CF399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自理</w:t>
            </w:r>
          </w:p>
        </w:tc>
        <w:tc>
          <w:tcPr>
            <w:tcW w:w="761" w:type="dxa"/>
            <w:vAlign w:val="center"/>
          </w:tcPr>
          <w:p w14:paraId="69EEF2CF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471ADE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6962E5B6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952" w:type="dxa"/>
            <w:vMerge w:val="restart"/>
            <w:vAlign w:val="center"/>
          </w:tcPr>
          <w:p w14:paraId="76DD0846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上下楼</w:t>
            </w:r>
          </w:p>
        </w:tc>
        <w:tc>
          <w:tcPr>
            <w:tcW w:w="714" w:type="dxa"/>
            <w:gridSpan w:val="2"/>
            <w:vAlign w:val="center"/>
          </w:tcPr>
          <w:p w14:paraId="43D191FF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23" w:type="dxa"/>
            <w:gridSpan w:val="3"/>
            <w:vAlign w:val="center"/>
          </w:tcPr>
          <w:p w14:paraId="6F28B04D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不能，或需极大帮助或完全依赖他人</w:t>
            </w:r>
          </w:p>
        </w:tc>
        <w:tc>
          <w:tcPr>
            <w:tcW w:w="761" w:type="dxa"/>
            <w:vAlign w:val="center"/>
          </w:tcPr>
          <w:p w14:paraId="6D7F772D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42EB77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68AE6F68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6C3B4445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4E393CF3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23" w:type="dxa"/>
            <w:gridSpan w:val="3"/>
            <w:vAlign w:val="center"/>
          </w:tcPr>
          <w:p w14:paraId="760628DA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需要部分帮助（需扶着楼梯、他人搀扶、使用拐杖 或需他人在旁提示）</w:t>
            </w:r>
          </w:p>
        </w:tc>
        <w:tc>
          <w:tcPr>
            <w:tcW w:w="761" w:type="dxa"/>
            <w:vAlign w:val="center"/>
          </w:tcPr>
          <w:p w14:paraId="3F9FCE0D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45FB5E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689E611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5665EEE0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432C332B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5823" w:type="dxa"/>
            <w:gridSpan w:val="3"/>
            <w:vAlign w:val="center"/>
          </w:tcPr>
          <w:p w14:paraId="0E2EF7B1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独立上下楼（可借助电梯等，如果使用支具，需可 独自完成穿、脱动作）</w:t>
            </w:r>
          </w:p>
        </w:tc>
        <w:tc>
          <w:tcPr>
            <w:tcW w:w="761" w:type="dxa"/>
            <w:vAlign w:val="center"/>
          </w:tcPr>
          <w:p w14:paraId="443A4343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701794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restart"/>
            <w:vAlign w:val="center"/>
          </w:tcPr>
          <w:p w14:paraId="0E69C78D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952" w:type="dxa"/>
            <w:vMerge w:val="restart"/>
            <w:vAlign w:val="center"/>
          </w:tcPr>
          <w:p w14:paraId="5954203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洗澡</w:t>
            </w:r>
          </w:p>
        </w:tc>
        <w:tc>
          <w:tcPr>
            <w:tcW w:w="714" w:type="dxa"/>
            <w:gridSpan w:val="2"/>
            <w:vAlign w:val="center"/>
          </w:tcPr>
          <w:p w14:paraId="57318F9E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5823" w:type="dxa"/>
            <w:gridSpan w:val="3"/>
            <w:vAlign w:val="center"/>
          </w:tcPr>
          <w:p w14:paraId="52E0DA9D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洗澡过程中需他人帮助</w:t>
            </w:r>
          </w:p>
        </w:tc>
        <w:tc>
          <w:tcPr>
            <w:tcW w:w="761" w:type="dxa"/>
            <w:vAlign w:val="center"/>
          </w:tcPr>
          <w:p w14:paraId="6D46E9EC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105B8F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0" w:type="dxa"/>
            <w:vMerge w:val="continue"/>
            <w:vAlign w:val="center"/>
          </w:tcPr>
          <w:p w14:paraId="197C0514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29A58972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37255FD4">
            <w:pPr>
              <w:pStyle w:val="5"/>
              <w:spacing w:line="300" w:lineRule="exact"/>
              <w:jc w:val="center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5823" w:type="dxa"/>
            <w:gridSpan w:val="3"/>
            <w:vAlign w:val="center"/>
          </w:tcPr>
          <w:p w14:paraId="3769F5B4">
            <w:pPr>
              <w:pStyle w:val="5"/>
              <w:spacing w:line="300" w:lineRule="exact"/>
              <w:ind w:left="57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准备好洗澡水后，可自己独立完成</w:t>
            </w:r>
          </w:p>
        </w:tc>
        <w:tc>
          <w:tcPr>
            <w:tcW w:w="761" w:type="dxa"/>
            <w:vAlign w:val="center"/>
          </w:tcPr>
          <w:p w14:paraId="26B14D1C">
            <w:pPr>
              <w:pStyle w:val="5"/>
              <w:spacing w:line="300" w:lineRule="exact"/>
              <w:ind w:left="57"/>
              <w:jc w:val="center"/>
              <w:rPr>
                <w:rFonts w:ascii="Times New Roman" w:cs="Times New Roman" w:hAnsiTheme="minorEastAsia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1DB2A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860" w:type="dxa"/>
            <w:gridSpan w:val="8"/>
            <w:vAlign w:val="center"/>
          </w:tcPr>
          <w:p w14:paraId="5EADC422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评分说明：100分  独立；75—95分  轻度依赖；50—70分  中度依赖；25—45分  重度依赖；0—20分  完全依赖。</w:t>
            </w:r>
          </w:p>
        </w:tc>
      </w:tr>
      <w:tr w14:paraId="0982AD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860" w:type="dxa"/>
            <w:gridSpan w:val="8"/>
            <w:vAlign w:val="center"/>
          </w:tcPr>
          <w:p w14:paraId="4B4B13F2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上述评估指标总分为100分，本次评估得分为</w:t>
            </w: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分</w:t>
            </w:r>
          </w:p>
        </w:tc>
      </w:tr>
      <w:tr w14:paraId="31E1D2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860" w:type="dxa"/>
            <w:gridSpan w:val="8"/>
            <w:vAlign w:val="center"/>
          </w:tcPr>
          <w:p w14:paraId="41613BFA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处置意见：暂不收治入院治疗    收治本院治疗     建议转送上级医院治疗</w:t>
            </w:r>
          </w:p>
        </w:tc>
      </w:tr>
      <w:tr w14:paraId="39EF41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25" w:type="dxa"/>
            <w:gridSpan w:val="5"/>
          </w:tcPr>
          <w:p w14:paraId="37EBA250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评估人员签</w:t>
            </w: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字：</w:t>
            </w:r>
          </w:p>
          <w:p w14:paraId="4CF31558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  <w:p w14:paraId="5DDF397D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  <w:p w14:paraId="0A1EE4F2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3135" w:type="dxa"/>
            <w:gridSpan w:val="3"/>
          </w:tcPr>
          <w:p w14:paraId="5125D6C8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评估</w:t>
            </w: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  <w:t>日期：</w:t>
            </w:r>
          </w:p>
          <w:p w14:paraId="65E0D91B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  <w:p w14:paraId="4DE12275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  <w:p w14:paraId="333DD816">
            <w:pPr>
              <w:pStyle w:val="5"/>
              <w:spacing w:line="300" w:lineRule="exact"/>
              <w:ind w:left="57"/>
              <w:rPr>
                <w:rFonts w:ascii="Times New Roman" w:hAnsi="Times New Roman" w:cs="Times New Roman" w:eastAsiaTheme="minorEastAsia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</w:tbl>
    <w:p w14:paraId="0EA3C3AD">
      <w:pPr>
        <w:pStyle w:val="5"/>
        <w:spacing w:line="300" w:lineRule="exact"/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备 注：1. 办理入院手续一周内须及时完成入院评估；2. 评估资料妥善保管备查，保存期限不少于2年。</w:t>
      </w:r>
    </w:p>
    <w:p w14:paraId="06C5B433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655739"/>
    <w:rsid w:val="0765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kern w:val="2"/>
      <w:sz w:val="24"/>
      <w:szCs w:val="24"/>
      <w:lang w:eastAsia="en-US"/>
    </w:rPr>
  </w:style>
  <w:style w:type="table" w:customStyle="1" w:styleId="6">
    <w:name w:val="Table Normal"/>
    <w:semiHidden/>
    <w:unhideWhenUsed/>
    <w:qFormat/>
    <w:uiPriority w:val="0"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2025-01-20T08:16:00Z</dcterms:created>
  <dc:creator>╮(╯_╰)╭</dc:creator>
  <cp:lastModifiedBy>╮(╯_╰)╭</cp:lastModifiedBy>
  <dcterms:modified xsi:type="dcterms:W3CDTF">2025-01-20T08:18:12Z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4ABB7070D5C74F86B655B77099C73DD4_11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