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B15E62">
      <w:pPr>
        <w:rPr>
          <w:rFonts w:ascii="Times New Roman" w:hAnsi="Times New Roman" w:eastAsia="黑体" w:cs="仿宋_GB2312"/>
          <w:color w:val="000000"/>
        </w:rPr>
      </w:pPr>
      <w:r>
        <w:rPr>
          <w:rFonts w:ascii="Times New Roman" w:hAnsi="Times New Roman" w:eastAsia="黑体" w:cs="仿宋_GB2312"/>
          <w:color w:val="000000"/>
        </w:rPr>
        <w:t>附件</w:t>
      </w:r>
      <w:r>
        <w:rPr>
          <w:rFonts w:hint="eastAsia" w:ascii="Times New Roman" w:hAnsi="Times New Roman" w:eastAsia="黑体" w:cs="仿宋_GB2312"/>
          <w:color w:val="000000"/>
        </w:rPr>
        <w:t>5</w:t>
      </w:r>
    </w:p>
    <w:p w14:paraId="7F84C2A3">
      <w:pPr>
        <w:spacing w:before="240" w:after="240" w:line="700" w:lineRule="exact"/>
        <w:jc w:val="center"/>
        <w:rPr>
          <w:rFonts w:ascii="Times New Roman" w:hAnsi="Times New Roman" w:eastAsia="方正小标宋简体" w:cs="仿宋_GB2312"/>
          <w:color w:val="00000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仿宋_GB2312"/>
          <w:color w:val="000000"/>
          <w:sz w:val="44"/>
          <w:szCs w:val="44"/>
        </w:rPr>
        <w:t>床日付费年度清算评价表</w:t>
      </w:r>
      <w:bookmarkEnd w:id="0"/>
    </w:p>
    <w:tbl>
      <w:tblPr>
        <w:tblStyle w:val="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952"/>
        <w:gridCol w:w="885"/>
        <w:gridCol w:w="4499"/>
        <w:gridCol w:w="976"/>
      </w:tblGrid>
      <w:tr w14:paraId="25E53CC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36" w:type="dxa"/>
            <w:vAlign w:val="center"/>
          </w:tcPr>
          <w:p w14:paraId="365B65EF">
            <w:pPr>
              <w:widowControl/>
              <w:spacing w:line="320" w:lineRule="exact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920" w:type="dxa"/>
            <w:vAlign w:val="center"/>
          </w:tcPr>
          <w:p w14:paraId="4FEF373B">
            <w:pPr>
              <w:widowControl/>
              <w:spacing w:line="320" w:lineRule="exact"/>
              <w:ind w:firstLine="294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870" w:type="dxa"/>
            <w:vAlign w:val="center"/>
          </w:tcPr>
          <w:p w14:paraId="65E2230F">
            <w:pPr>
              <w:widowControl/>
              <w:spacing w:line="320" w:lineRule="exact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分值</w:t>
            </w:r>
          </w:p>
        </w:tc>
        <w:tc>
          <w:tcPr>
            <w:tcW w:w="4425" w:type="dxa"/>
            <w:vAlign w:val="center"/>
          </w:tcPr>
          <w:p w14:paraId="1F37DF73">
            <w:pPr>
              <w:widowControl/>
              <w:spacing w:line="320" w:lineRule="exact"/>
              <w:ind w:firstLine="294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评分标准</w:t>
            </w:r>
          </w:p>
        </w:tc>
        <w:tc>
          <w:tcPr>
            <w:tcW w:w="960" w:type="dxa"/>
            <w:vAlign w:val="center"/>
          </w:tcPr>
          <w:p w14:paraId="29D6896F">
            <w:pPr>
              <w:widowControl/>
              <w:spacing w:line="320" w:lineRule="exact"/>
              <w:ind w:left="-113" w:right="-113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得分</w:t>
            </w:r>
          </w:p>
        </w:tc>
      </w:tr>
      <w:tr w14:paraId="408CAAE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736" w:type="dxa"/>
            <w:vMerge w:val="restart"/>
            <w:vAlign w:val="center"/>
          </w:tcPr>
          <w:p w14:paraId="5349F2F8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20" w:type="dxa"/>
            <w:vMerge w:val="restart"/>
            <w:vAlign w:val="center"/>
          </w:tcPr>
          <w:p w14:paraId="09B9DD96">
            <w:pPr>
              <w:widowControl/>
              <w:spacing w:line="320" w:lineRule="exact"/>
              <w:ind w:left="-113" w:right="-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住院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日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均费用</w:t>
            </w:r>
          </w:p>
        </w:tc>
        <w:tc>
          <w:tcPr>
            <w:tcW w:w="870" w:type="dxa"/>
            <w:vAlign w:val="center"/>
          </w:tcPr>
          <w:p w14:paraId="493AFE96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425" w:type="dxa"/>
            <w:vAlign w:val="center"/>
          </w:tcPr>
          <w:p w14:paraId="03105BBF">
            <w:pPr>
              <w:widowControl/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与本单位上年度持平的，得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分；</w:t>
            </w:r>
          </w:p>
          <w:p w14:paraId="1519A033">
            <w:pPr>
              <w:widowControl/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超过的，每超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个百分点少得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0.2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分；</w:t>
            </w:r>
          </w:p>
          <w:p w14:paraId="1776C7E5">
            <w:pPr>
              <w:widowControl/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低于的，每低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个百分点多得0.2分。</w:t>
            </w:r>
          </w:p>
        </w:tc>
        <w:tc>
          <w:tcPr>
            <w:tcW w:w="960" w:type="dxa"/>
          </w:tcPr>
          <w:p w14:paraId="0CA41AEB">
            <w:pPr>
              <w:widowControl/>
              <w:spacing w:line="320" w:lineRule="exact"/>
              <w:ind w:firstLine="294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14:paraId="63CE05A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736" w:type="dxa"/>
            <w:vMerge w:val="continue"/>
            <w:vAlign w:val="center"/>
          </w:tcPr>
          <w:p w14:paraId="4B71A30A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3852A067">
            <w:pPr>
              <w:widowControl/>
              <w:spacing w:line="320" w:lineRule="exact"/>
              <w:ind w:left="-113" w:right="-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 w14:paraId="3CD6D514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425" w:type="dxa"/>
            <w:vAlign w:val="center"/>
          </w:tcPr>
          <w:p w14:paraId="0820D6C3">
            <w:pPr>
              <w:widowControl/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增幅与同类机构平均值持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平的，得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分；</w:t>
            </w:r>
          </w:p>
          <w:p w14:paraId="1F7B8B61">
            <w:pPr>
              <w:widowControl/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超过的，每超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个百分点少得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0.2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分；</w:t>
            </w:r>
          </w:p>
          <w:p w14:paraId="39927682">
            <w:pPr>
              <w:widowControl/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低于的，每低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个百分点多得0.2分。</w:t>
            </w:r>
          </w:p>
        </w:tc>
        <w:tc>
          <w:tcPr>
            <w:tcW w:w="960" w:type="dxa"/>
          </w:tcPr>
          <w:p w14:paraId="455ED98D">
            <w:pPr>
              <w:widowControl/>
              <w:spacing w:line="320" w:lineRule="exact"/>
              <w:ind w:firstLine="294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14:paraId="5ADD4E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36" w:type="dxa"/>
            <w:vMerge w:val="restart"/>
            <w:vAlign w:val="center"/>
          </w:tcPr>
          <w:p w14:paraId="700C50BC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20" w:type="dxa"/>
            <w:vMerge w:val="restart"/>
            <w:vAlign w:val="center"/>
          </w:tcPr>
          <w:p w14:paraId="54ED0CF3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住院人次人头比</w:t>
            </w:r>
          </w:p>
        </w:tc>
        <w:tc>
          <w:tcPr>
            <w:tcW w:w="870" w:type="dxa"/>
            <w:vAlign w:val="center"/>
          </w:tcPr>
          <w:p w14:paraId="025F7BEB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425" w:type="dxa"/>
            <w:vAlign w:val="center"/>
          </w:tcPr>
          <w:p w14:paraId="448C5BCF">
            <w:pPr>
              <w:widowControl/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与本单位上年度持平的，得15分；</w:t>
            </w:r>
          </w:p>
          <w:p w14:paraId="65C05604">
            <w:pPr>
              <w:widowControl/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超过的，每超0.01少得0.2分；</w:t>
            </w:r>
          </w:p>
          <w:p w14:paraId="099A7759">
            <w:pPr>
              <w:widowControl/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低于的，每低0.01多得0.2分。</w:t>
            </w:r>
          </w:p>
        </w:tc>
        <w:tc>
          <w:tcPr>
            <w:tcW w:w="960" w:type="dxa"/>
          </w:tcPr>
          <w:p w14:paraId="2C0DE95A">
            <w:pPr>
              <w:widowControl/>
              <w:spacing w:line="320" w:lineRule="exact"/>
              <w:ind w:firstLine="294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14:paraId="54254D3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736" w:type="dxa"/>
            <w:vMerge w:val="continue"/>
            <w:vAlign w:val="center"/>
          </w:tcPr>
          <w:p w14:paraId="0B2CCB1C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1CE57B77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 w14:paraId="011CCE95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25" w:type="dxa"/>
            <w:vAlign w:val="center"/>
          </w:tcPr>
          <w:p w14:paraId="6ACC13C0">
            <w:pPr>
              <w:widowControl/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与同类机构平均值持平的，得5分；</w:t>
            </w:r>
          </w:p>
          <w:p w14:paraId="116D9713">
            <w:pPr>
              <w:widowControl/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超过的，每超0.01少得0.2分；</w:t>
            </w:r>
          </w:p>
          <w:p w14:paraId="5A2C8AE0">
            <w:pPr>
              <w:widowControl/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低于的，每低0.01多得0.2分。</w:t>
            </w:r>
          </w:p>
        </w:tc>
        <w:tc>
          <w:tcPr>
            <w:tcW w:w="960" w:type="dxa"/>
          </w:tcPr>
          <w:p w14:paraId="700736C9">
            <w:pPr>
              <w:widowControl/>
              <w:spacing w:line="320" w:lineRule="exact"/>
              <w:ind w:firstLine="294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14:paraId="617B0ED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36" w:type="dxa"/>
            <w:vMerge w:val="restart"/>
            <w:vAlign w:val="center"/>
          </w:tcPr>
          <w:p w14:paraId="6469F4C8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20" w:type="dxa"/>
            <w:vMerge w:val="restart"/>
            <w:vAlign w:val="center"/>
          </w:tcPr>
          <w:p w14:paraId="5F086DE2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目录外费用占比</w:t>
            </w:r>
          </w:p>
        </w:tc>
        <w:tc>
          <w:tcPr>
            <w:tcW w:w="870" w:type="dxa"/>
            <w:vAlign w:val="center"/>
          </w:tcPr>
          <w:p w14:paraId="31B526D7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425" w:type="dxa"/>
            <w:vAlign w:val="center"/>
          </w:tcPr>
          <w:p w14:paraId="7E93C854">
            <w:pPr>
              <w:widowControl/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与本单位上年数值持平的，得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分；</w:t>
            </w:r>
          </w:p>
          <w:p w14:paraId="4A8D0B92">
            <w:pPr>
              <w:widowControl/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超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过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的，每超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个百分点少得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0.5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分；</w:t>
            </w:r>
          </w:p>
          <w:p w14:paraId="7A00FBF5">
            <w:pPr>
              <w:widowControl/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低于的，每低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个百分点多得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0.5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分。</w:t>
            </w:r>
          </w:p>
        </w:tc>
        <w:tc>
          <w:tcPr>
            <w:tcW w:w="960" w:type="dxa"/>
          </w:tcPr>
          <w:p w14:paraId="723098B2">
            <w:pPr>
              <w:widowControl/>
              <w:spacing w:line="320" w:lineRule="exact"/>
              <w:ind w:firstLine="294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14:paraId="1A1BF78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736" w:type="dxa"/>
            <w:vMerge w:val="continue"/>
            <w:vAlign w:val="center"/>
          </w:tcPr>
          <w:p w14:paraId="071CFA81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vAlign w:val="center"/>
          </w:tcPr>
          <w:p w14:paraId="6C936E30"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 w14:paraId="37988CCF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25" w:type="dxa"/>
            <w:vAlign w:val="center"/>
          </w:tcPr>
          <w:p w14:paraId="5BF81435">
            <w:pPr>
              <w:widowControl/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与同类机构平均值持平的，得5分；</w:t>
            </w:r>
          </w:p>
          <w:p w14:paraId="56FFDA2C">
            <w:pPr>
              <w:widowControl/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超过的，每超1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个百分点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少得0.5分；</w:t>
            </w:r>
          </w:p>
          <w:p w14:paraId="56BF1C69">
            <w:pPr>
              <w:widowControl/>
              <w:spacing w:line="32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低于的，每低1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个百分点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多得0.5分。</w:t>
            </w:r>
          </w:p>
        </w:tc>
        <w:tc>
          <w:tcPr>
            <w:tcW w:w="960" w:type="dxa"/>
          </w:tcPr>
          <w:p w14:paraId="047B015B">
            <w:pPr>
              <w:widowControl/>
              <w:spacing w:line="320" w:lineRule="exact"/>
              <w:ind w:firstLine="294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1A75ABEE">
      <w:pPr>
        <w:pStyle w:val="5"/>
        <w:spacing w:before="120" w:line="300" w:lineRule="exact"/>
        <w:rPr>
          <w:rFonts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</w:pPr>
      <w:r>
        <w:rPr>
          <w:rFonts w:hint="eastAsia"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>备注</w:t>
      </w:r>
      <w:r>
        <w:rPr>
          <w:rFonts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>：1.</w:t>
      </w:r>
      <w:r>
        <w:rPr>
          <w:rFonts w:hint="eastAsia"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 xml:space="preserve"> </w:t>
      </w:r>
      <w:r>
        <w:rPr>
          <w:rFonts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>各项目中，加分、扣分最多不超过该项目总分；</w:t>
      </w:r>
      <w:r>
        <w:rPr>
          <w:rFonts w:hint="eastAsia"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>2</w:t>
      </w:r>
      <w:r>
        <w:rPr>
          <w:rFonts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>.</w:t>
      </w:r>
      <w:r>
        <w:rPr>
          <w:rFonts w:hint="eastAsia"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 xml:space="preserve"> </w:t>
      </w:r>
      <w:r>
        <w:rPr>
          <w:rFonts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>因新开通等原因不能参与打分的，按其他</w:t>
      </w:r>
      <w:r>
        <w:rPr>
          <w:rFonts w:hint="eastAsia"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>同类</w:t>
      </w:r>
      <w:r>
        <w:rPr>
          <w:rFonts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>机构的平均得分作为清算最终得分；</w:t>
      </w:r>
      <w:r>
        <w:rPr>
          <w:rFonts w:hint="eastAsia"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>3</w:t>
      </w:r>
      <w:r>
        <w:rPr>
          <w:rFonts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>.</w:t>
      </w:r>
      <w:r>
        <w:rPr>
          <w:rFonts w:hint="eastAsia"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 xml:space="preserve"> </w:t>
      </w:r>
      <w:r>
        <w:rPr>
          <w:rFonts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>对各单位按上述指标进行综合考核评分，各单位超支（节余）清算费用=本单位符合规定的超支（节余）费用×本单位指标考核得分占总分比</w:t>
      </w:r>
      <w:r>
        <w:rPr>
          <w:rFonts w:hint="eastAsia"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 xml:space="preserve">；4. </w:t>
      </w:r>
      <w:r>
        <w:rPr>
          <w:rFonts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>医保目录外费用是指</w:t>
      </w:r>
      <w:r>
        <w:rPr>
          <w:rFonts w:hint="eastAsia" w:ascii="Times New Roman" w:hAnsi="Times New Roman" w:cs="Times New Roman" w:eastAsiaTheme="minorEastAsia"/>
          <w:snapToGrid w:val="0"/>
          <w:color w:val="000000"/>
          <w:sz w:val="21"/>
          <w:szCs w:val="21"/>
          <w:lang w:eastAsia="zh-CN"/>
        </w:rPr>
        <w:t>医保目录范围内超支付标准、不属于限定支付范围及医保目录范围外的费用；5. 取数范围为年度内医院发生的所有基本医疗保险住院数据。</w:t>
      </w:r>
    </w:p>
    <w:p w14:paraId="7D5ACC08"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557235"/>
    <w:rsid w:val="5B55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Times New Roman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kern w:val="2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2025-01-20T08:20:00Z</dcterms:created>
  <dc:creator>╮(╯_╰)╭</dc:creator>
  <cp:lastModifiedBy>╮(╯_╰)╭</cp:lastModifiedBy>
  <dcterms:modified xsi:type="dcterms:W3CDTF">2025-01-20T08:21:30Z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6D3061008081408ABD94672E27F2B1DE_11</vt:lpwstr>
  </property>
  <property fmtid="{D5CDD505-2E9C-101B-9397-08002B2CF9AE}" pid="4" name="KSOTemplateDocerSaveRecord">
    <vt:lpwstr>eyJoZGlkIjoiZWNkYmNiNGRhYzViMDBkNmFhMzVjYmVlMjMxZjY5NDIiLCJ1c2VySWQiOiIyNTMwNjM0MjcifQ==</vt:lpwstr>
  </property>
</Properties>
</file>