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644B6">
      <w:pPr>
        <w:rPr>
          <w:rFonts w:ascii="Times New Roman" w:hAnsi="Times New Roman" w:eastAsia="黑体" w:cs="仿宋_GB2312"/>
          <w:color w:val="000000"/>
        </w:rPr>
      </w:pPr>
      <w:r>
        <w:rPr>
          <w:rFonts w:ascii="Times New Roman" w:hAnsi="Times New Roman" w:eastAsia="黑体" w:cs="仿宋_GB2312"/>
          <w:color w:val="000000"/>
        </w:rPr>
        <w:t>附件</w:t>
      </w:r>
      <w:r>
        <w:rPr>
          <w:rFonts w:hint="eastAsia" w:ascii="Times New Roman" w:hAnsi="Times New Roman" w:eastAsia="黑体" w:cs="仿宋_GB2312"/>
          <w:color w:val="000000"/>
        </w:rPr>
        <w:t>4</w:t>
      </w:r>
    </w:p>
    <w:p w14:paraId="0E165781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床日付费年度清算评价表</w:t>
      </w:r>
      <w:bookmarkEnd w:id="0"/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952"/>
        <w:gridCol w:w="885"/>
        <w:gridCol w:w="4499"/>
        <w:gridCol w:w="976"/>
      </w:tblGrid>
      <w:tr w14:paraId="205249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6" w:type="dxa"/>
            <w:vAlign w:val="center"/>
          </w:tcPr>
          <w:p w14:paraId="72E5DD48">
            <w:pPr>
              <w:widowControl/>
              <w:spacing w:line="320" w:lineRule="exact"/>
              <w:ind w:left="-57" w:right="-57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20" w:type="dxa"/>
            <w:vAlign w:val="center"/>
          </w:tcPr>
          <w:p w14:paraId="34BAB470">
            <w:pPr>
              <w:widowControl/>
              <w:spacing w:line="320" w:lineRule="exact"/>
              <w:ind w:firstLine="294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870" w:type="dxa"/>
            <w:vAlign w:val="center"/>
          </w:tcPr>
          <w:p w14:paraId="307E53F6"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4425" w:type="dxa"/>
            <w:vAlign w:val="center"/>
          </w:tcPr>
          <w:p w14:paraId="09EEE085">
            <w:pPr>
              <w:widowControl/>
              <w:spacing w:line="320" w:lineRule="exact"/>
              <w:ind w:firstLine="294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评分标准</w:t>
            </w:r>
          </w:p>
        </w:tc>
        <w:tc>
          <w:tcPr>
            <w:tcW w:w="960" w:type="dxa"/>
            <w:vAlign w:val="center"/>
          </w:tcPr>
          <w:p w14:paraId="4EBFE401">
            <w:pPr>
              <w:widowControl/>
              <w:spacing w:line="320" w:lineRule="exact"/>
              <w:ind w:left="-113" w:right="-113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得分</w:t>
            </w:r>
          </w:p>
        </w:tc>
      </w:tr>
      <w:tr w14:paraId="131A5D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36" w:type="dxa"/>
            <w:vMerge w:val="restart"/>
            <w:vAlign w:val="center"/>
          </w:tcPr>
          <w:p w14:paraId="0D7ECACA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20" w:type="dxa"/>
            <w:vMerge w:val="restart"/>
            <w:vAlign w:val="center"/>
          </w:tcPr>
          <w:p w14:paraId="47859933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住院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均费用</w:t>
            </w:r>
          </w:p>
        </w:tc>
        <w:tc>
          <w:tcPr>
            <w:tcW w:w="870" w:type="dxa"/>
            <w:vAlign w:val="center"/>
          </w:tcPr>
          <w:p w14:paraId="30276FCC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25" w:type="dxa"/>
            <w:vAlign w:val="center"/>
          </w:tcPr>
          <w:p w14:paraId="080785CE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与本单位上年度持平的，得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1A47C168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超过的，每超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个百分点少得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22AF80CE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低于的，每低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个百分点多得0.2分。</w:t>
            </w:r>
          </w:p>
        </w:tc>
        <w:tc>
          <w:tcPr>
            <w:tcW w:w="960" w:type="dxa"/>
          </w:tcPr>
          <w:p w14:paraId="23810581">
            <w:pPr>
              <w:widowControl/>
              <w:spacing w:line="320" w:lineRule="exact"/>
              <w:ind w:left="-57" w:right="-57"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3D58FD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36" w:type="dxa"/>
            <w:vMerge w:val="continue"/>
            <w:vAlign w:val="center"/>
          </w:tcPr>
          <w:p w14:paraId="35792750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479007E5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44D36546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25" w:type="dxa"/>
            <w:vAlign w:val="center"/>
          </w:tcPr>
          <w:p w14:paraId="174D34F7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增幅与同类机构平均值持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平的，得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69213D8D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超过的，每超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个百分点少得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5FFEFDF5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低于的，每低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个百分点多得0.2分。</w:t>
            </w:r>
          </w:p>
        </w:tc>
        <w:tc>
          <w:tcPr>
            <w:tcW w:w="960" w:type="dxa"/>
          </w:tcPr>
          <w:p w14:paraId="6B4DF72A">
            <w:pPr>
              <w:widowControl/>
              <w:spacing w:line="320" w:lineRule="exact"/>
              <w:ind w:left="-57" w:right="-57"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446CA4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36" w:type="dxa"/>
            <w:vMerge w:val="restart"/>
            <w:vAlign w:val="center"/>
          </w:tcPr>
          <w:p w14:paraId="7B552C6E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20" w:type="dxa"/>
            <w:vMerge w:val="restart"/>
            <w:vAlign w:val="center"/>
          </w:tcPr>
          <w:p w14:paraId="3427DD15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住院人次人头比</w:t>
            </w:r>
          </w:p>
        </w:tc>
        <w:tc>
          <w:tcPr>
            <w:tcW w:w="870" w:type="dxa"/>
            <w:vAlign w:val="center"/>
          </w:tcPr>
          <w:p w14:paraId="1DB4C34E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25" w:type="dxa"/>
            <w:vAlign w:val="center"/>
          </w:tcPr>
          <w:p w14:paraId="7C3FD82F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与本单位上年度持平的，得15分；</w:t>
            </w:r>
          </w:p>
          <w:p w14:paraId="15599008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超过的，每超0.01少得0.2分；</w:t>
            </w:r>
          </w:p>
          <w:p w14:paraId="27197BFE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低于的，每低0.01多得0.2分。</w:t>
            </w:r>
          </w:p>
        </w:tc>
        <w:tc>
          <w:tcPr>
            <w:tcW w:w="960" w:type="dxa"/>
          </w:tcPr>
          <w:p w14:paraId="0FC33099">
            <w:pPr>
              <w:widowControl/>
              <w:spacing w:line="320" w:lineRule="exact"/>
              <w:ind w:left="-57" w:right="-57"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2B294D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36" w:type="dxa"/>
            <w:vMerge w:val="continue"/>
            <w:vAlign w:val="center"/>
          </w:tcPr>
          <w:p w14:paraId="25D723DE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438A49D7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6FC04A7C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5" w:type="dxa"/>
            <w:vAlign w:val="center"/>
          </w:tcPr>
          <w:p w14:paraId="0B202367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与同类机构平均值持平的，得5分；</w:t>
            </w:r>
          </w:p>
          <w:p w14:paraId="76A031BB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超过的，每超0.01少得0.2分；</w:t>
            </w:r>
          </w:p>
          <w:p w14:paraId="1A9E702D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低于的，每低0.01多得0.2分。</w:t>
            </w:r>
          </w:p>
        </w:tc>
        <w:tc>
          <w:tcPr>
            <w:tcW w:w="960" w:type="dxa"/>
          </w:tcPr>
          <w:p w14:paraId="20F24C70">
            <w:pPr>
              <w:widowControl/>
              <w:spacing w:line="320" w:lineRule="exact"/>
              <w:ind w:left="-57" w:right="-57"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632EBF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36" w:type="dxa"/>
            <w:vMerge w:val="restart"/>
            <w:vAlign w:val="center"/>
          </w:tcPr>
          <w:p w14:paraId="328A38BC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20" w:type="dxa"/>
            <w:vMerge w:val="restart"/>
            <w:vAlign w:val="center"/>
          </w:tcPr>
          <w:p w14:paraId="6FAE9752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目录外费用占比</w:t>
            </w:r>
          </w:p>
        </w:tc>
        <w:tc>
          <w:tcPr>
            <w:tcW w:w="870" w:type="dxa"/>
            <w:vAlign w:val="center"/>
          </w:tcPr>
          <w:p w14:paraId="69F71DF6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25" w:type="dxa"/>
            <w:vAlign w:val="center"/>
          </w:tcPr>
          <w:p w14:paraId="4E56611B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与本单位上年数值持平的，得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2F07C551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过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的，每超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个百分点少得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76F57989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低于的，每低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个百分点多得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960" w:type="dxa"/>
          </w:tcPr>
          <w:p w14:paraId="7EBE49BD">
            <w:pPr>
              <w:widowControl/>
              <w:spacing w:line="320" w:lineRule="exact"/>
              <w:ind w:left="-57" w:right="-57"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02BDB0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36" w:type="dxa"/>
            <w:vMerge w:val="continue"/>
            <w:vAlign w:val="center"/>
          </w:tcPr>
          <w:p w14:paraId="10DBBF78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38D111FD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153418FC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5" w:type="dxa"/>
            <w:vAlign w:val="center"/>
          </w:tcPr>
          <w:p w14:paraId="123567BE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与同类机构平均值持平的，得5分；</w:t>
            </w:r>
          </w:p>
          <w:p w14:paraId="32F07853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超过的，每超1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少得0.5分；</w:t>
            </w:r>
          </w:p>
          <w:p w14:paraId="3127B9BF">
            <w:pPr>
              <w:widowControl/>
              <w:spacing w:line="320" w:lineRule="exact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低于的，每低1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多得0.5分。</w:t>
            </w:r>
          </w:p>
        </w:tc>
        <w:tc>
          <w:tcPr>
            <w:tcW w:w="960" w:type="dxa"/>
          </w:tcPr>
          <w:p w14:paraId="20C36526">
            <w:pPr>
              <w:widowControl/>
              <w:spacing w:line="320" w:lineRule="exact"/>
              <w:ind w:left="-57" w:right="-57"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4F5DEB48">
      <w:pPr>
        <w:pStyle w:val="5"/>
        <w:jc w:val="both"/>
        <w:rPr>
          <w:snapToGrid w:val="0"/>
        </w:rPr>
      </w:pPr>
      <w:r>
        <w:rPr>
          <w:rFonts w:hint="eastAsia"/>
          <w:snapToGrid w:val="0"/>
        </w:rPr>
        <w:t>备注</w:t>
      </w:r>
      <w:r>
        <w:rPr>
          <w:snapToGrid w:val="0"/>
        </w:rPr>
        <w:t>：1.</w:t>
      </w:r>
      <w:r>
        <w:rPr>
          <w:rFonts w:hint="eastAsia"/>
          <w:snapToGrid w:val="0"/>
        </w:rPr>
        <w:t xml:space="preserve"> </w:t>
      </w:r>
      <w:r>
        <w:rPr>
          <w:snapToGrid w:val="0"/>
        </w:rPr>
        <w:t>各项目中，加分、扣分最多不超过该项目总分；</w:t>
      </w:r>
      <w:r>
        <w:rPr>
          <w:rFonts w:hint="eastAsia"/>
          <w:snapToGrid w:val="0"/>
        </w:rPr>
        <w:t>2</w:t>
      </w:r>
      <w:r>
        <w:rPr>
          <w:snapToGrid w:val="0"/>
        </w:rPr>
        <w:t>.</w:t>
      </w:r>
      <w:r>
        <w:rPr>
          <w:rFonts w:hint="eastAsia"/>
          <w:snapToGrid w:val="0"/>
        </w:rPr>
        <w:t xml:space="preserve"> </w:t>
      </w:r>
      <w:r>
        <w:rPr>
          <w:snapToGrid w:val="0"/>
        </w:rPr>
        <w:t>因新开通等原因不能参与打分的，按其他</w:t>
      </w:r>
      <w:r>
        <w:rPr>
          <w:rFonts w:hint="eastAsia"/>
          <w:snapToGrid w:val="0"/>
        </w:rPr>
        <w:t>同类</w:t>
      </w:r>
      <w:r>
        <w:rPr>
          <w:snapToGrid w:val="0"/>
        </w:rPr>
        <w:t>机构的平均得分作为清算最终得分；</w:t>
      </w:r>
      <w:r>
        <w:rPr>
          <w:rFonts w:hint="eastAsia"/>
          <w:snapToGrid w:val="0"/>
        </w:rPr>
        <w:t>3</w:t>
      </w:r>
      <w:r>
        <w:rPr>
          <w:snapToGrid w:val="0"/>
        </w:rPr>
        <w:t>.</w:t>
      </w:r>
      <w:r>
        <w:rPr>
          <w:rFonts w:hint="eastAsia"/>
          <w:snapToGrid w:val="0"/>
        </w:rPr>
        <w:t xml:space="preserve"> </w:t>
      </w:r>
      <w:r>
        <w:rPr>
          <w:snapToGrid w:val="0"/>
        </w:rPr>
        <w:t>对各单位按上述指标进行综合考核评分，各单位超支（节余）清算费用=本单位符合规定的超支（节余）费用×本单位指标考核得分占总分比</w:t>
      </w:r>
      <w:r>
        <w:rPr>
          <w:rFonts w:hint="eastAsia"/>
          <w:snapToGrid w:val="0"/>
        </w:rPr>
        <w:t xml:space="preserve">；4. </w:t>
      </w:r>
      <w:r>
        <w:rPr>
          <w:snapToGrid w:val="0"/>
        </w:rPr>
        <w:t>医保目录外费用是指</w:t>
      </w:r>
      <w:r>
        <w:rPr>
          <w:rFonts w:hint="eastAsia"/>
          <w:snapToGrid w:val="0"/>
        </w:rPr>
        <w:t>医保目录范围内超支付标准、不属于限定支付范围及医保目录范围外的费用；5. 取数范围为年度内医院发生的所有基本医疗保险住院数据。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04B9A"/>
    <w:rsid w:val="0690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Text"/>
    <w:basedOn w:val="1"/>
    <w:autoRedefine/>
    <w:semiHidden/>
    <w:qFormat/>
    <w:uiPriority w:val="0"/>
    <w:pPr>
      <w:spacing w:line="300" w:lineRule="exact"/>
      <w:jc w:val="center"/>
    </w:pPr>
    <w:rPr>
      <w:rFonts w:ascii="Times New Roman" w:hAnsi="Times New Roman" w:eastAsiaTheme="minorEastAsia"/>
      <w:color w:val="000000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2025-01-20T08:40:00Z</dcterms:created>
  <dc:creator>╮(╯_╰)╭</dc:creator>
  <cp:lastModifiedBy>╮(╯_╰)╭</cp:lastModifiedBy>
  <dcterms:modified xsi:type="dcterms:W3CDTF">2025-01-20T08:42:02Z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9B70ECBA5ABC4424B8D146E1D6D26753_11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