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BF2D4">
      <w:pPr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72D637C6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常州市城市绿地养护分级管理质量标准</w:t>
      </w:r>
    </w:p>
    <w:tbl>
      <w:tblPr>
        <w:tblStyle w:val="4"/>
        <w:tblW w:w="517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005"/>
        <w:gridCol w:w="4162"/>
        <w:gridCol w:w="2943"/>
        <w:gridCol w:w="2911"/>
        <w:gridCol w:w="12"/>
        <w:gridCol w:w="2829"/>
        <w:gridCol w:w="12"/>
      </w:tblGrid>
      <w:tr w14:paraId="47283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08" w:hRule="atLeast"/>
          <w:tblHeader/>
          <w:jc w:val="center"/>
        </w:trPr>
        <w:tc>
          <w:tcPr>
            <w:tcW w:w="610" w:type="pct"/>
            <w:gridSpan w:val="2"/>
            <w:shd w:val="clear" w:color="auto" w:fill="auto"/>
            <w:vAlign w:val="center"/>
          </w:tcPr>
          <w:p w14:paraId="04E4900F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管护类别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1C3784DE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一级管护绿地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1E1DA79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二级管护绿地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7D00CB18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三级管护绿地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0F7334D9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四级管护绿地</w:t>
            </w:r>
          </w:p>
        </w:tc>
      </w:tr>
      <w:tr w14:paraId="012A9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261" w:hRule="atLeast"/>
          <w:jc w:val="center"/>
        </w:trPr>
        <w:tc>
          <w:tcPr>
            <w:tcW w:w="267" w:type="pct"/>
            <w:vMerge w:val="restart"/>
            <w:shd w:val="clear" w:color="auto" w:fill="auto"/>
            <w:vAlign w:val="center"/>
          </w:tcPr>
          <w:p w14:paraId="7DAFD42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32327D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5F6426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97B322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994885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BF4AA3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8CDFE4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203B47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66AEC2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D60380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0F07BC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3E4C02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园林</w:t>
            </w:r>
          </w:p>
          <w:p w14:paraId="48F9804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植物</w:t>
            </w:r>
          </w:p>
          <w:p w14:paraId="60DB8F3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养护</w:t>
            </w:r>
          </w:p>
          <w:p w14:paraId="2170893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5229E1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B2D74D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C41801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C48122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F677CB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4075B9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E9FB28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BD3EC2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2BC267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3CE0D2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04826C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E3DD13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5E31BA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AA38F5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D65402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BBF180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4125F0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B61D99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97D762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350083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1C4EA9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园林植物养护</w:t>
            </w:r>
          </w:p>
          <w:p w14:paraId="7BC9998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686F07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B06830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7D0401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D253C3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FBE2D4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AC6132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5B2AC3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04EEEF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F55EFD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3919CE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9DBB2A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A9A222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384C1D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C02726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4161BF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90EA51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442A7B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1E3795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D46CEB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82CF8C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1D57CB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E6BBAE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FC5432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0F9AD0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157E89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893903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3E5B12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38361B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5E5DAD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415631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7F142B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CB9DA0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C15262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912A96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5F00F7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41E9E4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园林植物养护</w:t>
            </w:r>
          </w:p>
          <w:p w14:paraId="7A19723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435744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33E3C5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BF8483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F07610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73C5B1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FC801E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B1353F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3BFD08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E17707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85063B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04A43E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1AAC5C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EFEFDA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024E64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7865C5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BE0A1E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E0BB62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A31CF6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B4A603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9864D6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2C8F76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8B9923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7678F3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8C58E5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ACD1C5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FA250D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B4FB54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8DA3F4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CF2034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园林设施维护</w:t>
            </w:r>
          </w:p>
          <w:p w14:paraId="5D9CF38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65B90B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A057B4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DDD22B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A96759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FDC873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848CC3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FE14E2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C87423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B64DFE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982939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01AE87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710825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8433FF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B92F39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2682FD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8BE755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965E70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179489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BA1EB1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2B9B4C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575C76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7444ED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9BB998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BCC09D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0D7825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6AE71A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12BEBD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2271FD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1B6430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BB3994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园林设施维护</w:t>
            </w:r>
          </w:p>
          <w:p w14:paraId="1D1640A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C3F57C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B86236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61F05D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4781B1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B0F94B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D7235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CF2402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6640CB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9C843B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8E302D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C7D465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320686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148A53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05F590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9E8E08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9E9605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4E1BDE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2F5DDD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240917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95CB69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C147FB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D2A0C6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DBB694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03F9FE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6F2315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2E4AFA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90699E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4AEC01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AF7C0D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ECB85C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园林设施维护</w:t>
            </w:r>
          </w:p>
          <w:p w14:paraId="3CE87A3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1FF191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1A907B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39D6CD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673BA54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C24633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E17E6F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317432E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04AEA8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7329CD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D6BB3C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5812031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8723F7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DEC49B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6238C8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45BF25B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1A345E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7632C64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280EE4C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05E116E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  <w:p w14:paraId="1B8089B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园林设施维护</w:t>
            </w:r>
          </w:p>
        </w:tc>
        <w:tc>
          <w:tcPr>
            <w:tcW w:w="343" w:type="pct"/>
            <w:shd w:val="clear" w:color="auto" w:fill="auto"/>
            <w:vAlign w:val="center"/>
          </w:tcPr>
          <w:p w14:paraId="5B0CD67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乔木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37FE510E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生长健壮，树冠完整，树形优美。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分枝点合适，无枯枝死杈；主侧枝分布匀称、数量适宜；修剪及时、合理，内膛不乱，通风透光。树木不歪斜（造型树木除外）。叶片大小、颜色正常，无黄叶、焦叶、卷叶。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无缺株、死株。无可视的病虫危害症状，被害株率≤2%，地下害虫≤2头/m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E8A55A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生长正常，树冠完整，树形较优美。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分枝点较合适，基本无枯枝死杈；主侧枝分布匀称、数量较适宜；修剪及时、合理，内膛不乱，通风透光；树木基本不歪斜（造型树木除外）。叶片大小、颜色正常，无明显黄叶、焦叶、卷叶。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基本无枯死株。基本无可视的病虫危害症状，被害株率≤5%。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42F492FC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生长正常，树冠完整。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无明显枯枝死杈；主侧枝分布匀称、数量较适宜；修剪合理；树木无明显歪斜（造型树木除外）。叶片大小、颜色正常，有黄叶、焦叶和卷叶的株数不超过10%，正常叶片保存率在85%以上。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无明显枯死株。无明显可视的病虫危害症状，被害株率≤10%。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0C11A456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有完整景观效果。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无明显枯枝死杈；修剪合理；树木无明显歪斜（造型树木除外）。叶片大小、颜色正常，有黄叶、焦叶和卷叶的株数不超过15%，正常叶片保存率在80%以上。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无明显枯死株。无明显可视的病虫危害症状。</w:t>
            </w:r>
          </w:p>
        </w:tc>
      </w:tr>
      <w:tr w14:paraId="6B618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71969FB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5ED6597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行道树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00C1E27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树形完整、树冠舒展，分枝点偏差在正负10cm内；保留3级及以上分枝，长势良好，无徒长枝、病虫枝、交叉枝、重叠枝、下垂枝、扭伤枝、萌蘖枝、枯枝以及烂头等。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树穴有平整盖板或种植地被植物、覆盖植物树皮碎屑，黄土不裸露，树穴设施完好。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补植的行道树品种与原行道树一致，规格适宜，一般为：落叶树种的胸径在15cm以下，常绿树种的胸径在12cm以下。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无可视的病虫危害症状，被害株率≤2%，地下害虫≤2头/m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CD3F22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树形、树冠舒展，分枝点偏差在正负20cm内；保留2级及以上分枝，长势良好，无明显徒长枝、病虫枝、交叉枝、重叠枝、下垂枝、扭伤枝、枯枝和烂头以及萌蘖枝等。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补植的行道树品种与原行道树一致，规格适宜，一般为：落叶树种的胸径在15cm以下，常绿树种的胸径在12cm以下。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基本无可视的病虫危害症状，被害株率≤5%。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2D39EE6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树形、树冠舒展，分枝点偏差在正负30cm内；保留1级及以上分枝，长势良好，无明显徒长枝、病虫枝、交叉枝、重叠枝、下垂枝、扭伤枝、枯枝和烂头以及萌蘖枝等。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补植的行道树品种与原行道树一致，规格适宜，一般为：落叶树种的胸径在15cm以下，常绿树种的胸径在12cm以下。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无明显可视的病虫危害症状，被害株率≤10%。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591DEF56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树形、树冠舒展，分枝点偏差在正负40cm内；长势良好，无明显徒长枝、病虫枝、交叉枝、重叠枝、下垂枝、扭伤枝、枯枝和烂头以及萌蘖枝等。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补植的行道树规格适宜，一般为：落叶树种的胸径在15cm以下，常绿树种的胸径在12cm以下。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无明显可视的病虫危害症状。</w:t>
            </w:r>
          </w:p>
        </w:tc>
      </w:tr>
      <w:tr w14:paraId="5F4FA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445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48DC22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6D9BCC4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花灌木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2C44386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花灌木株形丰满，枝叶茂密，开花适时，花后修剪及时合理。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无可视的病虫危害症状，被害株率≤2%，地下害虫≤2头/m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D33CC7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花灌木株形丰满，开花适时，花后修剪及时合理。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基本无可视的病虫危害症状，被害株率≤5%。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577EFC1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花灌木开花适时，花后能够进行修剪。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病虫害防治较及时，被害株率≤10%。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02B5E096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花灌木开花适时。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病虫害防治较及时。</w:t>
            </w:r>
          </w:p>
        </w:tc>
      </w:tr>
      <w:tr w14:paraId="4C588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15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37666E9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2ADF85C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古树</w:t>
            </w:r>
          </w:p>
          <w:p w14:paraId="0890B4C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名木</w:t>
            </w:r>
          </w:p>
        </w:tc>
        <w:tc>
          <w:tcPr>
            <w:tcW w:w="4386" w:type="pct"/>
            <w:gridSpan w:val="5"/>
            <w:shd w:val="clear" w:color="auto" w:fill="auto"/>
            <w:vAlign w:val="center"/>
          </w:tcPr>
          <w:p w14:paraId="1AA8689A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古树名木按照国家、省相关要求进行养护，各项养护管理措施到位，植株生长正常，状态良好。</w:t>
            </w:r>
          </w:p>
        </w:tc>
      </w:tr>
      <w:tr w14:paraId="03983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152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21F16B2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0F5E148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绿篱（模纹、色块）等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507CDCD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绿篱、模纹和色块等修剪及时。绿篱线条清晰，同类观赏面规则，整齐一致；模纹和色块线条流畅、主要观赏面圆润饱满，符合设计要求。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枝叶茂密，造型优美。造型树木根据不同的生长特性及时摘心、攀扎。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无可视的病虫危害症状，被害株率≤2%，地下害虫≤2头/m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AC9381C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绿篱、模纹和色块等修剪较及时，枝叶茂密，造型优美。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基本无可视的病虫危害症状，被害株率≤5%。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67D5F3A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绿篱、模纹和色块等能定期修剪。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无明显可视的病虫危害症状，被害面积≤10%。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1A186A7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绿篱、模纹和色块等修剪合理。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无明显可视的病虫危害症状。</w:t>
            </w:r>
          </w:p>
        </w:tc>
      </w:tr>
      <w:tr w14:paraId="2BEF9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450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0F94B19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2DF5701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水生</w:t>
            </w:r>
          </w:p>
          <w:p w14:paraId="2D545B1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植物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543EB8E2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水生植物密度适宜，花期正常、花色鲜艳美观，无干枯叶、残花等。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无可视的病虫危害症状，被害株率≤2%。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87AC4E7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水生植物密度适宜，花期、花色正常，无明显干枯叶、残花等。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基本无可视的病虫危害症状，被害株率≤5%。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4A1E004D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水生植物能够正常生长、开花。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无明显可视的病虫危害症状，被害面积≤10%。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394B506B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水生植物能够正常生长、开花。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无明显可视的病虫危害症状。</w:t>
            </w:r>
          </w:p>
        </w:tc>
      </w:tr>
      <w:tr w14:paraId="2E4CF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442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AC6669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17F3AD4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攀援</w:t>
            </w:r>
          </w:p>
          <w:p w14:paraId="68E3C66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植物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6CBCBC52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根据不同植物的攀缘特点，及时采取相应的技术措施，生长旺盛。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及时清除枯枝，疏删老弱藤蔓；开花的攀缘植物适时开花。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无可视的病虫危害症状，被害株率≤2%。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A38B114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根据不同植物的攀缘特点，能及时采取相应的技术措施，生长良好。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及时清除枯枝，疏删老弱藤蔓；开花的攀缘植物能适时开花。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基本无可视的病虫危害症状，被害株率≤5%。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3DDAF187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开花的攀缘植物能适时开花。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无明显可视的病虫危害症状，被害面积≤10%。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3532868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攀缘植物能正常生长。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无明显可视的病虫危害症状。</w:t>
            </w:r>
          </w:p>
        </w:tc>
      </w:tr>
      <w:tr w14:paraId="0F38B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713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076DC9E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17F6616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地被</w:t>
            </w:r>
          </w:p>
          <w:p w14:paraId="769A9E0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花卉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62DD425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多年生地被植物（含花境）和露地一、二年生花卉生长健壮，株行距适宜，色彩鲜艳，花期整齐，图案清晰。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无缺株、倒伏，残花量不大于10％。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无可视的病虫危害症状，被害株率≤2%，地下害虫≤2头/m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65329D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多年生地被植物（含花境）和露地一、二年生花卉栽植轮廓较清晰、美观，覆盖率98%以上。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无明显残缺、残花、残叶、杂草等,残花量不大于15%。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基本无可视的病虫危害症状，被害面积≤5%，地下害虫≤5头/m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1F0EAC3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多年生地被植物覆盖率90%以上。生长正常，开花适时。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无明显可视的病虫危害症状，被害面积≤10%，地下害虫≤10头/m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6DE622E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多年生地被植物生长正常，开花适时。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无明显可视的病虫危害症状。</w:t>
            </w:r>
          </w:p>
        </w:tc>
      </w:tr>
      <w:tr w14:paraId="1485C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937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721999D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37A1ED1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竹类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5121C68A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竹林保持适宜密度，通风透光、生长健壮、叶色正常，及时清除老鞭、砍伐后的竹蔸、干枯株等。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无可视的病虫危害症状，被害株率≤2%，地下害虫≤2头/m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2FD6E7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竹林保持较适宜密度，通风透光良好、生长较健壮，叶色基本正常，能及时清除老鞭、砍伐后的竹蔸、干枯株等。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基本无可视的病虫危害症状，被害株率≤5%，地下害虫≤5头/m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0CD05E24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竹林生长、叶色基本正常，能定期清除老鞭、砍伐后的竹蔸、干枯株等。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无明显可视的病虫危害症状，被害株率≤10%，地下害虫≤10头/m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1553DA2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竹林生长、叶色基本正常。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无明显可视的病虫危害症状。</w:t>
            </w:r>
          </w:p>
        </w:tc>
      </w:tr>
      <w:tr w14:paraId="218D4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815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794168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676EEF7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草坪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04159AC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草坪外观整齐，边缘线清晰，生长旺盛，草根不裸露；无可视斑秃；生长季节不枯黄，修剪及时，绿地内杂草率≤2%。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无可视的病虫危害症状，被害株率≤2%，地下害虫≤2头/m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45CAB2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草坪覆盖率95%以上，单块斑秃面积不超过0.2m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或10m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绿地内斑秃面积不超过3块；草坪内杂草率≤10%。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草坪绿色期：冷季型草坪不得少于260天，暖季型草坪不得少于170天。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基本无可视的病虫危害症状，被害面积≤5%，地下害虫≤5头/m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48D21E0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草坪覆盖率90%以上，单块斑秃面积不超过0.3m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或10m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绿地内斑秃面积不超过4块；草坪内杂草率≤15%。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草坪绿色期：冷季型草坪不得少于240天，暖季型草坪不得少于160天。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无明显可视的病虫危害症状，被害面积≤10%，地下害虫≤10头/m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5897C776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草坪覆盖率85%以上，单块斑秃面积不超过0.4m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或10m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绿地内斑秃面积不超过5块；草坪内杂草率≤20%。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无明显可视的病虫危害症状。</w:t>
            </w:r>
          </w:p>
        </w:tc>
      </w:tr>
      <w:tr w14:paraId="1E287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800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18AC521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2B9D070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建构</w:t>
            </w:r>
          </w:p>
          <w:p w14:paraId="56B8D06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筑物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343EA944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外观完整，外貌整洁；设施清洁、完好，设备安全运行；墙面、屋面、地面及时粉刷、清洗；无污染、无渗漏，管道无堵塞及锈蚀；及时维修，无安全隐患。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防火、防雪、防台风暴雨等保护措施落实有效。防火、防雪、防台风暴雨等保护措施落实有效。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DF2719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外观完整，外貌较整洁，定期粉刷、清洗；设施清洁、完好，设备安全运行；墙面、屋面、地面及时粉刷、清洗，基本无污染、无渗漏，管道无堵塞、基本无锈蚀；定期维修，无安全隐患。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防火、防雪、防台风暴雨等保护措施落实有效。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6E705AE2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外观完整，外貌较干净；设施干净、基本完好，设备安全运行；墙面、屋面、地面定期进行粉刷、清洗，基本无污染、无渗漏，管道无堵塞、无明显锈蚀；常规维修，无安全隐患。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防火、防雪、防台风暴雨等保护措施落实有效。</w:t>
            </w:r>
          </w:p>
        </w:tc>
      </w:tr>
      <w:tr w14:paraId="404F1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839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7242D90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485AAD1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假山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6B9B534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假山叠石完整、稳固、安全。禁止攀爬的假山有醒目标志和防护设施；假山周围10m及石缝内无影响安全和景观的杂草、杂物，种植穴不空缺；假山及孤赏石表面无乱涂乱刻痕迹。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660BBD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假山叠石完整、稳固、安全。禁止攀爬的假山有醒目标志和防护设施；假山周围5m及石缝内无影响安全和景观的杂草、杂物； 假山及孤赏石表面基本无乱涂乱刻痕迹。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648736BA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假山叠石完整、稳固、安全。有禁止攀爬的假山有醒目标志和防护设施；假山周围5m及石缝内无影响安全和景观的杂草、杂物； 假山及孤赏石表面无明显的乱涂乱刻痕迹。</w:t>
            </w:r>
          </w:p>
        </w:tc>
      </w:tr>
      <w:tr w14:paraId="0E6BD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28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25EA41F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14E4E70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花坛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5F3FD23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花坛表面整洁、无破损；叠石花坛的叠石无松动。补缝颜色与石材接近，无明显色差。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EF332C3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花坛表面整洁、基本无破损；叠石花坛的叠石基本不松动。补缝颜色与石材基本接近。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4E9AB73B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花坛表面整洁、无明显破损；叠石花坛的叠石无明显松动。补缝颜色与石材基本接近。</w:t>
            </w:r>
          </w:p>
        </w:tc>
      </w:tr>
      <w:tr w14:paraId="59A5F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71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64A3ACC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5375678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雕塑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5A5E0D04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雕塑结构、基础安全完整。表面清洁无垢，无刻写痕迹。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736E9B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雕塑结构、基础安全完整。表面基本清洁无垢，无刻写痕迹。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12E40C5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雕塑结构、基础安全完整。表面基本清洁，无明显污垢，无明显刻写痕迹。</w:t>
            </w:r>
          </w:p>
        </w:tc>
      </w:tr>
      <w:tr w14:paraId="7D6D4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250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272536B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53F4DBB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喷泉（水景设施）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14C5DC7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设备按照规定检查维护，损坏部件及时更换，确保安全运行；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喷嘴无堵塞，喷涌效果好，景观优良；循环、动力及水位控制设施完好，运行正常。</w:t>
            </w:r>
          </w:p>
        </w:tc>
        <w:tc>
          <w:tcPr>
            <w:tcW w:w="2966" w:type="pct"/>
            <w:gridSpan w:val="4"/>
            <w:shd w:val="clear" w:color="auto" w:fill="auto"/>
            <w:vAlign w:val="center"/>
          </w:tcPr>
          <w:p w14:paraId="2A979C1B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设备按照规定检查维护，损坏部件及时更换，确保安全运行；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喷嘴基本无堵塞，喷涌效果较好，基本保证景观质量；循环、动力及水位控制设施完好，运行正常。</w:t>
            </w:r>
          </w:p>
        </w:tc>
      </w:tr>
      <w:tr w14:paraId="146C8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471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040DE20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54018A43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栏杆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7524430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完整、清洁、无缺损，无刻划痕迹；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竹、木材质无腐朽，金属类材质无锈蚀，无安全隐患。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A2FF9F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完整、清洁、无缺损，基本无刻划痕迹；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竹、木材质基本无腐朽，金属类材质基本无锈蚀，无安全隐患。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7B3D3B2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完整、清洁、无缺损，无明显刻划痕迹；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竹、木材质无明显腐朽，金属类材质无明显锈蚀，无安全隐患。</w:t>
            </w:r>
          </w:p>
        </w:tc>
      </w:tr>
      <w:tr w14:paraId="2A40D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337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05E821B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3A65CFF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桌凳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2165FB6C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桌凳表面清洁；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竹木类材料无腐朽，其他类材料无锈蚀。无刻划。安全坚固，无松动，无缺损。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88251AE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桌凳表面清洁；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竹木类基本无腐朽，其他类材料基本无锈蚀。无刻划。安全坚固，无松动，基本无缺损。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7D80B092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桌凳表面基本清洁；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竹木类无明显腐朽，其他类材料，无明显锈蚀和刻划。安全坚固，无松动，基本无缺损。</w:t>
            </w:r>
          </w:p>
        </w:tc>
      </w:tr>
      <w:tr w14:paraId="3F4E3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064A67A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0423374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围墙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743FDD57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外观整洁、完整；墙面、顶面无污染、无渗漏；及时维修，无安全隐患。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防火、防雪、防台风暴雨、防蚁等保护措施落实有效。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089C36B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外观完整；墙面、顶面基本无污染、无渗漏；定期维修，无安全隐患。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防火、防雪、防台风暴雨、防蚁等保护措施落实有效。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6AC3ABCA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外观基本完整；墙面、顶面无明显污染、基本无渗漏；常规维修，无安全</w:t>
            </w:r>
            <w:r>
              <w:rPr>
                <w:rFonts w:hint="eastAsia" w:eastAsia="仿宋_GB2312"/>
                <w:sz w:val="24"/>
                <w:lang w:val="en-US" w:eastAsia="zh-CN"/>
              </w:rPr>
              <w:t>隐患</w:t>
            </w:r>
            <w:bookmarkStart w:id="0" w:name="_GoBack"/>
            <w:bookmarkEnd w:id="0"/>
            <w:r>
              <w:rPr>
                <w:rFonts w:eastAsia="仿宋_GB2312"/>
                <w:sz w:val="24"/>
              </w:rPr>
              <w:t>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防火、防雪、防台风暴雨、防蚁等保护措施落实有效。</w:t>
            </w:r>
          </w:p>
        </w:tc>
      </w:tr>
      <w:tr w14:paraId="1CA16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365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A4C330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53808F3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树穴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4C980D6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侧石及盖板坚固无松动，无缺损；盖板平整，无坑洼、沉陷、倾覆、腐朽、锈蚀；池体整洁。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70E67AEE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侧石及盖板坚固无松动，无缺损；盖板基本平整，无明显坑洼、沉陷、倾覆、腐朽、锈蚀；池体基本整洁。</w:t>
            </w:r>
          </w:p>
        </w:tc>
        <w:tc>
          <w:tcPr>
            <w:tcW w:w="993" w:type="pct"/>
            <w:shd w:val="clear" w:color="auto" w:fill="auto"/>
            <w:vAlign w:val="center"/>
          </w:tcPr>
          <w:p w14:paraId="05B146B3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侧石及盖板无明显松动，无明显缺损；盖板基本平整，无明显坑洼、沉陷、倾覆、腐朽、锈蚀；池体基本整洁。</w:t>
            </w:r>
          </w:p>
        </w:tc>
        <w:tc>
          <w:tcPr>
            <w:tcW w:w="969" w:type="pct"/>
            <w:gridSpan w:val="2"/>
            <w:shd w:val="clear" w:color="auto" w:fill="auto"/>
            <w:vAlign w:val="center"/>
          </w:tcPr>
          <w:p w14:paraId="00BE75F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侧石无明显松动，无明显缺损，池体覆盖到位，基本整洁。</w:t>
            </w:r>
          </w:p>
        </w:tc>
      </w:tr>
      <w:tr w14:paraId="1D662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294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526ABF6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5FC58009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园路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1E0D21BB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路面平整，无坑洼破损（小于等于维修率），无面层松动、沉陷、倾覆或面层脱落。伸缩缝嵌缝完好。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路面、路沿、台阶清洁，无垃圾及痰迹。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无障碍通道及应急通道整洁畅通。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B13D30D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路面平整，无坑洼破损（小于等于维修率），无面层松动、沉陷、倾覆或面层脱落。伸缩缝嵌缝基本完好；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路面基本清洁，基本无垃圾、无痰迹。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无障碍通道及应急通道畅通，基本整洁。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5E99855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路面平整，无明显坑洼破损（不超过维修率5%），无面层松动、沉陷、倾覆或面层脱落；伸嵌缝无明显漏嵌。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路面基本清洁，无明显垃圾和痰迹。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无障碍通道及应急通道畅通，基本整洁。</w:t>
            </w:r>
          </w:p>
        </w:tc>
      </w:tr>
      <w:tr w14:paraId="38A81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070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4653C2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0B3A51C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桥梁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2EFC27DE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桥面平整，无坑洼，排水通畅。栏杆无缺损，墩台无混凝土剥落、露筋等。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桥梁限高、限载及相关交通和安全警示标志清晰齐全；雨雪冰冻季节防范措施落实有效。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031150C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桥面基本平整，无明显坑洼破损，排水基本通畅。栏杆无缺损，墩台无明显混凝土剥落、露筋等。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桥梁限高、限载及相关交通和安全警示标志清晰齐全；雨雪冰冻季节防范措施落实有效。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1BECC78B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桥面基本平整，有少量坑洼破损，排水基本通畅。栏杆无缺损，墩台有少量混凝土剥落、露筋等，但不影响安全和使用。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桥梁限高、限载及相关交通和安全警示标志清晰齐全；雨雪冰冻季节防范措施落实有效。</w:t>
            </w:r>
          </w:p>
        </w:tc>
      </w:tr>
      <w:tr w14:paraId="13ADA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674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1332C0D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071309C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停车场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5C99C6F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场地平整、无坑洼，环境清洁，排水良好，车位标志清晰；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乔木枝下高满足停车需要，无影响驾驶视线的植物枝叶；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收费明示。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364C641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场地较平整、清洁，排水基本通畅，车位标志清晰；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乔木枝下高满足停车需要，无影响驾驶视线的植物枝叶；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收费明示。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3525AED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场地基本平整、清洁，排水较通畅，有车位标志；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乔木枝下高满足停车需要，无影响驾驶视线的植物枝叶；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收费明示。</w:t>
            </w:r>
          </w:p>
        </w:tc>
      </w:tr>
      <w:tr w14:paraId="79EB2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700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F50801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1307D75F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水体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45C1FBAA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水质符合地表水环境质量标准的要求；水面清洁，无漂浮物。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安全警示标志设置规范、齐全。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水体排灌等设施完好，运行正常。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池体安全稳固、整齐美观，无缺损。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38BE4CEA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水质符合地表水环境质量标准的要求；水面清洁，基本无漂浮物。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安全警示标志设置齐全。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水体排灌等设施完好，运行正常。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池体安全稳固、整齐美观，无明显缺损。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25A8CB4A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水质符合地表水环境质量标准的要求；水面清洁，无明显漂浮物。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安全警示标志设置齐全。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水体排灌等设施基本完好，运行基本正常。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池体安全稳固，有少量缺损，但不影响安全使用。</w:t>
            </w:r>
          </w:p>
        </w:tc>
      </w:tr>
      <w:tr w14:paraId="1D597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1CF3E54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5336641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公共</w:t>
            </w:r>
          </w:p>
          <w:p w14:paraId="029A6E5F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卫生间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0934971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室内地面保持清洁，无垃圾、积水。便器无污物外溢、漏水。臭味强度不高于0级；保持通风，目测无蚊蝇。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无障碍通道、蹲位、洗手池以及其它各类设施齐全，使用正常。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墙面及隔离板无乱贴乱画痕迹；引导标识醒目。</w:t>
            </w:r>
          </w:p>
        </w:tc>
        <w:tc>
          <w:tcPr>
            <w:tcW w:w="2966" w:type="pct"/>
            <w:gridSpan w:val="4"/>
            <w:shd w:val="clear" w:color="auto" w:fill="auto"/>
            <w:vAlign w:val="center"/>
          </w:tcPr>
          <w:p w14:paraId="1E517E6A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室内地面保持清洁，无垃圾、积水。便器无污物外溢、漏水。臭味强度不高于1级；保持通风，目测基本无蚊蝇。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无障碍通道、蹲位及其它各类设施齐全；使用基本正常。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墙面及隔离板基本无乱贴乱画痕迹；引导标识清晰。</w:t>
            </w:r>
          </w:p>
        </w:tc>
      </w:tr>
      <w:tr w14:paraId="2FCD8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2C7BF47B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04C7BF9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垃圾箱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76D066A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外观清洁、完整，内壁无污垢陈渍，箱内无陈积垃圾；分类设置。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665DF7ED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外观清洁、完整，内壁无明显污垢陈渍，箱内无陈积垃圾；分类设置。</w:t>
            </w:r>
          </w:p>
        </w:tc>
        <w:tc>
          <w:tcPr>
            <w:tcW w:w="1966" w:type="pct"/>
            <w:gridSpan w:val="4"/>
            <w:shd w:val="clear" w:color="auto" w:fill="auto"/>
            <w:vAlign w:val="center"/>
          </w:tcPr>
          <w:p w14:paraId="4756FD3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外观基本清洁、完整，内壁无明显污垢陈渍，箱内基本无陈积垃圾。</w:t>
            </w:r>
          </w:p>
        </w:tc>
      </w:tr>
      <w:tr w14:paraId="2A11B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5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1383CFD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054C184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弱电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7637CD0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各类弱电系统设备完好，使用正常。</w:t>
            </w:r>
          </w:p>
        </w:tc>
        <w:tc>
          <w:tcPr>
            <w:tcW w:w="2966" w:type="pct"/>
            <w:gridSpan w:val="4"/>
            <w:shd w:val="clear" w:color="auto" w:fill="auto"/>
            <w:vAlign w:val="center"/>
          </w:tcPr>
          <w:p w14:paraId="01C62CE7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各类弱电系统设备基本完好，能正常使用。</w:t>
            </w:r>
          </w:p>
        </w:tc>
      </w:tr>
      <w:tr w14:paraId="20179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245B569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734F589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给排水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13AB4F76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管道通畅；外露的给排水等设施清洁、完整。井盖、井篦安放平稳，与井框吻合，无倾覆。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防汛、消防等设备完好，使用正常。</w:t>
            </w:r>
          </w:p>
        </w:tc>
        <w:tc>
          <w:tcPr>
            <w:tcW w:w="2966" w:type="pct"/>
            <w:gridSpan w:val="4"/>
            <w:shd w:val="clear" w:color="auto" w:fill="auto"/>
            <w:vAlign w:val="center"/>
          </w:tcPr>
          <w:p w14:paraId="69EE980E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管道基本畅通；外露的给排水等设施清洁、完整。井盖、井篦安放基本平稳，与井框吻合，无倾覆。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防汛、消防等设备完好、使用正常。</w:t>
            </w:r>
          </w:p>
        </w:tc>
      </w:tr>
      <w:tr w14:paraId="07502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3390423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315DF6F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标识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3538BEDD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牌示齐全、完整、整洁，文字及图案清晰。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23D6C92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牌示基本齐全，较整洁，文字及图案清晰。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5443950D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牌示基本齐全，无明显污垢，文字及图案能辨识。</w:t>
            </w:r>
          </w:p>
        </w:tc>
      </w:tr>
      <w:tr w14:paraId="4BCEA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6AF717BC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044B4B3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游乐健身设施</w:t>
            </w:r>
          </w:p>
        </w:tc>
        <w:tc>
          <w:tcPr>
            <w:tcW w:w="4386" w:type="pct"/>
            <w:gridSpan w:val="5"/>
            <w:shd w:val="clear" w:color="auto" w:fill="auto"/>
            <w:vAlign w:val="center"/>
          </w:tcPr>
          <w:p w14:paraId="35620AF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所有设施明示生产单位及使用要求、操作规程；维护管理人员经培训合格，持证上岗。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设施按照规定检查维护，安全运转；管理档案清晰完整。环境整洁。</w:t>
            </w:r>
          </w:p>
        </w:tc>
      </w:tr>
      <w:tr w14:paraId="6E8DA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1C2E325E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1BA5805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广播</w:t>
            </w:r>
          </w:p>
          <w:p w14:paraId="45A6F69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音响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0884127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外壳完整、稳固、清洁。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设备完好。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适时广播，白天音响小于55分贝，晚间小于45分贝。</w:t>
            </w:r>
          </w:p>
        </w:tc>
        <w:tc>
          <w:tcPr>
            <w:tcW w:w="2966" w:type="pct"/>
            <w:gridSpan w:val="4"/>
            <w:shd w:val="clear" w:color="auto" w:fill="auto"/>
            <w:vAlign w:val="center"/>
          </w:tcPr>
          <w:p w14:paraId="1333AF3D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外壳较完整、稳固、清洁。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设备基本完好，不影响安全、正常使用。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适时广播，白天音响小于55分贝，晚间小于45分贝。</w:t>
            </w:r>
          </w:p>
        </w:tc>
      </w:tr>
      <w:tr w14:paraId="35621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4F0DE63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0F70A697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减灾</w:t>
            </w:r>
          </w:p>
        </w:tc>
        <w:tc>
          <w:tcPr>
            <w:tcW w:w="4386" w:type="pct"/>
            <w:gridSpan w:val="5"/>
            <w:shd w:val="clear" w:color="auto" w:fill="auto"/>
            <w:vAlign w:val="center"/>
          </w:tcPr>
          <w:p w14:paraId="7B07D7FB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各种防灾避险等设施完好，防灾避险通道畅通。</w:t>
            </w:r>
            <w:r>
              <w:rPr>
                <w:rFonts w:eastAsia="仿宋_GB2312"/>
                <w:sz w:val="24"/>
              </w:rPr>
              <w:br w:type="textWrapping"/>
            </w:r>
            <w:r>
              <w:rPr>
                <w:rFonts w:eastAsia="仿宋_GB2312"/>
                <w:sz w:val="24"/>
              </w:rPr>
              <w:t>值班、巡视、应急预案等防灾避险措施落实。</w:t>
            </w:r>
          </w:p>
        </w:tc>
      </w:tr>
      <w:tr w14:paraId="0D649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jc w:val="center"/>
        </w:trPr>
        <w:tc>
          <w:tcPr>
            <w:tcW w:w="267" w:type="pct"/>
            <w:vMerge w:val="restart"/>
            <w:shd w:val="clear" w:color="auto" w:fill="auto"/>
            <w:vAlign w:val="center"/>
          </w:tcPr>
          <w:p w14:paraId="103EBBA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其它管理</w:t>
            </w:r>
          </w:p>
        </w:tc>
        <w:tc>
          <w:tcPr>
            <w:tcW w:w="343" w:type="pct"/>
            <w:shd w:val="clear" w:color="auto" w:fill="auto"/>
            <w:vAlign w:val="center"/>
          </w:tcPr>
          <w:p w14:paraId="5645A5B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整体</w:t>
            </w:r>
          </w:p>
          <w:p w14:paraId="2F5C3A70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32773AB4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绿地（含水面）整洁，无条状、块状污染物，点状污染物每100m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≤2处；无杂物，无树枝、树叶、草屑等生产垃圾，无擅自搭棚、摆摊设点等现象；植被、地被等基本无人为破坏；建筑（构筑）及设施完好，安全使用；水面异味。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4EE57230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绿地（含水面）较整洁，基本无条状和块状污染物，点状污染物每100m</w:t>
            </w:r>
            <w:r>
              <w:rPr>
                <w:rFonts w:eastAsia="仿宋_GB2312"/>
                <w:sz w:val="24"/>
                <w:vertAlign w:val="superscript"/>
              </w:rPr>
              <w:t>2</w:t>
            </w:r>
            <w:r>
              <w:rPr>
                <w:rFonts w:eastAsia="仿宋_GB2312"/>
                <w:sz w:val="24"/>
              </w:rPr>
              <w:t>≤4处；基本无杂物，无明显树枝、树叶、草屑等生产垃圾，无擅自搭棚、摆摊设点等现象；建筑（构筑）及设施基本完好，安全使用；水面无异味。</w:t>
            </w:r>
          </w:p>
        </w:tc>
        <w:tc>
          <w:tcPr>
            <w:tcW w:w="1962" w:type="pct"/>
            <w:gridSpan w:val="3"/>
            <w:shd w:val="clear" w:color="auto" w:fill="auto"/>
            <w:vAlign w:val="center"/>
          </w:tcPr>
          <w:p w14:paraId="32982BB8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绿地（含水面）基本整洁，无明显杂物，无明显白色污染（树挂），无明显树枝、树叶、草屑等生产垃圾积存，无擅自搭棚、摆摊设点等现象；建筑（构筑）及设施基本完好，安全使用；水面无明显异味。</w:t>
            </w:r>
          </w:p>
        </w:tc>
      </w:tr>
      <w:tr w14:paraId="36AA7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54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74F00E92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3A90CB8A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人员</w:t>
            </w:r>
          </w:p>
          <w:p w14:paraId="41591794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着装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74AA0766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在岗的养护、保洁、安保等人员统一着装，衣帽整齐，佩戴工号牌，且有所属单位的明显标志。</w:t>
            </w:r>
          </w:p>
        </w:tc>
        <w:tc>
          <w:tcPr>
            <w:tcW w:w="1004" w:type="pct"/>
            <w:shd w:val="clear" w:color="auto" w:fill="auto"/>
            <w:vAlign w:val="center"/>
          </w:tcPr>
          <w:p w14:paraId="528DAC1E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在岗工作人员能统一着装，衣帽整齐。</w:t>
            </w:r>
          </w:p>
        </w:tc>
        <w:tc>
          <w:tcPr>
            <w:tcW w:w="997" w:type="pct"/>
            <w:gridSpan w:val="2"/>
            <w:shd w:val="clear" w:color="auto" w:fill="auto"/>
            <w:vAlign w:val="center"/>
          </w:tcPr>
          <w:p w14:paraId="5736D52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——</w:t>
            </w:r>
          </w:p>
        </w:tc>
        <w:tc>
          <w:tcPr>
            <w:tcW w:w="965" w:type="pct"/>
            <w:shd w:val="clear" w:color="auto" w:fill="auto"/>
            <w:vAlign w:val="center"/>
          </w:tcPr>
          <w:p w14:paraId="79BCEBEF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——</w:t>
            </w:r>
          </w:p>
        </w:tc>
      </w:tr>
      <w:tr w14:paraId="3F86F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7" w:hRule="atLeast"/>
          <w:jc w:val="center"/>
        </w:trPr>
        <w:tc>
          <w:tcPr>
            <w:tcW w:w="267" w:type="pct"/>
            <w:vMerge w:val="continue"/>
            <w:shd w:val="clear" w:color="auto" w:fill="auto"/>
            <w:vAlign w:val="center"/>
          </w:tcPr>
          <w:p w14:paraId="6D23A795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3" w:type="pct"/>
            <w:shd w:val="clear" w:color="auto" w:fill="auto"/>
            <w:vAlign w:val="center"/>
          </w:tcPr>
          <w:p w14:paraId="48906FD1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技术</w:t>
            </w:r>
          </w:p>
          <w:p w14:paraId="3E7A1328">
            <w:pPr>
              <w:spacing w:line="2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档案</w:t>
            </w:r>
          </w:p>
        </w:tc>
        <w:tc>
          <w:tcPr>
            <w:tcW w:w="1420" w:type="pct"/>
            <w:shd w:val="clear" w:color="auto" w:fill="auto"/>
            <w:vAlign w:val="center"/>
          </w:tcPr>
          <w:p w14:paraId="5C3F3065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养护管理技术档案健全，记录清晰，并有专人负责。</w:t>
            </w:r>
          </w:p>
        </w:tc>
        <w:tc>
          <w:tcPr>
            <w:tcW w:w="2966" w:type="pct"/>
            <w:gridSpan w:val="4"/>
            <w:shd w:val="clear" w:color="auto" w:fill="auto"/>
            <w:vAlign w:val="center"/>
          </w:tcPr>
          <w:p w14:paraId="75E884B9">
            <w:pPr>
              <w:spacing w:line="2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建立养护管理技术档案，记录清晰。</w:t>
            </w:r>
          </w:p>
        </w:tc>
      </w:tr>
    </w:tbl>
    <w:p w14:paraId="7602F56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FB9"/>
    <w:rsid w:val="00910E4C"/>
    <w:rsid w:val="00934067"/>
    <w:rsid w:val="00993F13"/>
    <w:rsid w:val="00994FB9"/>
    <w:rsid w:val="3E34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6262</Words>
  <Characters>6487</Characters>
  <Lines>49</Lines>
  <Paragraphs>13</Paragraphs>
  <TotalTime>11</TotalTime>
  <ScaleCrop>false</ScaleCrop>
  <LinksUpToDate>false</LinksUpToDate>
  <CharactersWithSpaces>6489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2019-06-24T02:23:00Z</dcterms:created>
  <dc:creator>常州市园林绿化管理局本级(填报)</dc:creator>
  <cp:lastModifiedBy>Administrator</cp:lastModifiedBy>
  <dcterms:modified xsi:type="dcterms:W3CDTF">2025-03-05T01:38:56Z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eyJoZGlkIjoiMDMwYWM2NTgxYzE2YzhjODY1YjQ3MTllMzNmNzIyNmQifQ==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E7206621999748C9AB9ECD436CD7B842_12</vt:lpwstr>
  </property>
</Properties>
</file>