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0" w:after="240" w:line="520" w:lineRule="exact"/>
        <w:jc w:val="left"/>
        <w:rPr>
          <w:rFonts w:ascii="黑体" w:hAnsi="黑体" w:eastAsia="黑体"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bCs/>
          <w:sz w:val="32"/>
          <w:szCs w:val="32"/>
        </w:rPr>
        <w:t>附件</w:t>
      </w:r>
    </w:p>
    <w:p>
      <w:pPr>
        <w:spacing w:before="240" w:after="240" w:line="52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2025年常州市“启明星”知识产权人才培养行动计划表</w:t>
      </w:r>
    </w:p>
    <w:tbl>
      <w:tblPr>
        <w:tblStyle w:val="4"/>
        <w:tblW w:w="492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1872"/>
        <w:gridCol w:w="3033"/>
        <w:gridCol w:w="1208"/>
        <w:gridCol w:w="833"/>
        <w:gridCol w:w="62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</w:trPr>
        <w:tc>
          <w:tcPr>
            <w:tcW w:w="279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序号</w:t>
            </w:r>
          </w:p>
        </w:tc>
        <w:tc>
          <w:tcPr>
            <w:tcW w:w="651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培训名称</w:t>
            </w:r>
          </w:p>
        </w:tc>
        <w:tc>
          <w:tcPr>
            <w:tcW w:w="1087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培训对象、人数及学时</w:t>
            </w:r>
          </w:p>
        </w:tc>
        <w:tc>
          <w:tcPr>
            <w:tcW w:w="435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计划时间</w:t>
            </w:r>
          </w:p>
        </w:tc>
        <w:tc>
          <w:tcPr>
            <w:tcW w:w="301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培训地点</w:t>
            </w:r>
          </w:p>
        </w:tc>
        <w:tc>
          <w:tcPr>
            <w:tcW w:w="2244" w:type="pct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培训内容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9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</w:t>
            </w:r>
          </w:p>
        </w:tc>
        <w:tc>
          <w:tcPr>
            <w:tcW w:w="651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省知识产权远程专题培训</w:t>
            </w:r>
          </w:p>
        </w:tc>
        <w:tc>
          <w:tcPr>
            <w:tcW w:w="1087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知识产权贯标企业人员、知识产权服务从业人员、知识产权行政管理人员</w:t>
            </w:r>
          </w:p>
        </w:tc>
        <w:tc>
          <w:tcPr>
            <w:tcW w:w="435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11月底前</w:t>
            </w:r>
          </w:p>
        </w:tc>
        <w:tc>
          <w:tcPr>
            <w:tcW w:w="301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线上</w:t>
            </w:r>
          </w:p>
        </w:tc>
        <w:tc>
          <w:tcPr>
            <w:tcW w:w="2244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针对实际需求，完善知识产权远程培训课程体系，面向全省行政管理和执法人员、企业和服务业人员、高校创新创业导师等，组织新一轮远程培训工作。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9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2</w:t>
            </w:r>
          </w:p>
        </w:tc>
        <w:tc>
          <w:tcPr>
            <w:tcW w:w="651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省知识产权助力产业强链企业人员培训</w:t>
            </w:r>
          </w:p>
        </w:tc>
        <w:tc>
          <w:tcPr>
            <w:tcW w:w="1087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企业知识产权高管，企业知识产权管理人员</w:t>
            </w:r>
          </w:p>
        </w:tc>
        <w:tc>
          <w:tcPr>
            <w:tcW w:w="435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全年</w:t>
            </w:r>
          </w:p>
        </w:tc>
        <w:tc>
          <w:tcPr>
            <w:tcW w:w="301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省内</w:t>
            </w:r>
          </w:p>
        </w:tc>
        <w:tc>
          <w:tcPr>
            <w:tcW w:w="2244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围绕“1650”产业体系，开展8期企业高管、6期企业科技工作者、2 期外向型企业海外风险防控和全省民营企业家知识产权培训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9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3</w:t>
            </w:r>
          </w:p>
        </w:tc>
        <w:tc>
          <w:tcPr>
            <w:tcW w:w="651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地理标志培育及保护培训班</w:t>
            </w:r>
          </w:p>
        </w:tc>
        <w:tc>
          <w:tcPr>
            <w:tcW w:w="1087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辖市（区）知识产权局业务骨干；地理标志协会负责人及工作人员；拟申报地理标志单位负责人及工作人员；市非物质文化遗产保护中心；4学时。</w:t>
            </w:r>
          </w:p>
        </w:tc>
        <w:tc>
          <w:tcPr>
            <w:tcW w:w="435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2月</w:t>
            </w:r>
          </w:p>
        </w:tc>
        <w:tc>
          <w:tcPr>
            <w:tcW w:w="301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常州</w:t>
            </w:r>
          </w:p>
        </w:tc>
        <w:tc>
          <w:tcPr>
            <w:tcW w:w="2244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地理标志培育、保护、运用和地理标志文化，非物质文化遗产知识产权保护。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9" w:hRule="atLeast"/>
        </w:trPr>
        <w:tc>
          <w:tcPr>
            <w:tcW w:w="279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4</w:t>
            </w:r>
          </w:p>
        </w:tc>
        <w:tc>
          <w:tcPr>
            <w:tcW w:w="651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专利导航实务培训</w:t>
            </w:r>
          </w:p>
        </w:tc>
        <w:tc>
          <w:tcPr>
            <w:tcW w:w="1087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高新技术企业知识产权管理人员和研发人员，专利导航服务机构人员；50家企业；16学时。</w:t>
            </w:r>
          </w:p>
        </w:tc>
        <w:tc>
          <w:tcPr>
            <w:tcW w:w="435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3月</w:t>
            </w:r>
          </w:p>
        </w:tc>
        <w:tc>
          <w:tcPr>
            <w:tcW w:w="301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常州</w:t>
            </w:r>
          </w:p>
        </w:tc>
        <w:tc>
          <w:tcPr>
            <w:tcW w:w="2244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《专利导航指南》标准解读、产业规划类专利导航分析、研发活动专利导航分析、专利导航案例分享等。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9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5</w:t>
            </w:r>
          </w:p>
        </w:tc>
        <w:tc>
          <w:tcPr>
            <w:tcW w:w="651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商业秘密保护培训</w:t>
            </w:r>
          </w:p>
        </w:tc>
        <w:tc>
          <w:tcPr>
            <w:tcW w:w="1087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高新技术企业知识产权管理人员；计划培训80人；4学时。</w:t>
            </w:r>
          </w:p>
        </w:tc>
        <w:tc>
          <w:tcPr>
            <w:tcW w:w="435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4月</w:t>
            </w:r>
          </w:p>
        </w:tc>
        <w:tc>
          <w:tcPr>
            <w:tcW w:w="301" w:type="pct"/>
            <w:shd w:val="clear" w:color="auto" w:fill="auto"/>
            <w:vAlign w:val="center"/>
          </w:tcPr>
          <w:p>
            <w:pPr>
              <w:tabs>
                <w:tab w:val="left" w:pos="854"/>
              </w:tabs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常州</w:t>
            </w:r>
          </w:p>
        </w:tc>
        <w:tc>
          <w:tcPr>
            <w:tcW w:w="2244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商业秘密的界定、保密措施的实施、侵权行为的认定、维权实务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9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6</w:t>
            </w:r>
          </w:p>
        </w:tc>
        <w:tc>
          <w:tcPr>
            <w:tcW w:w="651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《企业知识产权合规管理体系要求》国家标准贯标工作培训班</w:t>
            </w:r>
          </w:p>
        </w:tc>
        <w:tc>
          <w:tcPr>
            <w:tcW w:w="1087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贯标企业的知识产权管理人员及质量体系管理人员；150人；24学时。</w:t>
            </w:r>
          </w:p>
        </w:tc>
        <w:tc>
          <w:tcPr>
            <w:tcW w:w="435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5月</w:t>
            </w:r>
          </w:p>
        </w:tc>
        <w:tc>
          <w:tcPr>
            <w:tcW w:w="301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常州</w:t>
            </w:r>
          </w:p>
        </w:tc>
        <w:tc>
          <w:tcPr>
            <w:tcW w:w="2244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《企业知识产权合规管理体系要求》内容解读；贯标流程及体系的实施运行；管理体系构建及管理文件编制；管理体系内审、管评及认证前的准备。省知识产权管理贯标绩效评价换版工作要求。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9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7</w:t>
            </w:r>
          </w:p>
        </w:tc>
        <w:tc>
          <w:tcPr>
            <w:tcW w:w="651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知识产权系统管理干部业务能力提升培训班</w:t>
            </w:r>
          </w:p>
        </w:tc>
        <w:tc>
          <w:tcPr>
            <w:tcW w:w="1087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全市知识产权行政管理人员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。</w:t>
            </w:r>
          </w:p>
        </w:tc>
        <w:tc>
          <w:tcPr>
            <w:tcW w:w="435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6月</w:t>
            </w:r>
          </w:p>
        </w:tc>
        <w:tc>
          <w:tcPr>
            <w:tcW w:w="301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常州</w:t>
            </w:r>
          </w:p>
        </w:tc>
        <w:tc>
          <w:tcPr>
            <w:tcW w:w="2244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知识产权业务知识，省、市知识产权局业务工作。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9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8</w:t>
            </w:r>
          </w:p>
        </w:tc>
        <w:tc>
          <w:tcPr>
            <w:tcW w:w="651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商标保护与运用培训</w:t>
            </w:r>
          </w:p>
        </w:tc>
        <w:tc>
          <w:tcPr>
            <w:tcW w:w="1087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企业知识产权管理人员，知识产权服务机构人员；100人；8学时。</w:t>
            </w:r>
          </w:p>
        </w:tc>
        <w:tc>
          <w:tcPr>
            <w:tcW w:w="435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6月</w:t>
            </w:r>
          </w:p>
        </w:tc>
        <w:tc>
          <w:tcPr>
            <w:tcW w:w="301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常州</w:t>
            </w:r>
          </w:p>
        </w:tc>
        <w:tc>
          <w:tcPr>
            <w:tcW w:w="2244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商标国际注册与境外保护、商标确权程序品牌保护、商业标识保护模式及策略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9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9</w:t>
            </w:r>
          </w:p>
        </w:tc>
        <w:tc>
          <w:tcPr>
            <w:tcW w:w="651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《创新管理—知识产权管理指南》（ISO56005）国际标准培训班</w:t>
            </w:r>
          </w:p>
        </w:tc>
        <w:tc>
          <w:tcPr>
            <w:tcW w:w="1087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高新技术企业、中小微企业知识产权管理人员；100人；8学时</w:t>
            </w:r>
          </w:p>
        </w:tc>
        <w:tc>
          <w:tcPr>
            <w:tcW w:w="435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7月</w:t>
            </w:r>
          </w:p>
        </w:tc>
        <w:tc>
          <w:tcPr>
            <w:tcW w:w="301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常州</w:t>
            </w:r>
          </w:p>
        </w:tc>
        <w:tc>
          <w:tcPr>
            <w:tcW w:w="2244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《创新管理—知识产权管理指南》（ISO56005）国际标准解读；创新与知识产权管理体系实务及案例解析等。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9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</w:t>
            </w:r>
          </w:p>
        </w:tc>
        <w:tc>
          <w:tcPr>
            <w:tcW w:w="651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知识产权师培训班</w:t>
            </w:r>
          </w:p>
        </w:tc>
        <w:tc>
          <w:tcPr>
            <w:tcW w:w="1087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《企业知识产权管理规范》贯标企业、高新技术企业、中小微企业有关人员；200人；40学时。</w:t>
            </w:r>
          </w:p>
        </w:tc>
        <w:tc>
          <w:tcPr>
            <w:tcW w:w="435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8月</w:t>
            </w:r>
          </w:p>
        </w:tc>
        <w:tc>
          <w:tcPr>
            <w:tcW w:w="301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常州</w:t>
            </w:r>
          </w:p>
        </w:tc>
        <w:tc>
          <w:tcPr>
            <w:tcW w:w="2244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知识产权法律法规、企业知识产权管理规范、知识产权实务及知识产权运用和保护等。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9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11</w:t>
            </w:r>
          </w:p>
        </w:tc>
        <w:tc>
          <w:tcPr>
            <w:tcW w:w="651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专利信息检索实战培训班</w:t>
            </w:r>
          </w:p>
        </w:tc>
        <w:tc>
          <w:tcPr>
            <w:tcW w:w="1087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企业、高等院校、科研机构知识产权管理人员和研发人员，80人；24学时。</w:t>
            </w:r>
          </w:p>
        </w:tc>
        <w:tc>
          <w:tcPr>
            <w:tcW w:w="435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9月</w:t>
            </w:r>
          </w:p>
        </w:tc>
        <w:tc>
          <w:tcPr>
            <w:tcW w:w="301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常州</w:t>
            </w:r>
          </w:p>
        </w:tc>
        <w:tc>
          <w:tcPr>
            <w:tcW w:w="2244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专利文献基础知识、专利信息检索方法与技巧、技术研发中的专利信息检索策略、专利信息分析与信息利用等。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9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12</w:t>
            </w:r>
          </w:p>
        </w:tc>
        <w:tc>
          <w:tcPr>
            <w:tcW w:w="651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专利挖掘与撰写实战培训班</w:t>
            </w:r>
          </w:p>
        </w:tc>
        <w:tc>
          <w:tcPr>
            <w:tcW w:w="1087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市创新型领军企业、上市培育企业、高新技术企业、省市知识产权战略推进计划承担单位、市知识产权创新企业的技术负责人及专利工作负责人。100人；24学时。</w:t>
            </w:r>
          </w:p>
        </w:tc>
        <w:tc>
          <w:tcPr>
            <w:tcW w:w="435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11月底之前</w:t>
            </w:r>
          </w:p>
        </w:tc>
        <w:tc>
          <w:tcPr>
            <w:tcW w:w="301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常州</w:t>
            </w:r>
          </w:p>
        </w:tc>
        <w:tc>
          <w:tcPr>
            <w:tcW w:w="2244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专利挖掘实务、背景技术检索技巧、专利布局、发明点检索技巧、专利申请文件检查、审查意见答复技巧等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9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13</w:t>
            </w:r>
          </w:p>
        </w:tc>
        <w:tc>
          <w:tcPr>
            <w:tcW w:w="651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外向型企业海外知识产权风险防控培训班</w:t>
            </w:r>
          </w:p>
        </w:tc>
        <w:tc>
          <w:tcPr>
            <w:tcW w:w="1087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涉外企业知识产权管理人员、知识产权服务机构人员；计划培训100人；集中授课8学时。</w:t>
            </w:r>
          </w:p>
        </w:tc>
        <w:tc>
          <w:tcPr>
            <w:tcW w:w="435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11月底之前</w:t>
            </w:r>
          </w:p>
        </w:tc>
        <w:tc>
          <w:tcPr>
            <w:tcW w:w="301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常州</w:t>
            </w:r>
          </w:p>
        </w:tc>
        <w:tc>
          <w:tcPr>
            <w:tcW w:w="2244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中国企业进入海外市场的策略、国（境）外专利申请途径、海外专利布局、海外专利诉讼应诉策略、展会知识产权保护等相关知识。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9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14</w:t>
            </w:r>
          </w:p>
        </w:tc>
        <w:tc>
          <w:tcPr>
            <w:tcW w:w="651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常州知识产权大讲堂（若干场）</w:t>
            </w:r>
          </w:p>
        </w:tc>
        <w:tc>
          <w:tcPr>
            <w:tcW w:w="1087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高新技术企业、规模以上企业、知识产权服务机构等；每场2-3学时。</w:t>
            </w:r>
          </w:p>
        </w:tc>
        <w:tc>
          <w:tcPr>
            <w:tcW w:w="435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11月底之前</w:t>
            </w:r>
          </w:p>
        </w:tc>
        <w:tc>
          <w:tcPr>
            <w:tcW w:w="301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常州</w:t>
            </w:r>
          </w:p>
        </w:tc>
        <w:tc>
          <w:tcPr>
            <w:tcW w:w="2244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创新企业知识产权保护、专利诉讼、商标纠纷等领域、拟上市企业风险防控。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9" w:hRule="atLeast"/>
        </w:trPr>
        <w:tc>
          <w:tcPr>
            <w:tcW w:w="279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15</w:t>
            </w:r>
          </w:p>
        </w:tc>
        <w:tc>
          <w:tcPr>
            <w:tcW w:w="651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流通领域保护知识产权监管员培训班</w:t>
            </w:r>
          </w:p>
        </w:tc>
        <w:tc>
          <w:tcPr>
            <w:tcW w:w="1087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商贸流通企业商品知识产权监管员；90人；4学时。</w:t>
            </w:r>
          </w:p>
        </w:tc>
        <w:tc>
          <w:tcPr>
            <w:tcW w:w="435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11月</w:t>
            </w:r>
          </w:p>
        </w:tc>
        <w:tc>
          <w:tcPr>
            <w:tcW w:w="301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常州</w:t>
            </w:r>
          </w:p>
        </w:tc>
        <w:tc>
          <w:tcPr>
            <w:tcW w:w="2244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知识产权基本知识、知识产权执法工作形势和要求。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9" w:hRule="atLeast"/>
        </w:trPr>
        <w:tc>
          <w:tcPr>
            <w:tcW w:w="279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16</w:t>
            </w:r>
          </w:p>
        </w:tc>
        <w:tc>
          <w:tcPr>
            <w:tcW w:w="651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知识产权与创新微专业</w:t>
            </w:r>
          </w:p>
        </w:tc>
        <w:tc>
          <w:tcPr>
            <w:tcW w:w="1087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创新型企业高管和知识产权管理人员、在常高校学生；学制2年，分段集中授课</w:t>
            </w:r>
          </w:p>
        </w:tc>
        <w:tc>
          <w:tcPr>
            <w:tcW w:w="435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全年</w:t>
            </w:r>
          </w:p>
        </w:tc>
        <w:tc>
          <w:tcPr>
            <w:tcW w:w="301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常州</w:t>
            </w:r>
          </w:p>
        </w:tc>
        <w:tc>
          <w:tcPr>
            <w:tcW w:w="2244" w:type="pct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依托常州大学开设“知识产权与创新”微专业，包括知识产权概论、专利法、专利申请实务、专利信息分析与利用、知识产权保护、知识产权运用实务、创新创业与知识产权等7门课程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9" w:hRule="atLeast"/>
        </w:trPr>
        <w:tc>
          <w:tcPr>
            <w:tcW w:w="279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17</w:t>
            </w:r>
          </w:p>
        </w:tc>
        <w:tc>
          <w:tcPr>
            <w:tcW w:w="651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知识产权专题培训班</w:t>
            </w:r>
          </w:p>
        </w:tc>
        <w:tc>
          <w:tcPr>
            <w:tcW w:w="1087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企业高管和知识产权管理人员</w:t>
            </w:r>
          </w:p>
        </w:tc>
        <w:tc>
          <w:tcPr>
            <w:tcW w:w="435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12月底前</w:t>
            </w:r>
          </w:p>
        </w:tc>
        <w:tc>
          <w:tcPr>
            <w:tcW w:w="301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常州</w:t>
            </w:r>
          </w:p>
        </w:tc>
        <w:tc>
          <w:tcPr>
            <w:tcW w:w="2244" w:type="pct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依托公益性和市场化知识产权服务机构，面向企业实际需求，开展多频次、多形式的知识产权专题培训。</w:t>
            </w:r>
          </w:p>
        </w:tc>
      </w:tr>
    </w:tbl>
    <w:p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ascii="Times New Roman" w:hAnsi="Times New Roman" w:eastAsia="仿宋_GB2312"/>
          <w:sz w:val="32"/>
          <w:szCs w:val="32"/>
        </w:rPr>
        <w:sectPr>
          <w:headerReference r:id="rId3" w:type="default"/>
          <w:footerReference r:id="rId4" w:type="default"/>
          <w:pgSz w:w="16838" w:h="11906" w:orient="landscape"/>
          <w:pgMar w:top="1418" w:right="1418" w:bottom="1418" w:left="1418" w:header="709" w:footer="1361" w:gutter="0"/>
          <w:cols w:space="720" w:num="1"/>
          <w:docGrid w:type="linesAndChars" w:linePitch="312" w:charSpace="0"/>
        </w:sect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ascii="Times New Roman" w:hAnsi="Times New Roman" w:eastAsia="仿宋_GB2312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ascii="Times New Roman" w:hAnsi="Times New Roman" w:eastAsia="仿宋_GB2312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ascii="Times New Roman" w:hAnsi="Times New Roman" w:eastAsia="仿宋_GB2312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ascii="Times New Roman" w:hAnsi="Times New Roman" w:eastAsia="仿宋_GB2312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ascii="Times New Roman" w:hAnsi="Times New Roman" w:eastAsia="仿宋_GB2312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ascii="Times New Roman" w:hAnsi="Times New Roman" w:eastAsia="仿宋_GB2312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ascii="Times New Roman" w:hAnsi="Times New Roman" w:eastAsia="仿宋_GB2312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ascii="Times New Roman" w:hAnsi="Times New Roman" w:eastAsia="仿宋_GB2312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ascii="Times New Roman" w:hAnsi="Times New Roman" w:eastAsia="仿宋_GB2312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ascii="Times New Roman" w:hAnsi="Times New Roman" w:eastAsia="仿宋_GB2312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40" w:lineRule="exact"/>
        <w:ind w:firstLine="159"/>
        <w:rPr>
          <w:rFonts w:ascii="Times New Roman" w:hAnsi="Times New Roman" w:eastAsia="仿宋_GB2312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40" w:lineRule="exact"/>
        <w:ind w:firstLine="159"/>
        <w:rPr>
          <w:rFonts w:ascii="Times New Roman" w:hAnsi="Times New Roman" w:eastAsia="仿宋_GB2312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40" w:lineRule="exact"/>
        <w:ind w:firstLine="159"/>
        <w:rPr>
          <w:rFonts w:ascii="Times New Roman" w:hAnsi="Times New Roman" w:eastAsia="仿宋_GB2312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40" w:lineRule="exact"/>
        <w:ind w:firstLine="159"/>
        <w:rPr>
          <w:rFonts w:ascii="Times New Roman" w:hAnsi="Times New Roman" w:eastAsia="仿宋_GB2312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40" w:lineRule="exact"/>
        <w:ind w:firstLine="159"/>
        <w:rPr>
          <w:rFonts w:ascii="Times New Roman" w:hAnsi="Times New Roman" w:eastAsia="仿宋_GB2312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40" w:lineRule="exact"/>
        <w:ind w:firstLine="159"/>
        <w:rPr>
          <w:rFonts w:ascii="Times New Roman" w:hAnsi="Times New Roman" w:eastAsia="仿宋_GB2312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40" w:lineRule="exact"/>
        <w:ind w:firstLine="159"/>
        <w:rPr>
          <w:rFonts w:ascii="Times New Roman" w:hAnsi="Times New Roman" w:eastAsia="仿宋_GB2312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40" w:lineRule="exact"/>
        <w:ind w:firstLine="159"/>
        <w:rPr>
          <w:rFonts w:ascii="Times New Roman" w:hAnsi="Times New Roman" w:eastAsia="仿宋_GB2312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40" w:lineRule="exact"/>
        <w:ind w:firstLine="159"/>
        <w:rPr>
          <w:rFonts w:ascii="Times New Roman" w:hAnsi="Times New Roman" w:eastAsia="仿宋_GB2312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160"/>
        <w:rPr>
          <w:rFonts w:ascii="Times New Roman" w:hAnsi="Times New Roman" w:eastAsia="仿宋_GB2312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160"/>
        <w:rPr>
          <w:rFonts w:ascii="Times New Roman" w:hAnsi="Times New Roman" w:eastAsia="仿宋_GB2312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400" w:lineRule="exact"/>
        <w:ind w:firstLine="159"/>
        <w:rPr>
          <w:rFonts w:ascii="Times New Roman" w:hAnsi="Times New Roman" w:eastAsia="仿宋_GB2312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280"/>
        <w:rPr>
          <w:rFonts w:ascii="Times New Roman" w:hAnsi="Times New Roman" w:eastAsia="仿宋_GB2312"/>
          <w:snapToGrid w:val="0"/>
          <w:kern w:val="0"/>
          <w:sz w:val="28"/>
          <w:szCs w:val="28"/>
        </w:rPr>
      </w:pPr>
      <w:r>
        <w:rPr>
          <w:rFonts w:ascii="Times New Roman" w:hAnsi="Times New Roman" w:eastAsia="仿宋_GB2312"/>
          <w:snapToGrid w:val="0"/>
          <w:kern w:val="0"/>
          <w:sz w:val="28"/>
          <w:szCs w:val="28"/>
        </w:rPr>
        <w:pict>
          <v:shape id="_x0000_s1028" o:spid="_x0000_s1028" o:spt="32" type="#_x0000_t32" style="position:absolute;left:0pt;margin-left:0.7pt;margin-top:3.6pt;height:0pt;width:443.25pt;z-index:251660288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ascii="Times New Roman" w:hAnsi="Times New Roman" w:eastAsia="仿宋_GB2312"/>
          <w:snapToGrid w:val="0"/>
          <w:kern w:val="0"/>
          <w:sz w:val="28"/>
          <w:szCs w:val="28"/>
        </w:rPr>
        <w:pict>
          <v:shape id="_x0000_s1027" o:spid="_x0000_s1027" o:spt="32" type="#_x0000_t32" style="position:absolute;left:0pt;margin-left:0.7pt;margin-top:31.35pt;height:0pt;width:443.25pt;z-index:251659264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ascii="Times New Roman" w:hAnsi="Times New Roman" w:eastAsia="仿宋_GB2312"/>
          <w:snapToGrid w:val="0"/>
          <w:kern w:val="0"/>
          <w:sz w:val="28"/>
          <w:szCs w:val="28"/>
        </w:rPr>
        <w:t xml:space="preserve">常州市市场监督管理局办公室             </w:t>
      </w:r>
      <w:r>
        <w:rPr>
          <w:rFonts w:hint="eastAsia" w:ascii="Times New Roman" w:hAnsi="Times New Roman" w:eastAsia="仿宋_GB2312"/>
          <w:snapToGrid w:val="0"/>
          <w:kern w:val="0"/>
          <w:sz w:val="28"/>
          <w:szCs w:val="28"/>
        </w:rPr>
        <w:t xml:space="preserve"> </w:t>
      </w:r>
      <w:r>
        <w:rPr>
          <w:rFonts w:ascii="Times New Roman" w:hAnsi="Times New Roman" w:eastAsia="仿宋_GB2312"/>
          <w:snapToGrid w:val="0"/>
          <w:kern w:val="0"/>
          <w:sz w:val="28"/>
          <w:szCs w:val="28"/>
        </w:rPr>
        <w:t xml:space="preserve">  20</w:t>
      </w:r>
      <w:r>
        <w:rPr>
          <w:rFonts w:hint="eastAsia" w:ascii="Times New Roman" w:hAnsi="Times New Roman" w:eastAsia="仿宋_GB2312"/>
          <w:snapToGrid w:val="0"/>
          <w:kern w:val="0"/>
          <w:sz w:val="28"/>
          <w:szCs w:val="28"/>
        </w:rPr>
        <w:t>25</w:t>
      </w:r>
      <w:r>
        <w:rPr>
          <w:rFonts w:ascii="Times New Roman" w:hAnsi="Times New Roman" w:eastAsia="仿宋_GB2312"/>
          <w:snapToGrid w:val="0"/>
          <w:kern w:val="0"/>
          <w:sz w:val="28"/>
          <w:szCs w:val="28"/>
        </w:rPr>
        <w:t>年</w:t>
      </w:r>
      <w:r>
        <w:rPr>
          <w:rFonts w:hint="eastAsia" w:ascii="Times New Roman" w:hAnsi="Times New Roman" w:eastAsia="仿宋_GB2312"/>
          <w:snapToGrid w:val="0"/>
          <w:kern w:val="0"/>
          <w:sz w:val="28"/>
          <w:szCs w:val="28"/>
        </w:rPr>
        <w:t>3</w:t>
      </w:r>
      <w:r>
        <w:rPr>
          <w:rFonts w:ascii="Times New Roman" w:hAnsi="Times New Roman" w:eastAsia="仿宋_GB2312"/>
          <w:snapToGrid w:val="0"/>
          <w:kern w:val="0"/>
          <w:sz w:val="28"/>
          <w:szCs w:val="28"/>
        </w:rPr>
        <w:t>月</w:t>
      </w:r>
      <w:r>
        <w:rPr>
          <w:rFonts w:hint="eastAsia" w:ascii="Times New Roman" w:hAnsi="Times New Roman" w:eastAsia="仿宋_GB2312"/>
          <w:snapToGrid w:val="0"/>
          <w:kern w:val="0"/>
          <w:sz w:val="28"/>
          <w:szCs w:val="28"/>
        </w:rPr>
        <w:t>25</w:t>
      </w:r>
      <w:r>
        <w:rPr>
          <w:rFonts w:ascii="Times New Roman" w:hAnsi="Times New Roman" w:eastAsia="仿宋_GB2312"/>
          <w:snapToGrid w:val="0"/>
          <w:kern w:val="0"/>
          <w:sz w:val="28"/>
          <w:szCs w:val="28"/>
        </w:rPr>
        <w:t>日印发</w:t>
      </w:r>
    </w:p>
    <w:sectPr>
      <w:pgSz w:w="11906" w:h="16838"/>
      <w:pgMar w:top="2098" w:right="1531" w:bottom="1985" w:left="1531" w:header="709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jc w:val="right"/>
      <w:rPr>
        <w:rFonts w:ascii="Times New Roman" w:hAnsi="Times New Roman"/>
        <w:sz w:val="28"/>
        <w:szCs w:val="28"/>
      </w:rPr>
    </w:pPr>
    <w:r>
      <w:rPr>
        <w:rFonts w:hint="eastAsia" w:ascii="Times New Roman" w:hAnsi="Times New Roman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1</w:t>
    </w:r>
    <w:r>
      <w:rPr>
        <w:rFonts w:ascii="Times New Roman" w:hAnsi="Times New Roman"/>
        <w:sz w:val="28"/>
        <w:szCs w:val="28"/>
      </w:rPr>
      <w:fldChar w:fldCharType="end"/>
    </w:r>
    <w:r>
      <w:rPr>
        <w:rFonts w:hint="eastAsia" w:ascii="Times New Roman" w:hAnsi="Times New Roman"/>
        <w:sz w:val="28"/>
        <w:szCs w:val="28"/>
      </w:rPr>
      <w:t xml:space="preserve"> —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D56D0"/>
    <w:rsid w:val="00091EC7"/>
    <w:rsid w:val="00163BE5"/>
    <w:rsid w:val="00232DAA"/>
    <w:rsid w:val="002D56D0"/>
    <w:rsid w:val="003547E4"/>
    <w:rsid w:val="00386452"/>
    <w:rsid w:val="003A6450"/>
    <w:rsid w:val="00434B31"/>
    <w:rsid w:val="004D5DAD"/>
    <w:rsid w:val="004E087D"/>
    <w:rsid w:val="004F7143"/>
    <w:rsid w:val="00532F81"/>
    <w:rsid w:val="006152C0"/>
    <w:rsid w:val="006C45CC"/>
    <w:rsid w:val="00746B79"/>
    <w:rsid w:val="0078257A"/>
    <w:rsid w:val="007B111A"/>
    <w:rsid w:val="00806253"/>
    <w:rsid w:val="0087577B"/>
    <w:rsid w:val="009020B7"/>
    <w:rsid w:val="009734E9"/>
    <w:rsid w:val="00A25DCF"/>
    <w:rsid w:val="00A64551"/>
    <w:rsid w:val="00A66456"/>
    <w:rsid w:val="00B01A8A"/>
    <w:rsid w:val="00B927FF"/>
    <w:rsid w:val="00BA1D06"/>
    <w:rsid w:val="00C53907"/>
    <w:rsid w:val="00D16CE8"/>
    <w:rsid w:val="00DB5AF5"/>
    <w:rsid w:val="00DC62E6"/>
    <w:rsid w:val="00DF5E51"/>
    <w:rsid w:val="00ED7C26"/>
    <w:rsid w:val="00EE770F"/>
    <w:rsid w:val="00F02097"/>
    <w:rsid w:val="00F25D91"/>
    <w:rsid w:val="09BC63DC"/>
    <w:rsid w:val="0E9A3CD5"/>
    <w:rsid w:val="166F037C"/>
    <w:rsid w:val="31AD0696"/>
    <w:rsid w:val="34C5046A"/>
    <w:rsid w:val="392A3696"/>
    <w:rsid w:val="3D6A7D83"/>
    <w:rsid w:val="4B044CCD"/>
    <w:rsid w:val="52950FA7"/>
    <w:rsid w:val="5BF8C5A3"/>
    <w:rsid w:val="716A6C31"/>
    <w:rsid w:val="7CBF6E7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_x0000_s1027"/>
        <o:r id="V:Rule2" type="connector" idref="#_x0000_s1028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Emphasis"/>
    <w:basedOn w:val="5"/>
    <w:qFormat/>
    <w:uiPriority w:val="20"/>
    <w:rPr>
      <w:i/>
      <w:iCs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359</Words>
  <Characters>2048</Characters>
  <Lines>17</Lines>
  <Paragraphs>4</Paragraphs>
  <TotalTime>12</TotalTime>
  <ScaleCrop>false</ScaleCrop>
  <LinksUpToDate>false</LinksUpToDate>
  <CharactersWithSpaces>2403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2025-03-22T00:17:00Z</dcterms:created>
  <dc:creator>时玉松</dc:creator>
  <cp:lastModifiedBy>kylin</cp:lastModifiedBy>
  <dcterms:modified xsi:type="dcterms:W3CDTF">2025-04-03T10:38:06Z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eyJoZGlkIjoiOGI4NjI5OTBmMDM1ODFlMDkzNDFlZTFiMWNhZWU5ZTMiLCJ1c2VySWQiOiIyMTUyNzUzNzIifQ==</vt:lpwstr>
  </property>
  <property fmtid="{D5CDD505-2E9C-101B-9397-08002B2CF9AE}" pid="3" name="KSOProductBuildVer">
    <vt:lpwstr>2052-11.8.2.10953</vt:lpwstr>
  </property>
  <property fmtid="{D5CDD505-2E9C-101B-9397-08002B2CF9AE}" pid="4" name="ICV">
    <vt:lpwstr>76AC6B1F4EE047598C44B59E89A53CCE_12</vt:lpwstr>
  </property>
</Properties>
</file>