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C357BF">
        <w:trPr>
          <w:trHeight w:val="4054"/>
        </w:trPr>
        <w:tc>
          <w:tcPr>
            <w:tcW w:w="10402" w:type="dxa"/>
            <w:tcBorders>
              <w:top w:val="nil"/>
              <w:left w:val="nil"/>
              <w:bottom w:val="nil"/>
              <w:right w:val="nil"/>
            </w:tcBorders>
          </w:tcPr>
          <w:p w:rsidR="00C357BF" w:rsidRDefault="00C357BF">
            <w:pPr>
              <w:pStyle w:val="a4"/>
              <w:spacing w:line="550" w:lineRule="exact"/>
              <w:rPr>
                <w:rFonts w:ascii="仿宋" w:eastAsia="仿宋" w:hAnsi="仿宋" w:cs="仿宋"/>
                <w:b/>
                <w:bCs/>
                <w:color w:val="FF0000"/>
                <w:sz w:val="22"/>
                <w:szCs w:val="22"/>
              </w:rPr>
            </w:pPr>
          </w:p>
        </w:tc>
      </w:tr>
      <w:tr w:rsidR="00C357BF">
        <w:trPr>
          <w:trHeight w:val="4945"/>
        </w:trPr>
        <w:tc>
          <w:tcPr>
            <w:tcW w:w="10402" w:type="dxa"/>
            <w:tcBorders>
              <w:top w:val="nil"/>
              <w:left w:val="nil"/>
              <w:bottom w:val="nil"/>
              <w:right w:val="nil"/>
            </w:tcBorders>
            <w:vAlign w:val="center"/>
          </w:tcPr>
          <w:p w:rsidR="00C357BF" w:rsidRDefault="004517BF">
            <w:pPr>
              <w:ind w:rightChars="129" w:right="284"/>
              <w:jc w:val="center"/>
              <w:rPr>
                <w:rFonts w:ascii="仿宋" w:eastAsia="仿宋" w:hAnsi="仿宋" w:cs="仿宋"/>
                <w:b/>
                <w:bCs/>
                <w:color w:val="FF0000"/>
              </w:rPr>
            </w:pPr>
            <w:r>
              <w:rPr>
                <w:rFonts w:ascii="宋体" w:eastAsia="宋体" w:hAnsi="宋体" w:cs="宋体"/>
                <w:b/>
                <w:sz w:val="52"/>
              </w:rPr>
              <w:t>2025</w:t>
            </w:r>
            <w:r>
              <w:rPr>
                <w:rFonts w:ascii="宋体" w:eastAsia="宋体" w:hAnsi="宋体" w:cs="宋体"/>
                <w:b/>
                <w:sz w:val="52"/>
              </w:rPr>
              <w:t>年度常州市生态环境局部门预算公开</w:t>
            </w:r>
          </w:p>
        </w:tc>
      </w:tr>
    </w:tbl>
    <w:p w:rsidR="00C357BF" w:rsidRDefault="00C357BF">
      <w:pPr>
        <w:ind w:rightChars="129" w:right="284"/>
        <w:jc w:val="both"/>
        <w:rPr>
          <w:rFonts w:ascii="宋体" w:eastAsia="宋体" w:hAnsi="宋体" w:cs="宋体"/>
          <w:b/>
          <w:bCs/>
          <w:sz w:val="52"/>
          <w:szCs w:val="52"/>
        </w:rPr>
        <w:sectPr w:rsidR="00C357BF">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C357BF" w:rsidRDefault="00C357BF">
      <w:pPr>
        <w:pStyle w:val="a4"/>
        <w:spacing w:before="4"/>
        <w:rPr>
          <w:rFonts w:ascii="华文仿宋" w:eastAsia="华文仿宋" w:hAnsi="华文仿宋" w:cs="仿宋"/>
          <w:sz w:val="10"/>
        </w:rPr>
      </w:pPr>
    </w:p>
    <w:p w:rsidR="00C357BF" w:rsidRDefault="004517BF">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C357BF" w:rsidRDefault="00C357BF">
      <w:pPr>
        <w:pStyle w:val="a4"/>
        <w:snapToGrid w:val="0"/>
        <w:spacing w:before="7"/>
        <w:rPr>
          <w:rFonts w:ascii="仿宋" w:eastAsia="仿宋" w:hAnsi="仿宋" w:cs="仿宋"/>
          <w:sz w:val="27"/>
        </w:rPr>
      </w:pP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第一部分</w:t>
      </w:r>
      <w:r>
        <w:rPr>
          <w:rFonts w:ascii="仿宋" w:eastAsia="仿宋" w:hAnsi="仿宋" w:cs="仿宋" w:hint="eastAsia"/>
          <w:b/>
          <w:bCs/>
        </w:rPr>
        <w:t xml:space="preserve"> </w:t>
      </w:r>
      <w:r>
        <w:rPr>
          <w:rFonts w:ascii="仿宋" w:eastAsia="仿宋" w:hAnsi="仿宋" w:cs="仿宋" w:hint="eastAsia"/>
          <w:b/>
          <w:bCs/>
          <w:lang w:val="en-US"/>
        </w:rPr>
        <w:t>部门</w:t>
      </w:r>
      <w:r>
        <w:rPr>
          <w:rFonts w:ascii="仿宋" w:eastAsia="仿宋" w:hAnsi="仿宋" w:cs="仿宋" w:hint="eastAsia"/>
          <w:b/>
          <w:bCs/>
        </w:rPr>
        <w:t>概况</w:t>
      </w:r>
    </w:p>
    <w:p w:rsidR="00C357BF" w:rsidRDefault="004517BF">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C357BF" w:rsidRDefault="004517BF">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rsidR="00C357BF" w:rsidRDefault="004517BF">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2025</w:t>
      </w:r>
      <w:r>
        <w:rPr>
          <w:rFonts w:ascii="仿宋" w:eastAsia="仿宋" w:hAnsi="仿宋" w:cs="仿宋" w:hint="eastAsia"/>
        </w:rPr>
        <w:t>年度</w:t>
      </w:r>
      <w:r>
        <w:rPr>
          <w:rFonts w:ascii="仿宋" w:eastAsia="仿宋" w:hAnsi="仿宋" w:cs="仿宋" w:hint="eastAsia"/>
          <w:lang w:val="en-US"/>
        </w:rPr>
        <w:t>部门</w:t>
      </w:r>
      <w:r>
        <w:rPr>
          <w:rFonts w:ascii="仿宋" w:eastAsia="仿宋" w:hAnsi="仿宋" w:cs="仿宋" w:hint="eastAsia"/>
        </w:rPr>
        <w:t>主要工作任务及目标</w:t>
      </w:r>
    </w:p>
    <w:p w:rsidR="00C357BF" w:rsidRDefault="004517BF">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第二部分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2025</w:t>
      </w:r>
      <w:r>
        <w:rPr>
          <w:rFonts w:ascii="仿宋" w:eastAsia="仿宋" w:hAnsi="仿宋" w:cs="仿宋" w:hint="eastAsia"/>
          <w:b/>
          <w:bCs/>
          <w:lang w:val="en-US"/>
        </w:rPr>
        <w:t>年度</w:t>
      </w:r>
      <w:r>
        <w:rPr>
          <w:rFonts w:ascii="仿宋" w:eastAsia="仿宋" w:hAnsi="仿宋" w:cs="仿宋"/>
          <w:b/>
        </w:rPr>
        <w:t>部门预算表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rsidR="00C357BF" w:rsidRDefault="004517BF">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C357BF" w:rsidRDefault="004517BF">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第三部分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2025</w:t>
      </w:r>
      <w:r>
        <w:rPr>
          <w:rFonts w:ascii="仿宋" w:eastAsia="仿宋" w:hAnsi="仿宋" w:cs="仿宋" w:hint="eastAsia"/>
          <w:b/>
          <w:bCs/>
          <w:color w:val="000000"/>
          <w:sz w:val="30"/>
          <w:szCs w:val="30"/>
          <w:lang w:val="en-US"/>
        </w:rPr>
        <w:t>年度</w:t>
      </w:r>
      <w:r>
        <w:rPr>
          <w:rFonts w:ascii="仿宋" w:eastAsia="仿宋" w:hAnsi="仿宋" w:cs="仿宋"/>
          <w:b/>
          <w:color w:val="000000"/>
          <w:sz w:val="30"/>
        </w:rPr>
        <w:t>部门</w:t>
      </w:r>
      <w:r>
        <w:rPr>
          <w:rFonts w:ascii="仿宋" w:eastAsia="仿宋" w:hAnsi="仿宋" w:cs="仿宋" w:hint="eastAsia"/>
          <w:b/>
          <w:bCs/>
          <w:color w:val="000000"/>
          <w:sz w:val="30"/>
          <w:szCs w:val="30"/>
          <w:lang w:val="en-US"/>
        </w:rPr>
        <w:t>预算</w:t>
      </w:r>
      <w:r>
        <w:rPr>
          <w:rFonts w:ascii="仿宋" w:eastAsia="仿宋" w:hAnsi="仿宋" w:cs="仿宋" w:hint="eastAsia"/>
          <w:b/>
          <w:bCs/>
          <w:color w:val="000000"/>
          <w:sz w:val="30"/>
          <w:szCs w:val="30"/>
          <w:lang w:val="en-US"/>
        </w:rPr>
        <w:t>情况说明</w:t>
      </w:r>
    </w:p>
    <w:p w:rsidR="00C357BF" w:rsidRDefault="004517BF">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w:t>
      </w:r>
      <w:r>
        <w:rPr>
          <w:rFonts w:ascii="仿宋" w:eastAsia="仿宋" w:hAnsi="仿宋" w:cs="仿宋" w:hint="eastAsia"/>
          <w:b/>
          <w:bCs/>
          <w:lang w:val="en-US"/>
        </w:rPr>
        <w:t>四</w:t>
      </w:r>
      <w:r>
        <w:rPr>
          <w:rFonts w:ascii="仿宋" w:eastAsia="仿宋" w:hAnsi="仿宋" w:cs="仿宋" w:hint="eastAsia"/>
          <w:b/>
          <w:bCs/>
          <w:lang w:val="en-US"/>
        </w:rPr>
        <w:t>部分</w:t>
      </w:r>
      <w:r>
        <w:rPr>
          <w:rFonts w:ascii="仿宋" w:eastAsia="仿宋" w:hAnsi="仿宋" w:cs="仿宋" w:hint="eastAsia"/>
          <w:b/>
          <w:bCs/>
          <w:lang w:val="en-US"/>
        </w:rPr>
        <w:t xml:space="preserve"> </w:t>
      </w:r>
      <w:r>
        <w:rPr>
          <w:rFonts w:ascii="仿宋" w:eastAsia="仿宋" w:hAnsi="仿宋" w:cs="仿宋" w:hint="eastAsia"/>
          <w:b/>
          <w:bCs/>
          <w:lang w:val="en-US"/>
        </w:rPr>
        <w:t>名词解释</w:t>
      </w:r>
    </w:p>
    <w:p w:rsidR="00C357BF" w:rsidRDefault="00C357BF">
      <w:pPr>
        <w:pStyle w:val="a4"/>
        <w:snapToGrid w:val="0"/>
        <w:spacing w:line="312" w:lineRule="auto"/>
        <w:ind w:leftChars="300" w:left="669" w:right="2414" w:hanging="9"/>
        <w:jc w:val="both"/>
        <w:rPr>
          <w:rFonts w:ascii="仿宋" w:eastAsia="仿宋" w:hAnsi="仿宋" w:cs="仿宋"/>
        </w:rPr>
        <w:sectPr w:rsidR="00C357BF">
          <w:footerReference w:type="default" r:id="rId13"/>
          <w:pgSz w:w="11906" w:h="16838"/>
          <w:pgMar w:top="1580" w:right="1020" w:bottom="770" w:left="1020" w:header="170" w:footer="280" w:gutter="0"/>
          <w:pgNumType w:fmt="numberInDash" w:start="1"/>
          <w:cols w:space="720"/>
          <w:formProt w:val="0"/>
          <w:docGrid w:linePitch="100"/>
        </w:sectPr>
      </w:pPr>
    </w:p>
    <w:p w:rsidR="00C357BF" w:rsidRDefault="00C357BF">
      <w:pPr>
        <w:pStyle w:val="a4"/>
        <w:spacing w:before="1"/>
        <w:rPr>
          <w:rFonts w:ascii="华文仿宋" w:eastAsia="华文仿宋" w:hAnsi="华文仿宋" w:cs="仿宋"/>
          <w:sz w:val="14"/>
        </w:rPr>
      </w:pPr>
    </w:p>
    <w:p w:rsidR="00C357BF" w:rsidRDefault="004517BF">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第一部分部门概况</w:t>
      </w:r>
    </w:p>
    <w:p w:rsidR="00C357BF" w:rsidRDefault="00C357BF">
      <w:pPr>
        <w:ind w:rightChars="229" w:right="504"/>
        <w:jc w:val="both"/>
      </w:pPr>
    </w:p>
    <w:p w:rsidR="00C357BF" w:rsidRDefault="004517BF">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常州市生态环境局负责贯彻落实中央关于生态环境保护工作的方针政策和省委、市委的决策部署，在履行职责过程中坚持和加强党对全市生态环境保护工作的集中统一领导。主要职责是：</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落实执行生态环境基本制度。贯彻落实国家、省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态环境标准、基准和技术规范。</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（二）负责组织指导、协调全市生态文明建设工作，组织编制生态文明建设规划，开展生态文明建设考核和评价。</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重大生态环境问题的统筹协调和监督管理。牵头协调全市范围内重特大环境污染事故和生态破坏事件的调查处理，指导协调辖市（区）政府重特大突发生态环境事件的应急处置、预警工作，牵头指导实施生态环境损害赔偿制度，协调解决有关跨区域环境污染纠纷，统筹协调全市重点区域、流域生态环境保护工作。</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（四）负责落实减排目标任务。组织实施地方污染物排放总量控制、排污许可</w:t>
      </w:r>
      <w:r>
        <w:rPr>
          <w:rFonts w:ascii="仿宋" w:eastAsia="仿宋" w:hAnsi="仿宋" w:cs="仿宋"/>
        </w:rPr>
        <w:t>制度并监督管理，确定大气、水等纳污能</w:t>
      </w:r>
      <w:r>
        <w:rPr>
          <w:rFonts w:ascii="仿宋" w:eastAsia="仿宋" w:hAnsi="仿宋" w:cs="仿宋"/>
        </w:rPr>
        <w:lastRenderedPageBreak/>
        <w:t>力，提出实施总量</w:t>
      </w:r>
      <w:r>
        <w:rPr>
          <w:rFonts w:ascii="仿宋" w:eastAsia="仿宋" w:hAnsi="仿宋" w:cs="仿宋"/>
        </w:rPr>
        <w:t>控制的污染物名称和控制指标，组织制定和实施污染物减排计划，监督检查各辖市（区）污染物减排任务完成情况，实施生态环境保护目标责任制。</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提出生态环境领域固定资产投资规模和方向、市财政性资金安排意见。按规定权限，审批、核准全市规划内和年度计划规模内固定资产投资项目，配合有关部门做好组织实施和监督工作。参与指导和推动循环经济和生态环保产业发展。</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（六）负责环境污染防治的监督管理。贯彻执行国家、省关于大气、水、土壤、噪声、光、恶臭、固体废物、化学品、机动车等污染防治管理制度。指导协调和监督农村生态环境保护，</w:t>
      </w:r>
      <w:r>
        <w:rPr>
          <w:rFonts w:ascii="仿宋" w:eastAsia="仿宋" w:hAnsi="仿宋" w:cs="仿宋"/>
        </w:rPr>
        <w:t>会同有关部门监督管理饮用水水源地生态环境保护工作，组织指导城乡环境综合整治工作，监督指导农业面源污染治理工作。监督指导区域大气环境保护工作，组织实施区域大气污染联防联控协作机制。</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贯彻落实省委、省政府和市委、市政府关于太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w:t>
      </w:r>
      <w:r>
        <w:rPr>
          <w:rFonts w:ascii="仿宋" w:eastAsia="仿宋" w:hAnsi="仿宋" w:cs="仿宋"/>
        </w:rPr>
        <w:t>检查。统筹协调和监督全市水生态环境管理工作。</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八）指导协调和监督生态保护修复工作。拟订生态保护规划，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种（含生物遗传资源）工作，组织协调生物多样性保护工作，参与生态保护补偿工作。</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（九）负责核与辐射安全的监督管理。对核技术应用、电磁辐射和伴有放射性矿产资源开发利用中的污染防治实施统一监督管理，会同有关部门负责放</w:t>
      </w:r>
      <w:r>
        <w:rPr>
          <w:rFonts w:ascii="仿宋" w:eastAsia="仿宋" w:hAnsi="仿宋" w:cs="仿宋"/>
        </w:rPr>
        <w:t>射性物质运输的监督管理，参与核事故应急处理，负责辐射环境事故应急处理工作，负责废旧放射源和放射性废物的管理，组织辐射环境监测。配合上级生态环境部门对市内核设施安全、核材料管制和民用核安全设备实施监督管理。</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生态环境准入的监督管理。按规定组织审查重大经济和技术政策、发展规划以及重大经济开发计划的环境影响评价文件，按规定权限审批或审查辖区内开发建设区域、规划、项目环境影响评价文件。组织实施生态环境准入清单。</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（十一）负责生态环境监测工作。组织实施生态环境监测制度、规范和标准，落实执行生态环境监测质量管</w:t>
      </w:r>
      <w:r>
        <w:rPr>
          <w:rFonts w:ascii="仿宋" w:eastAsia="仿宋" w:hAnsi="仿宋" w:cs="仿宋"/>
        </w:rPr>
        <w:t>理制度。组织实施市级以下生态环境质量监测，组织实施污染源监督性监测、温室气体减排监测、应急监测、执法监测。负责全市生态环境监测网的建设和管理。</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十二）统一负责生态环境监督执法。指导全市生态环境保护综合执法工作，组织开展全市生态环境保护执法检查活动，查处生态环境违法问题。组织拟订重特大突发生态环境事件和生态破坏事件的应急预案，指导调查处理工作。</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（十三）负责生态环境信息化工作。建设和管理生态环境信息网。实行生态环境质量公告制度，统一发布全市生态环境综合性报告和重大生态环境信息。</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（十四）组织指导和协调生态环</w:t>
      </w:r>
      <w:r>
        <w:rPr>
          <w:rFonts w:ascii="仿宋" w:eastAsia="仿宋" w:hAnsi="仿宋" w:cs="仿宋"/>
        </w:rPr>
        <w:t>境宣传教育工作。制定并组织实施生态环境保护宣传教育纲要，推动社会组织和公众参与生态环境保护。开展生态环境科技工作，组织生态环境重大科学研究和技术工程示范，推动生态环境技术管理体系建设。</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开展应对气候变化和生态环境对外合作交流工作。组织实施中央、省应对气候变化及温室气体减排的战略、规划和政策。归口管理全市生态环境国际合作和利用外资项目，组织协调市内有关生态环境国际条约的履约工作。</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（十六）完成市委、市政府交办的其他任务。</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（十七）职能转变。市生态环境局要统一行使生态和城乡各类污染排放监督管理与行政执法</w:t>
      </w:r>
      <w:r>
        <w:rPr>
          <w:rFonts w:ascii="仿宋" w:eastAsia="仿宋" w:hAnsi="仿宋" w:cs="仿宋"/>
        </w:rPr>
        <w:t>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企业为主体、社会组织和公众共同参与的生态环境治理体系，实行最严格的</w:t>
      </w:r>
      <w:r>
        <w:rPr>
          <w:rFonts w:ascii="仿宋" w:eastAsia="仿宋" w:hAnsi="仿宋" w:cs="仿宋"/>
        </w:rPr>
        <w:lastRenderedPageBreak/>
        <w:t>生态环境保护制度，严守生态保护红线和环境质量底线，坚决打好污染防治攻坚战，保障全市生态安全，为推进</w:t>
      </w:r>
      <w:r>
        <w:rPr>
          <w:rFonts w:ascii="仿宋" w:eastAsia="仿宋" w:hAnsi="仿宋" w:cs="仿宋"/>
        </w:rPr>
        <w:t>“</w:t>
      </w:r>
      <w:r>
        <w:rPr>
          <w:rFonts w:ascii="仿宋" w:eastAsia="仿宋" w:hAnsi="仿宋" w:cs="仿宋"/>
        </w:rPr>
        <w:t>两聚一高</w:t>
      </w:r>
      <w:r>
        <w:rPr>
          <w:rFonts w:ascii="仿宋" w:eastAsia="仿宋" w:hAnsi="仿宋" w:cs="仿宋"/>
        </w:rPr>
        <w:t>”</w:t>
      </w:r>
      <w:r>
        <w:rPr>
          <w:rFonts w:ascii="仿宋" w:eastAsia="仿宋" w:hAnsi="仿宋" w:cs="仿宋"/>
        </w:rPr>
        <w:t>新实践，建设美丽新常州奠定坚实生态环境基础。</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（十八）承担市深入打好污染防治攻坚战指挥部的具体工作。</w:t>
      </w:r>
    </w:p>
    <w:p w:rsidR="00C357BF" w:rsidRDefault="004517BF">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部</w:t>
      </w:r>
      <w:r>
        <w:rPr>
          <w:rFonts w:ascii="仿宋" w:eastAsia="仿宋" w:hAnsi="仿宋" w:cs="仿宋"/>
          <w:b/>
        </w:rPr>
        <w:t>门</w:t>
      </w:r>
      <w:r>
        <w:rPr>
          <w:rFonts w:ascii="仿宋" w:eastAsia="仿宋" w:hAnsi="仿宋" w:cs="仿宋" w:hint="eastAsia"/>
          <w:b/>
          <w:bCs/>
        </w:rPr>
        <w:t>机构设置及预算单位构成情况</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规划财务处、生态文明建设处（自然生态保护处）、政策法规处（科技标准处）、综合业务处、生态环境监测与信息处、水生态环境处（太湖水污染防治处）、大气环境处、土壤生态环境处、环境影响评价与排放管理处、核与辐射环境管理处、固体废物与化学品处、组织人事处、机关党委。本部门下属单位包括：常州市生态环境综合行政执法局，常州市环境科学研究院，常州市生态环境监控中心。</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rPr>
        <w:t>从</w:t>
      </w:r>
      <w:r>
        <w:rPr>
          <w:rFonts w:ascii="仿宋" w:eastAsia="仿宋" w:hAnsi="仿宋" w:cs="仿宋" w:hint="eastAsia"/>
        </w:rPr>
        <w:t>预算</w:t>
      </w:r>
      <w:r>
        <w:rPr>
          <w:rFonts w:ascii="仿宋" w:eastAsia="仿宋" w:hAnsi="仿宋" w:cs="仿宋" w:hint="eastAsia"/>
        </w:rPr>
        <w:t>单位构成看，纳入本</w:t>
      </w:r>
      <w:r>
        <w:rPr>
          <w:rFonts w:ascii="仿宋" w:eastAsia="仿宋" w:hAnsi="仿宋" w:cs="仿宋" w:hint="eastAsia"/>
          <w:lang w:val="en-US"/>
        </w:rPr>
        <w:t>部门</w:t>
      </w:r>
      <w:r>
        <w:rPr>
          <w:rFonts w:ascii="仿宋" w:eastAsia="仿宋" w:hAnsi="仿宋" w:cs="仿宋" w:hint="eastAsia"/>
        </w:rPr>
        <w:t>2025</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w:t>
      </w:r>
      <w:r>
        <w:rPr>
          <w:rFonts w:ascii="仿宋" w:eastAsia="仿宋" w:hAnsi="仿宋" w:cs="仿宋" w:hint="eastAsia"/>
        </w:rPr>
        <w:t>预算</w:t>
      </w:r>
      <w:r>
        <w:rPr>
          <w:rFonts w:ascii="仿宋" w:eastAsia="仿宋" w:hAnsi="仿宋" w:cs="仿宋" w:hint="eastAsia"/>
        </w:rPr>
        <w:t>编制范围的预算单位共计</w:t>
      </w:r>
      <w:r>
        <w:rPr>
          <w:rFonts w:ascii="仿宋" w:eastAsia="仿宋" w:hAnsi="仿宋" w:cs="仿宋"/>
        </w:rPr>
        <w:t>4</w:t>
      </w:r>
      <w:r>
        <w:rPr>
          <w:rFonts w:ascii="仿宋" w:eastAsia="仿宋" w:hAnsi="仿宋" w:cs="仿宋" w:hint="eastAsia"/>
        </w:rPr>
        <w:t>家，具体包括：</w:t>
      </w:r>
      <w:r>
        <w:rPr>
          <w:rFonts w:ascii="仿宋" w:eastAsia="仿宋" w:hAnsi="仿宋" w:cs="仿宋"/>
        </w:rPr>
        <w:t>常州市生态环境局，常州市生态环境综合行政执法局，常州市环境科学研究院，常州市生态环境监控中心。</w:t>
      </w:r>
    </w:p>
    <w:p w:rsidR="00C357BF" w:rsidRDefault="004517BF">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2025</w:t>
      </w:r>
      <w:r>
        <w:rPr>
          <w:rFonts w:ascii="仿宋" w:eastAsia="仿宋" w:hAnsi="仿宋" w:cs="仿宋" w:hint="eastAsia"/>
          <w:b/>
          <w:bCs/>
        </w:rPr>
        <w:t>年度</w:t>
      </w:r>
      <w:r>
        <w:rPr>
          <w:rFonts w:ascii="仿宋" w:eastAsia="仿宋" w:hAnsi="仿宋" w:cs="仿宋"/>
          <w:b/>
        </w:rPr>
        <w:t>部门主要工作任务及目标</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全市生态环境系统深入贯彻习近平生态文明思想，以美丽中国建设为统领，全面落实</w:t>
      </w:r>
      <w:r>
        <w:rPr>
          <w:rFonts w:ascii="仿宋" w:eastAsia="仿宋" w:hAnsi="仿宋" w:cs="仿宋"/>
        </w:rPr>
        <w:t>“532”</w:t>
      </w:r>
      <w:r>
        <w:rPr>
          <w:rFonts w:ascii="仿宋" w:eastAsia="仿宋" w:hAnsi="仿宋" w:cs="仿宋"/>
        </w:rPr>
        <w:t>发展战略，深入推进生态中轴建设，持续深入打好污染防治攻坚战，全面完成</w:t>
      </w:r>
      <w:r>
        <w:rPr>
          <w:rFonts w:ascii="仿宋" w:eastAsia="仿宋" w:hAnsi="仿宋" w:cs="仿宋"/>
        </w:rPr>
        <w:t>“</w:t>
      </w:r>
      <w:r>
        <w:rPr>
          <w:rFonts w:ascii="仿宋" w:eastAsia="仿宋" w:hAnsi="仿宋" w:cs="仿宋"/>
        </w:rPr>
        <w:t>十四五</w:t>
      </w:r>
      <w:r>
        <w:rPr>
          <w:rFonts w:ascii="仿宋" w:eastAsia="仿宋" w:hAnsi="仿宋" w:cs="仿宋"/>
        </w:rPr>
        <w:t>”</w:t>
      </w:r>
      <w:r>
        <w:rPr>
          <w:rFonts w:ascii="仿宋" w:eastAsia="仿宋" w:hAnsi="仿宋" w:cs="仿宋"/>
        </w:rPr>
        <w:t>生态环境保护目标，以高品质生态环境支撑高质量发展，建设</w:t>
      </w:r>
      <w:r>
        <w:rPr>
          <w:rFonts w:ascii="仿宋" w:eastAsia="仿宋" w:hAnsi="仿宋" w:cs="仿宋"/>
        </w:rPr>
        <w:lastRenderedPageBreak/>
        <w:t>人与自然和谐共生的美丽常州。</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具体来说，就是</w:t>
      </w:r>
      <w:r>
        <w:rPr>
          <w:rFonts w:ascii="仿宋" w:eastAsia="仿宋" w:hAnsi="仿宋" w:cs="仿宋"/>
        </w:rPr>
        <w:t>“</w:t>
      </w:r>
      <w:r>
        <w:rPr>
          <w:rFonts w:ascii="仿宋" w:eastAsia="仿宋" w:hAnsi="仿宋" w:cs="仿宋"/>
        </w:rPr>
        <w:t>锚定一个目标、取得三项突破、提升四项能力、落实八大任务</w:t>
      </w:r>
      <w:r>
        <w:rPr>
          <w:rFonts w:ascii="仿宋" w:eastAsia="仿宋" w:hAnsi="仿宋" w:cs="仿宋"/>
        </w:rPr>
        <w:t>”</w:t>
      </w:r>
      <w:r>
        <w:rPr>
          <w:rFonts w:ascii="仿宋" w:eastAsia="仿宋" w:hAnsi="仿宋" w:cs="仿宋"/>
        </w:rPr>
        <w:t>。</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锚定一个目标：守牢</w:t>
      </w:r>
      <w:r>
        <w:rPr>
          <w:rFonts w:ascii="仿宋" w:eastAsia="仿宋" w:hAnsi="仿宋" w:cs="仿宋"/>
        </w:rPr>
        <w:t>“</w:t>
      </w:r>
      <w:r>
        <w:rPr>
          <w:rFonts w:ascii="仿宋" w:eastAsia="仿宋" w:hAnsi="仿宋" w:cs="仿宋"/>
        </w:rPr>
        <w:t>生态环境质量只能更好</w:t>
      </w:r>
      <w:r>
        <w:rPr>
          <w:rFonts w:ascii="仿宋" w:eastAsia="仿宋" w:hAnsi="仿宋" w:cs="仿宋"/>
        </w:rPr>
        <w:t>，不能变坏</w:t>
      </w:r>
      <w:r>
        <w:rPr>
          <w:rFonts w:ascii="仿宋" w:eastAsia="仿宋" w:hAnsi="仿宋" w:cs="仿宋"/>
        </w:rPr>
        <w:t>”</w:t>
      </w:r>
      <w:r>
        <w:rPr>
          <w:rFonts w:ascii="仿宋" w:eastAsia="仿宋" w:hAnsi="仿宋" w:cs="仿宋"/>
        </w:rPr>
        <w:t>的底线，高水平完成生态环境质量改善目标。（大气环境方面，工作目标为</w:t>
      </w:r>
      <w:r>
        <w:rPr>
          <w:rFonts w:ascii="仿宋" w:eastAsia="仿宋" w:hAnsi="仿宋" w:cs="仿宋"/>
        </w:rPr>
        <w:t>PM2.5</w:t>
      </w:r>
      <w:r>
        <w:rPr>
          <w:rFonts w:ascii="仿宋" w:eastAsia="仿宋" w:hAnsi="仿宋" w:cs="仿宋"/>
        </w:rPr>
        <w:t>浓度</w:t>
      </w:r>
      <w:r>
        <w:rPr>
          <w:rFonts w:ascii="仿宋" w:eastAsia="仿宋" w:hAnsi="仿宋" w:cs="仿宋"/>
        </w:rPr>
        <w:t>32.5</w:t>
      </w:r>
      <w:r>
        <w:rPr>
          <w:rFonts w:ascii="仿宋" w:eastAsia="仿宋" w:hAnsi="仿宋" w:cs="仿宋"/>
        </w:rPr>
        <w:t>微克</w:t>
      </w:r>
      <w:r>
        <w:rPr>
          <w:rFonts w:ascii="仿宋" w:eastAsia="仿宋" w:hAnsi="仿宋" w:cs="仿宋"/>
        </w:rPr>
        <w:t>/</w:t>
      </w:r>
      <w:r>
        <w:rPr>
          <w:rFonts w:ascii="仿宋" w:eastAsia="仿宋" w:hAnsi="仿宋" w:cs="仿宋"/>
        </w:rPr>
        <w:t>立方米，优良天数比率</w:t>
      </w:r>
      <w:r>
        <w:rPr>
          <w:rFonts w:ascii="仿宋" w:eastAsia="仿宋" w:hAnsi="仿宋" w:cs="仿宋"/>
        </w:rPr>
        <w:t>78%</w:t>
      </w:r>
      <w:r>
        <w:rPr>
          <w:rFonts w:ascii="仿宋" w:eastAsia="仿宋" w:hAnsi="仿宋" w:cs="仿宋"/>
        </w:rPr>
        <w:t>；奋斗目标为</w:t>
      </w:r>
      <w:r>
        <w:rPr>
          <w:rFonts w:ascii="仿宋" w:eastAsia="仿宋" w:hAnsi="仿宋" w:cs="仿宋"/>
        </w:rPr>
        <w:t>PM2.5</w:t>
      </w:r>
      <w:r>
        <w:rPr>
          <w:rFonts w:ascii="仿宋" w:eastAsia="仿宋" w:hAnsi="仿宋" w:cs="仿宋"/>
        </w:rPr>
        <w:t>浓度</w:t>
      </w:r>
      <w:r>
        <w:rPr>
          <w:rFonts w:ascii="仿宋" w:eastAsia="仿宋" w:hAnsi="仿宋" w:cs="仿宋"/>
        </w:rPr>
        <w:t>32</w:t>
      </w:r>
      <w:r>
        <w:rPr>
          <w:rFonts w:ascii="仿宋" w:eastAsia="仿宋" w:hAnsi="仿宋" w:cs="仿宋"/>
        </w:rPr>
        <w:t>微克</w:t>
      </w:r>
      <w:r>
        <w:rPr>
          <w:rFonts w:ascii="仿宋" w:eastAsia="仿宋" w:hAnsi="仿宋" w:cs="仿宋"/>
        </w:rPr>
        <w:t>/</w:t>
      </w:r>
      <w:r>
        <w:rPr>
          <w:rFonts w:ascii="仿宋" w:eastAsia="仿宋" w:hAnsi="仿宋" w:cs="仿宋"/>
        </w:rPr>
        <w:t>立方米，优良天数比率</w:t>
      </w:r>
      <w:r>
        <w:rPr>
          <w:rFonts w:ascii="仿宋" w:eastAsia="仿宋" w:hAnsi="仿宋" w:cs="仿宋"/>
        </w:rPr>
        <w:t>78.5%</w:t>
      </w:r>
      <w:r>
        <w:rPr>
          <w:rFonts w:ascii="仿宋" w:eastAsia="仿宋" w:hAnsi="仿宋" w:cs="仿宋"/>
        </w:rPr>
        <w:t>。水环境方面，太湖常州水域水质稳</w:t>
      </w:r>
      <w:r>
        <w:rPr>
          <w:rFonts w:ascii="仿宋" w:eastAsia="仿宋" w:hAnsi="仿宋" w:cs="仿宋"/>
        </w:rPr>
        <w:t>Ⅳ</w:t>
      </w:r>
      <w:r>
        <w:rPr>
          <w:rFonts w:ascii="仿宋" w:eastAsia="仿宋" w:hAnsi="仿宋" w:cs="仿宋"/>
        </w:rPr>
        <w:t>奔</w:t>
      </w:r>
      <w:r>
        <w:rPr>
          <w:rFonts w:ascii="仿宋" w:eastAsia="仿宋" w:hAnsi="仿宋" w:cs="仿宋"/>
        </w:rPr>
        <w:t>Ⅲ</w:t>
      </w:r>
      <w:r>
        <w:rPr>
          <w:rFonts w:ascii="仿宋" w:eastAsia="仿宋" w:hAnsi="仿宋" w:cs="仿宋"/>
        </w:rPr>
        <w:t>，长荡湖稳定达到</w:t>
      </w:r>
      <w:r>
        <w:rPr>
          <w:rFonts w:ascii="仿宋" w:eastAsia="仿宋" w:hAnsi="仿宋" w:cs="仿宋"/>
        </w:rPr>
        <w:t>Ⅳ</w:t>
      </w:r>
      <w:r>
        <w:rPr>
          <w:rFonts w:ascii="仿宋" w:eastAsia="仿宋" w:hAnsi="仿宋" w:cs="仿宋"/>
        </w:rPr>
        <w:t>类，滆湖水质力争保持</w:t>
      </w:r>
      <w:r>
        <w:rPr>
          <w:rFonts w:ascii="仿宋" w:eastAsia="仿宋" w:hAnsi="仿宋" w:cs="仿宋"/>
        </w:rPr>
        <w:t>Ⅳ</w:t>
      </w:r>
      <w:r>
        <w:rPr>
          <w:rFonts w:ascii="仿宋" w:eastAsia="仿宋" w:hAnsi="仿宋" w:cs="仿宋"/>
        </w:rPr>
        <w:t>类，国省考断面优</w:t>
      </w:r>
      <w:r>
        <w:rPr>
          <w:rFonts w:ascii="仿宋" w:eastAsia="仿宋" w:hAnsi="仿宋" w:cs="仿宋"/>
        </w:rPr>
        <w:t>Ⅲ</w:t>
      </w:r>
      <w:r>
        <w:rPr>
          <w:rFonts w:ascii="仿宋" w:eastAsia="仿宋" w:hAnsi="仿宋" w:cs="仿宋"/>
        </w:rPr>
        <w:t>比例达到省定目标，全域水环境质量总体提升）</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取得三项突破：一是扎实开展水环境治理提升专项行动、美丽河湖建设，在全域水环境治理改善上取得新突破；二是持续深化</w:t>
      </w:r>
      <w:r>
        <w:rPr>
          <w:rFonts w:ascii="仿宋" w:eastAsia="仿宋" w:hAnsi="仿宋" w:cs="仿宋"/>
        </w:rPr>
        <w:t>“</w:t>
      </w:r>
      <w:r>
        <w:rPr>
          <w:rFonts w:ascii="仿宋" w:eastAsia="仿宋" w:hAnsi="仿宋" w:cs="仿宋"/>
        </w:rPr>
        <w:t>危污乱散低</w:t>
      </w:r>
      <w:r>
        <w:rPr>
          <w:rFonts w:ascii="仿宋" w:eastAsia="仿宋" w:hAnsi="仿宋" w:cs="仿宋"/>
        </w:rPr>
        <w:t>”</w:t>
      </w:r>
      <w:r>
        <w:rPr>
          <w:rFonts w:ascii="仿宋" w:eastAsia="仿宋" w:hAnsi="仿宋" w:cs="仿宋"/>
        </w:rPr>
        <w:t>治理，新北、经开表面处理中心、经开涂料集聚区等一批</w:t>
      </w:r>
      <w:r>
        <w:rPr>
          <w:rFonts w:ascii="仿宋" w:eastAsia="仿宋" w:hAnsi="仿宋" w:cs="仿宋"/>
        </w:rPr>
        <w:t>“</w:t>
      </w:r>
      <w:r>
        <w:rPr>
          <w:rFonts w:ascii="仿宋" w:eastAsia="仿宋" w:hAnsi="仿宋" w:cs="仿宋"/>
        </w:rPr>
        <w:t>绿岛</w:t>
      </w:r>
      <w:r>
        <w:rPr>
          <w:rFonts w:ascii="仿宋" w:eastAsia="仿宋" w:hAnsi="仿宋" w:cs="仿宋"/>
        </w:rPr>
        <w:t>”</w:t>
      </w:r>
      <w:r>
        <w:rPr>
          <w:rFonts w:ascii="仿宋" w:eastAsia="仿宋" w:hAnsi="仿宋" w:cs="仿宋"/>
        </w:rPr>
        <w:t>投入运行，在推动产业绿色转型上取得新突破；三是扎实推进生态中轴建设，建成</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理念实践创新展示馆，</w:t>
      </w:r>
      <w:r>
        <w:rPr>
          <w:rFonts w:ascii="仿宋" w:eastAsia="仿宋" w:hAnsi="仿宋" w:cs="仿宋"/>
        </w:rPr>
        <w:t>“</w:t>
      </w:r>
      <w:r>
        <w:rPr>
          <w:rFonts w:ascii="仿宋" w:eastAsia="仿宋" w:hAnsi="仿宋" w:cs="仿宋"/>
        </w:rPr>
        <w:t>两湖</w:t>
      </w:r>
      <w:r>
        <w:rPr>
          <w:rFonts w:ascii="仿宋" w:eastAsia="仿宋" w:hAnsi="仿宋" w:cs="仿宋"/>
        </w:rPr>
        <w:t>”</w:t>
      </w:r>
      <w:r>
        <w:rPr>
          <w:rFonts w:ascii="仿宋" w:eastAsia="仿宋" w:hAnsi="仿宋" w:cs="仿宋"/>
        </w:rPr>
        <w:t>创新区争创国家</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实践创新基地，在</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转化路径探索上取得新突破。</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提升四项能力：一是污水收集处理能力，完成</w:t>
      </w:r>
      <w:r>
        <w:rPr>
          <w:rFonts w:ascii="仿宋" w:eastAsia="仿宋" w:hAnsi="仿宋" w:cs="仿宋"/>
        </w:rPr>
        <w:t>70%</w:t>
      </w:r>
      <w:r>
        <w:rPr>
          <w:rFonts w:ascii="仿宋" w:eastAsia="仿宋" w:hAnsi="仿宋" w:cs="仿宋"/>
        </w:rPr>
        <w:t>污水排放控制区整治任务，新增工业污水处理能力</w:t>
      </w:r>
      <w:r>
        <w:rPr>
          <w:rFonts w:ascii="仿宋" w:eastAsia="仿宋" w:hAnsi="仿宋" w:cs="仿宋"/>
        </w:rPr>
        <w:t>2.5</w:t>
      </w:r>
      <w:r>
        <w:rPr>
          <w:rFonts w:ascii="仿宋" w:eastAsia="仿宋" w:hAnsi="仿宋" w:cs="仿宋"/>
        </w:rPr>
        <w:t>万吨</w:t>
      </w:r>
      <w:r>
        <w:rPr>
          <w:rFonts w:ascii="仿宋" w:eastAsia="仿宋" w:hAnsi="仿宋" w:cs="仿宋"/>
        </w:rPr>
        <w:t>/</w:t>
      </w:r>
      <w:r>
        <w:rPr>
          <w:rFonts w:ascii="仿宋" w:eastAsia="仿宋" w:hAnsi="仿宋" w:cs="仿宋"/>
        </w:rPr>
        <w:t>日、生活污水处理能力</w:t>
      </w:r>
      <w:r>
        <w:rPr>
          <w:rFonts w:ascii="仿宋" w:eastAsia="仿宋" w:hAnsi="仿宋" w:cs="仿宋"/>
        </w:rPr>
        <w:t>42</w:t>
      </w:r>
      <w:r>
        <w:rPr>
          <w:rFonts w:ascii="仿宋" w:eastAsia="仿宋" w:hAnsi="仿宋" w:cs="仿宋"/>
        </w:rPr>
        <w:t>万吨</w:t>
      </w:r>
      <w:r>
        <w:rPr>
          <w:rFonts w:ascii="仿宋" w:eastAsia="仿宋" w:hAnsi="仿宋" w:cs="仿宋"/>
        </w:rPr>
        <w:t>/</w:t>
      </w:r>
      <w:r>
        <w:rPr>
          <w:rFonts w:ascii="仿宋" w:eastAsia="仿宋" w:hAnsi="仿宋" w:cs="仿宋"/>
        </w:rPr>
        <w:t>日，城市生活污水</w:t>
      </w:r>
      <w:r>
        <w:rPr>
          <w:rFonts w:ascii="仿宋" w:eastAsia="仿宋" w:hAnsi="仿宋" w:cs="仿宋"/>
        </w:rPr>
        <w:t>收集处理率提升至</w:t>
      </w:r>
      <w:r>
        <w:rPr>
          <w:rFonts w:ascii="仿宋" w:eastAsia="仿宋" w:hAnsi="仿宋" w:cs="仿宋"/>
        </w:rPr>
        <w:t>90%</w:t>
      </w:r>
      <w:r>
        <w:rPr>
          <w:rFonts w:ascii="仿宋" w:eastAsia="仿宋" w:hAnsi="仿宋" w:cs="仿宋"/>
        </w:rPr>
        <w:t>以上，农村生活污水处理设施正常运行率达</w:t>
      </w:r>
      <w:r>
        <w:rPr>
          <w:rFonts w:ascii="仿宋" w:eastAsia="仿宋" w:hAnsi="仿宋" w:cs="仿宋"/>
        </w:rPr>
        <w:t>85%</w:t>
      </w:r>
      <w:r>
        <w:rPr>
          <w:rFonts w:ascii="仿宋" w:eastAsia="仿宋" w:hAnsi="仿宋" w:cs="仿宋"/>
        </w:rPr>
        <w:t>以上；二是有机废弃物处置能力，累计新增有机废弃物处理能力</w:t>
      </w:r>
      <w:r>
        <w:rPr>
          <w:rFonts w:ascii="仿宋" w:eastAsia="仿宋" w:hAnsi="仿宋" w:cs="仿宋"/>
        </w:rPr>
        <w:t>27.3</w:t>
      </w:r>
      <w:r>
        <w:rPr>
          <w:rFonts w:ascii="仿宋" w:eastAsia="仿宋" w:hAnsi="仿宋" w:cs="仿宋"/>
        </w:rPr>
        <w:t>万吨</w:t>
      </w:r>
      <w:r>
        <w:rPr>
          <w:rFonts w:ascii="仿宋" w:eastAsia="仿宋" w:hAnsi="仿宋" w:cs="仿宋"/>
        </w:rPr>
        <w:t>/</w:t>
      </w:r>
      <w:r>
        <w:rPr>
          <w:rFonts w:ascii="仿宋" w:eastAsia="仿宋" w:hAnsi="仿宋" w:cs="仿宋"/>
        </w:rPr>
        <w:t>年，打造</w:t>
      </w:r>
      <w:r>
        <w:rPr>
          <w:rFonts w:ascii="仿宋" w:eastAsia="仿宋" w:hAnsi="仿宋" w:cs="仿宋"/>
        </w:rPr>
        <w:t>“</w:t>
      </w:r>
      <w:r>
        <w:rPr>
          <w:rFonts w:ascii="仿宋" w:eastAsia="仿宋" w:hAnsi="仿宋" w:cs="仿宋"/>
        </w:rPr>
        <w:t>无废城市</w:t>
      </w:r>
      <w:r>
        <w:rPr>
          <w:rFonts w:ascii="仿宋" w:eastAsia="仿宋" w:hAnsi="仿宋" w:cs="仿宋"/>
        </w:rPr>
        <w:t>”</w:t>
      </w:r>
      <w:r>
        <w:rPr>
          <w:rFonts w:ascii="仿宋" w:eastAsia="仿宋" w:hAnsi="仿宋" w:cs="仿宋"/>
        </w:rPr>
        <w:t>常州示范；三是生物多样性观测能力，全面</w:t>
      </w:r>
      <w:r>
        <w:rPr>
          <w:rFonts w:ascii="仿宋" w:eastAsia="仿宋" w:hAnsi="仿宋" w:cs="仿宋"/>
        </w:rPr>
        <w:lastRenderedPageBreak/>
        <w:t>完成第二轮全域生物多样性调查，持续完善生物多样性本底数据库，加大生物多样性观测网络建设；四是碳足迹核算能力，围绕动力电池等优势行业制定碳足迹核算标准，试点碳足迹标识认证，牵头构建长三角乃至更大区域的动力电池碳足迹管理联盟，联合上下游产业链、区域性城市群携手应对出口碳壁垒。</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落实八大任务，具体是：</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（一）持续推进</w:t>
      </w:r>
      <w:r>
        <w:rPr>
          <w:rFonts w:ascii="仿宋" w:eastAsia="仿宋" w:hAnsi="仿宋" w:cs="仿宋"/>
        </w:rPr>
        <w:t>“</w:t>
      </w:r>
      <w:r>
        <w:rPr>
          <w:rFonts w:ascii="仿宋" w:eastAsia="仿宋" w:hAnsi="仿宋" w:cs="仿宋"/>
        </w:rPr>
        <w:t>双碳</w:t>
      </w:r>
      <w:r>
        <w:rPr>
          <w:rFonts w:ascii="仿宋" w:eastAsia="仿宋" w:hAnsi="仿宋" w:cs="仿宋"/>
        </w:rPr>
        <w:t>”</w:t>
      </w:r>
      <w:r>
        <w:rPr>
          <w:rFonts w:ascii="仿宋" w:eastAsia="仿宋" w:hAnsi="仿宋" w:cs="仿宋"/>
        </w:rPr>
        <w:t>行动。推进碳市场建设，加强碳排放数据质量管理，配合省厅核实纳管名单、核查重点排放单位数据，督促企业存证、报送，自主开展部分核查，打击数据造假并公开案例。加强重点企业碳排放管理人员培训，强化企业社会责任意识。促进融合清单编制与碳足迹核算衔接，常态化开展大气污染物与温室气体融合清单编制，结合核算工作建立</w:t>
      </w:r>
      <w:r>
        <w:rPr>
          <w:rFonts w:ascii="仿宋" w:eastAsia="仿宋" w:hAnsi="仿宋" w:cs="仿宋"/>
        </w:rPr>
        <w:t>2</w:t>
      </w:r>
      <w:r>
        <w:rPr>
          <w:rFonts w:ascii="仿宋" w:eastAsia="仿宋" w:hAnsi="仿宋" w:cs="仿宋"/>
        </w:rPr>
        <w:t>个碳足迹因子背景数据库，归集数据，将因子与碳足迹公共服务平台衔接。强化产业联动推动园区减污降碳协同，加快溧阳高新技术产业开发区试点建设，将产品碳足迹核算与评价作为（近）零碳园区与工厂创建指标，带动产业链协同减</w:t>
      </w:r>
      <w:r>
        <w:rPr>
          <w:rFonts w:ascii="仿宋" w:eastAsia="仿宋" w:hAnsi="仿宋" w:cs="仿宋"/>
        </w:rPr>
        <w:t>排，培育新能源汽车、绿色建材等产业链。依托本地资源强化能力建设，为企业提供碳核算技术支持等服务，每年组织重点排放企业和人员培训，开设</w:t>
      </w:r>
      <w:r>
        <w:rPr>
          <w:rFonts w:ascii="仿宋" w:eastAsia="仿宋" w:hAnsi="仿宋" w:cs="仿宋"/>
        </w:rPr>
        <w:t>“</w:t>
      </w:r>
      <w:r>
        <w:rPr>
          <w:rFonts w:ascii="仿宋" w:eastAsia="仿宋" w:hAnsi="仿宋" w:cs="仿宋"/>
        </w:rPr>
        <w:t>双碳</w:t>
      </w:r>
      <w:r>
        <w:rPr>
          <w:rFonts w:ascii="仿宋" w:eastAsia="仿宋" w:hAnsi="仿宋" w:cs="仿宋"/>
        </w:rPr>
        <w:t>”</w:t>
      </w:r>
      <w:r>
        <w:rPr>
          <w:rFonts w:ascii="仿宋" w:eastAsia="仿宋" w:hAnsi="仿宋" w:cs="仿宋"/>
        </w:rPr>
        <w:t>课程项目，培育本地双碳管理人才。争创国家气候适应性试点城市。</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（二）深入打好蓝天保卫战。实现四个</w:t>
      </w:r>
      <w:r>
        <w:rPr>
          <w:rFonts w:ascii="仿宋" w:eastAsia="仿宋" w:hAnsi="仿宋" w:cs="仿宋"/>
        </w:rPr>
        <w:t>“</w:t>
      </w:r>
      <w:r>
        <w:rPr>
          <w:rFonts w:ascii="仿宋" w:eastAsia="仿宋" w:hAnsi="仿宋" w:cs="仿宋"/>
        </w:rPr>
        <w:t>全部完成</w:t>
      </w:r>
      <w:r>
        <w:rPr>
          <w:rFonts w:ascii="仿宋" w:eastAsia="仿宋" w:hAnsi="仿宋" w:cs="仿宋"/>
        </w:rPr>
        <w:t>”</w:t>
      </w:r>
      <w:r>
        <w:rPr>
          <w:rFonts w:ascii="仿宋" w:eastAsia="仿宋" w:hAnsi="仿宋" w:cs="仿宋"/>
        </w:rPr>
        <w:t>，完成宝润钢铁、盘固水泥、扬子水泥等企业的全流程超低排放改</w:t>
      </w:r>
      <w:r>
        <w:rPr>
          <w:rFonts w:ascii="仿宋" w:eastAsia="仿宋" w:hAnsi="仿宋" w:cs="仿宋"/>
        </w:rPr>
        <w:lastRenderedPageBreak/>
        <w:t>造，实现超低排放改造</w:t>
      </w:r>
      <w:r>
        <w:rPr>
          <w:rFonts w:ascii="仿宋" w:eastAsia="仿宋" w:hAnsi="仿宋" w:cs="仿宋"/>
        </w:rPr>
        <w:t>“</w:t>
      </w:r>
      <w:r>
        <w:rPr>
          <w:rFonts w:ascii="仿宋" w:eastAsia="仿宋" w:hAnsi="仿宋" w:cs="仿宋"/>
        </w:rPr>
        <w:t>全覆盖</w:t>
      </w:r>
      <w:r>
        <w:rPr>
          <w:rFonts w:ascii="仿宋" w:eastAsia="仿宋" w:hAnsi="仿宋" w:cs="仿宋"/>
        </w:rPr>
        <w:t>”</w:t>
      </w:r>
      <w:r>
        <w:rPr>
          <w:rFonts w:ascii="仿宋" w:eastAsia="仿宋" w:hAnsi="仿宋" w:cs="仿宋"/>
        </w:rPr>
        <w:t>。全部完成</w:t>
      </w:r>
      <w:r>
        <w:rPr>
          <w:rFonts w:ascii="仿宋" w:eastAsia="仿宋" w:hAnsi="仿宋" w:cs="仿宋"/>
        </w:rPr>
        <w:t>711</w:t>
      </w:r>
      <w:r>
        <w:rPr>
          <w:rFonts w:ascii="仿宋" w:eastAsia="仿宋" w:hAnsi="仿宋" w:cs="仿宋"/>
        </w:rPr>
        <w:t>家铸造企业综合整治，培育环保绩效</w:t>
      </w:r>
      <w:r>
        <w:rPr>
          <w:rFonts w:ascii="仿宋" w:eastAsia="仿宋" w:hAnsi="仿宋" w:cs="仿宋"/>
        </w:rPr>
        <w:t>AB</w:t>
      </w:r>
      <w:r>
        <w:rPr>
          <w:rFonts w:ascii="仿宋" w:eastAsia="仿宋" w:hAnsi="仿宋" w:cs="仿宋"/>
        </w:rPr>
        <w:t>级水平的标杆铸造企业及清洁生产先进企业</w:t>
      </w:r>
      <w:r>
        <w:rPr>
          <w:rFonts w:ascii="仿宋" w:eastAsia="仿宋" w:hAnsi="仿宋" w:cs="仿宋"/>
        </w:rPr>
        <w:t>15</w:t>
      </w:r>
      <w:r>
        <w:rPr>
          <w:rFonts w:ascii="仿宋" w:eastAsia="仿宋" w:hAnsi="仿宋" w:cs="仿宋"/>
        </w:rPr>
        <w:t>家以上。全部完成汽摩配、玻璃钢、灯具、地板、干燥五大集群整治，</w:t>
      </w:r>
      <w:r>
        <w:rPr>
          <w:rFonts w:ascii="仿宋" w:eastAsia="仿宋" w:hAnsi="仿宋" w:cs="仿宋"/>
        </w:rPr>
        <w:t>6</w:t>
      </w:r>
      <w:r>
        <w:rPr>
          <w:rFonts w:ascii="仿宋" w:eastAsia="仿宋" w:hAnsi="仿宋" w:cs="仿宋"/>
        </w:rPr>
        <w:t>月底前对剩余企业淘</w:t>
      </w:r>
      <w:r>
        <w:rPr>
          <w:rFonts w:ascii="仿宋" w:eastAsia="仿宋" w:hAnsi="仿宋" w:cs="仿宋"/>
        </w:rPr>
        <w:t>汰整治</w:t>
      </w:r>
      <w:r>
        <w:rPr>
          <w:rFonts w:ascii="仿宋" w:eastAsia="仿宋" w:hAnsi="仿宋" w:cs="仿宋"/>
        </w:rPr>
        <w:t>“</w:t>
      </w:r>
      <w:r>
        <w:rPr>
          <w:rFonts w:ascii="仿宋" w:eastAsia="仿宋" w:hAnsi="仿宋" w:cs="仿宋"/>
        </w:rPr>
        <w:t>清零</w:t>
      </w:r>
      <w:r>
        <w:rPr>
          <w:rFonts w:ascii="仿宋" w:eastAsia="仿宋" w:hAnsi="仿宋" w:cs="仿宋"/>
        </w:rPr>
        <w:t>”</w:t>
      </w:r>
      <w:r>
        <w:rPr>
          <w:rFonts w:ascii="仿宋" w:eastAsia="仿宋" w:hAnsi="仿宋" w:cs="仿宋"/>
        </w:rPr>
        <w:t>。全部完成国三货车淘汰，力争</w:t>
      </w:r>
      <w:r>
        <w:rPr>
          <w:rFonts w:ascii="仿宋" w:eastAsia="仿宋" w:hAnsi="仿宋" w:cs="仿宋"/>
        </w:rPr>
        <w:t>9</w:t>
      </w:r>
      <w:r>
        <w:rPr>
          <w:rFonts w:ascii="仿宋" w:eastAsia="仿宋" w:hAnsi="仿宋" w:cs="仿宋"/>
        </w:rPr>
        <w:t>月底前实现剩余国</w:t>
      </w:r>
      <w:r>
        <w:rPr>
          <w:rFonts w:ascii="仿宋" w:eastAsia="仿宋" w:hAnsi="仿宋" w:cs="仿宋"/>
        </w:rPr>
        <w:t>Ⅲ</w:t>
      </w:r>
      <w:r>
        <w:rPr>
          <w:rFonts w:ascii="仿宋" w:eastAsia="仿宋" w:hAnsi="仿宋" w:cs="仿宋"/>
        </w:rPr>
        <w:t>及以下柴油货车全部清零，并加强重型柴油货车路检路查以及集中使用地、停放地的入户检查。推动四大</w:t>
      </w:r>
      <w:r>
        <w:rPr>
          <w:rFonts w:ascii="仿宋" w:eastAsia="仿宋" w:hAnsi="仿宋" w:cs="仿宋"/>
        </w:rPr>
        <w:t>“</w:t>
      </w:r>
      <w:r>
        <w:rPr>
          <w:rFonts w:ascii="仿宋" w:eastAsia="仿宋" w:hAnsi="仿宋" w:cs="仿宋"/>
        </w:rPr>
        <w:t>专项整治</w:t>
      </w:r>
      <w:r>
        <w:rPr>
          <w:rFonts w:ascii="仿宋" w:eastAsia="仿宋" w:hAnsi="仿宋" w:cs="仿宋"/>
        </w:rPr>
        <w:t>”</w:t>
      </w:r>
      <w:r>
        <w:rPr>
          <w:rFonts w:ascii="仿宋" w:eastAsia="仿宋" w:hAnsi="仿宋" w:cs="仿宋"/>
        </w:rPr>
        <w:t>，开展餐饮油烟专项整治，全市建成餐饮油烟整治示范街区（综合体）</w:t>
      </w:r>
      <w:r>
        <w:rPr>
          <w:rFonts w:ascii="仿宋" w:eastAsia="仿宋" w:hAnsi="仿宋" w:cs="仿宋"/>
        </w:rPr>
        <w:t>5</w:t>
      </w:r>
      <w:r>
        <w:rPr>
          <w:rFonts w:ascii="仿宋" w:eastAsia="仿宋" w:hAnsi="仿宋" w:cs="仿宋"/>
        </w:rPr>
        <w:t>个以上。开展重点区域专项整治，分类排查、分布推进，</w:t>
      </w:r>
      <w:r>
        <w:rPr>
          <w:rFonts w:ascii="仿宋" w:eastAsia="仿宋" w:hAnsi="仿宋" w:cs="仿宋"/>
        </w:rPr>
        <w:t>6</w:t>
      </w:r>
      <w:r>
        <w:rPr>
          <w:rFonts w:ascii="仿宋" w:eastAsia="仿宋" w:hAnsi="仿宋" w:cs="仿宋"/>
        </w:rPr>
        <w:t>月份前完成整治，并建立健全长效机制。开展扬尘污染专项整治，加强城市保洁及扬尘污染精细化治理，确保建成区道路机械化清扫率达</w:t>
      </w:r>
      <w:r>
        <w:rPr>
          <w:rFonts w:ascii="仿宋" w:eastAsia="仿宋" w:hAnsi="仿宋" w:cs="仿宋"/>
        </w:rPr>
        <w:t>95%</w:t>
      </w:r>
      <w:r>
        <w:rPr>
          <w:rFonts w:ascii="仿宋" w:eastAsia="仿宋" w:hAnsi="仿宋" w:cs="仿宋"/>
        </w:rPr>
        <w:t>以上。开展非道机械专项整治，全面排查所有非道机械现状和问题，推动所有机械登记注册，国一机械全部淘汰。提升</w:t>
      </w:r>
      <w:r>
        <w:rPr>
          <w:rFonts w:ascii="仿宋" w:eastAsia="仿宋" w:hAnsi="仿宋" w:cs="仿宋"/>
        </w:rPr>
        <w:t>一项</w:t>
      </w:r>
      <w:r>
        <w:rPr>
          <w:rFonts w:ascii="仿宋" w:eastAsia="仿宋" w:hAnsi="仿宋" w:cs="仿宋"/>
        </w:rPr>
        <w:t>“</w:t>
      </w:r>
      <w:r>
        <w:rPr>
          <w:rFonts w:ascii="仿宋" w:eastAsia="仿宋" w:hAnsi="仿宋" w:cs="仿宋"/>
        </w:rPr>
        <w:t>治理水平</w:t>
      </w:r>
      <w:r>
        <w:rPr>
          <w:rFonts w:ascii="仿宋" w:eastAsia="仿宋" w:hAnsi="仿宋" w:cs="仿宋"/>
        </w:rPr>
        <w:t>”</w:t>
      </w:r>
      <w:r>
        <w:rPr>
          <w:rFonts w:ascii="仿宋" w:eastAsia="仿宋" w:hAnsi="仿宋" w:cs="仿宋"/>
        </w:rPr>
        <w:t>，重点提升</w:t>
      </w:r>
      <w:r>
        <w:rPr>
          <w:rFonts w:ascii="仿宋" w:eastAsia="仿宋" w:hAnsi="仿宋" w:cs="仿宋"/>
        </w:rPr>
        <w:t>VOCs</w:t>
      </w:r>
      <w:r>
        <w:rPr>
          <w:rFonts w:ascii="仿宋" w:eastAsia="仿宋" w:hAnsi="仿宋" w:cs="仿宋"/>
        </w:rPr>
        <w:t>治理水平，</w:t>
      </w:r>
      <w:r>
        <w:rPr>
          <w:rFonts w:ascii="仿宋" w:eastAsia="仿宋" w:hAnsi="仿宋" w:cs="仿宋"/>
        </w:rPr>
        <w:t>4</w:t>
      </w:r>
      <w:r>
        <w:rPr>
          <w:rFonts w:ascii="仿宋" w:eastAsia="仿宋" w:hAnsi="仿宋" w:cs="仿宋"/>
        </w:rPr>
        <w:t>月底前完成</w:t>
      </w:r>
      <w:r>
        <w:rPr>
          <w:rFonts w:ascii="仿宋" w:eastAsia="仿宋" w:hAnsi="仿宋" w:cs="仿宋"/>
        </w:rPr>
        <w:t>50%</w:t>
      </w:r>
      <w:r>
        <w:rPr>
          <w:rFonts w:ascii="仿宋" w:eastAsia="仿宋" w:hAnsi="仿宋" w:cs="仿宋"/>
        </w:rPr>
        <w:t>以上的</w:t>
      </w:r>
      <w:r>
        <w:rPr>
          <w:rFonts w:ascii="仿宋" w:eastAsia="仿宋" w:hAnsi="仿宋" w:cs="仿宋"/>
        </w:rPr>
        <w:t>VOCs</w:t>
      </w:r>
      <w:r>
        <w:rPr>
          <w:rFonts w:ascii="仿宋" w:eastAsia="仿宋" w:hAnsi="仿宋" w:cs="仿宋"/>
        </w:rPr>
        <w:t>年度治理工程。加大工业涂装、包装印刷等重点行业清洁原料替代力度，对前两年完成替代的项目开展</w:t>
      </w:r>
      <w:r>
        <w:rPr>
          <w:rFonts w:ascii="仿宋" w:eastAsia="仿宋" w:hAnsi="仿宋" w:cs="仿宋"/>
        </w:rPr>
        <w:t>“</w:t>
      </w:r>
      <w:r>
        <w:rPr>
          <w:rFonts w:ascii="仿宋" w:eastAsia="仿宋" w:hAnsi="仿宋" w:cs="仿宋"/>
        </w:rPr>
        <w:t>回头看</w:t>
      </w:r>
      <w:r>
        <w:rPr>
          <w:rFonts w:ascii="仿宋" w:eastAsia="仿宋" w:hAnsi="仿宋" w:cs="仿宋"/>
        </w:rPr>
        <w:t>”</w:t>
      </w:r>
      <w:r>
        <w:rPr>
          <w:rFonts w:ascii="仿宋" w:eastAsia="仿宋" w:hAnsi="仿宋" w:cs="仿宋"/>
        </w:rPr>
        <w:t>，培育不少于</w:t>
      </w:r>
      <w:r>
        <w:rPr>
          <w:rFonts w:ascii="仿宋" w:eastAsia="仿宋" w:hAnsi="仿宋" w:cs="仿宋"/>
        </w:rPr>
        <w:t>5</w:t>
      </w:r>
      <w:r>
        <w:rPr>
          <w:rFonts w:ascii="仿宋" w:eastAsia="仿宋" w:hAnsi="仿宋" w:cs="仿宋"/>
        </w:rPr>
        <w:t>家源头替代示范性企业。有机溶剂回收中心、活性炭再生中心、汽修钣喷中心等</w:t>
      </w:r>
      <w:r>
        <w:rPr>
          <w:rFonts w:ascii="仿宋" w:eastAsia="仿宋" w:hAnsi="仿宋" w:cs="仿宋"/>
        </w:rPr>
        <w:t>“</w:t>
      </w:r>
      <w:r>
        <w:rPr>
          <w:rFonts w:ascii="仿宋" w:eastAsia="仿宋" w:hAnsi="仿宋" w:cs="仿宋"/>
        </w:rPr>
        <w:t>绿岛</w:t>
      </w:r>
      <w:r>
        <w:rPr>
          <w:rFonts w:ascii="仿宋" w:eastAsia="仿宋" w:hAnsi="仿宋" w:cs="仿宋"/>
        </w:rPr>
        <w:t>”</w:t>
      </w:r>
      <w:r>
        <w:rPr>
          <w:rFonts w:ascii="仿宋" w:eastAsia="仿宋" w:hAnsi="仿宋" w:cs="仿宋"/>
        </w:rPr>
        <w:t>项目实现实体化运行。</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（三）深入推进太湖综合治理。加快推进</w:t>
      </w:r>
      <w:r>
        <w:rPr>
          <w:rFonts w:ascii="仿宋" w:eastAsia="仿宋" w:hAnsi="仿宋" w:cs="仿宋"/>
        </w:rPr>
        <w:t>“1+8”</w:t>
      </w:r>
      <w:r>
        <w:rPr>
          <w:rFonts w:ascii="仿宋" w:eastAsia="仿宋" w:hAnsi="仿宋" w:cs="仿宋"/>
        </w:rPr>
        <w:t>专项行动，实施重点项目</w:t>
      </w:r>
      <w:r>
        <w:rPr>
          <w:rFonts w:ascii="仿宋" w:eastAsia="仿宋" w:hAnsi="仿宋" w:cs="仿宋"/>
        </w:rPr>
        <w:t>180</w:t>
      </w:r>
      <w:r>
        <w:rPr>
          <w:rFonts w:ascii="仿宋" w:eastAsia="仿宋" w:hAnsi="仿宋" w:cs="仿宋"/>
        </w:rPr>
        <w:t>项以上、年度投资</w:t>
      </w:r>
      <w:r>
        <w:rPr>
          <w:rFonts w:ascii="仿宋" w:eastAsia="仿宋" w:hAnsi="仿宋" w:cs="仿宋"/>
        </w:rPr>
        <w:t>150</w:t>
      </w:r>
      <w:r>
        <w:rPr>
          <w:rFonts w:ascii="仿宋" w:eastAsia="仿宋" w:hAnsi="仿宋" w:cs="仿宋"/>
        </w:rPr>
        <w:t>亿以上。完成阳湖净水厂、江边污水处理厂五期等</w:t>
      </w:r>
      <w:r>
        <w:rPr>
          <w:rFonts w:ascii="仿宋" w:eastAsia="仿宋" w:hAnsi="仿宋" w:cs="仿宋"/>
        </w:rPr>
        <w:t>42</w:t>
      </w:r>
      <w:r>
        <w:rPr>
          <w:rFonts w:ascii="仿宋" w:eastAsia="仿宋" w:hAnsi="仿宋" w:cs="仿宋"/>
        </w:rPr>
        <w:t>万吨</w:t>
      </w:r>
      <w:r>
        <w:rPr>
          <w:rFonts w:ascii="仿宋" w:eastAsia="仿宋" w:hAnsi="仿宋" w:cs="仿宋"/>
        </w:rPr>
        <w:t>/</w:t>
      </w:r>
      <w:r>
        <w:rPr>
          <w:rFonts w:ascii="仿宋" w:eastAsia="仿宋" w:hAnsi="仿宋" w:cs="仿宋"/>
        </w:rPr>
        <w:t>日生活污水处理能力建设，建设武进西太湖、新北薛家、天宁弘源等</w:t>
      </w:r>
      <w:r>
        <w:rPr>
          <w:rFonts w:ascii="仿宋" w:eastAsia="仿宋" w:hAnsi="仿宋" w:cs="仿宋"/>
        </w:rPr>
        <w:t>3</w:t>
      </w:r>
      <w:r>
        <w:rPr>
          <w:rFonts w:ascii="仿宋" w:eastAsia="仿宋" w:hAnsi="仿宋" w:cs="仿宋"/>
        </w:rPr>
        <w:t>家工业污</w:t>
      </w:r>
      <w:r>
        <w:rPr>
          <w:rFonts w:ascii="仿宋" w:eastAsia="仿宋" w:hAnsi="仿宋" w:cs="仿宋"/>
        </w:rPr>
        <w:lastRenderedPageBreak/>
        <w:t>水</w:t>
      </w:r>
      <w:r w:rsidR="00B508DE">
        <w:rPr>
          <w:rFonts w:ascii="仿宋" w:eastAsia="仿宋" w:hAnsi="仿宋" w:cs="仿宋" w:hint="eastAsia"/>
        </w:rPr>
        <w:t>处理</w:t>
      </w:r>
      <w:r>
        <w:rPr>
          <w:rFonts w:ascii="仿宋" w:eastAsia="仿宋" w:hAnsi="仿宋" w:cs="仿宋"/>
        </w:rPr>
        <w:t>厂。完成规模以上养殖池塘提升改造，完成</w:t>
      </w:r>
      <w:r>
        <w:rPr>
          <w:rFonts w:ascii="仿宋" w:eastAsia="仿宋" w:hAnsi="仿宋" w:cs="仿宋"/>
        </w:rPr>
        <w:t>2.2</w:t>
      </w:r>
      <w:r>
        <w:rPr>
          <w:rFonts w:ascii="仿宋" w:eastAsia="仿宋" w:hAnsi="仿宋" w:cs="仿宋"/>
        </w:rPr>
        <w:t>万亩高标准农田建设，溧阳市、金坛区完成核心防控区农田退水治理，武进区开展太湖一级保护区农田退水治理。全面完成竺山湖、滆湖清淤</w:t>
      </w:r>
      <w:r>
        <w:rPr>
          <w:rFonts w:ascii="仿宋" w:eastAsia="仿宋" w:hAnsi="仿宋" w:cs="仿宋"/>
        </w:rPr>
        <w:t>500</w:t>
      </w:r>
      <w:r>
        <w:rPr>
          <w:rFonts w:ascii="仿宋" w:eastAsia="仿宋" w:hAnsi="仿宋" w:cs="仿宋"/>
        </w:rPr>
        <w:t>万方、</w:t>
      </w:r>
      <w:r>
        <w:rPr>
          <w:rFonts w:ascii="仿宋" w:eastAsia="仿宋" w:hAnsi="仿宋" w:cs="仿宋"/>
        </w:rPr>
        <w:t>1500</w:t>
      </w:r>
      <w:r>
        <w:rPr>
          <w:rFonts w:ascii="仿宋" w:eastAsia="仿宋" w:hAnsi="仿宋" w:cs="仿宋"/>
        </w:rPr>
        <w:t>万方，完成滆湖退田还湖</w:t>
      </w:r>
      <w:r>
        <w:rPr>
          <w:rFonts w:ascii="仿宋" w:eastAsia="仿宋" w:hAnsi="仿宋" w:cs="仿宋"/>
        </w:rPr>
        <w:t>20</w:t>
      </w:r>
      <w:r>
        <w:rPr>
          <w:rFonts w:ascii="仿宋" w:eastAsia="仿宋" w:hAnsi="仿宋" w:cs="仿宋"/>
        </w:rPr>
        <w:t>平方公里、恢复湿地</w:t>
      </w:r>
      <w:r>
        <w:rPr>
          <w:rFonts w:ascii="仿宋" w:eastAsia="仿宋" w:hAnsi="仿宋" w:cs="仿宋"/>
        </w:rPr>
        <w:t>2.46</w:t>
      </w:r>
      <w:r>
        <w:rPr>
          <w:rFonts w:ascii="仿宋" w:eastAsia="仿宋" w:hAnsi="仿宋" w:cs="仿宋"/>
        </w:rPr>
        <w:t>平方千米；启动溧阳长荡湖退圩还湖工作。坚持河流水质标本兼治，根据污水排放控制区溯源排查成果，排定并实施系统整治措施，确保太湖主要入湖河流及上游关联骨干河流总磷浓度全部低于</w:t>
      </w:r>
      <w:r>
        <w:rPr>
          <w:rFonts w:ascii="仿宋" w:eastAsia="仿宋" w:hAnsi="仿宋" w:cs="仿宋"/>
        </w:rPr>
        <w:t>0.1mg/L</w:t>
      </w:r>
      <w:r>
        <w:rPr>
          <w:rFonts w:ascii="仿宋" w:eastAsia="仿宋" w:hAnsi="仿宋" w:cs="仿宋"/>
        </w:rPr>
        <w:t>。</w:t>
      </w:r>
      <w:r>
        <w:rPr>
          <w:rFonts w:ascii="仿宋" w:eastAsia="仿宋" w:hAnsi="仿宋" w:cs="仿宋"/>
        </w:rPr>
        <w:t>“</w:t>
      </w:r>
      <w:r>
        <w:rPr>
          <w:rFonts w:ascii="仿宋" w:eastAsia="仿宋" w:hAnsi="仿宋" w:cs="仿宋"/>
        </w:rPr>
        <w:t>一河一策</w:t>
      </w:r>
      <w:r>
        <w:rPr>
          <w:rFonts w:ascii="仿宋" w:eastAsia="仿宋" w:hAnsi="仿宋" w:cs="仿宋"/>
        </w:rPr>
        <w:t>”</w:t>
      </w:r>
      <w:r>
        <w:rPr>
          <w:rFonts w:ascii="仿宋" w:eastAsia="仿宋" w:hAnsi="仿宋" w:cs="仿宋"/>
        </w:rPr>
        <w:t>落实支浜整治措施，加快推进控源截污、底泥清淤等治本措施，落实畅流活水、河道</w:t>
      </w:r>
      <w:r>
        <w:rPr>
          <w:rFonts w:ascii="仿宋" w:eastAsia="仿宋" w:hAnsi="仿宋" w:cs="仿宋"/>
        </w:rPr>
        <w:t>管护等治标措施，巩固支浜水质改善成效，年底前二级支浜全面完成消劣，主要入湖河流一级支浜总磷达到</w:t>
      </w:r>
      <w:r>
        <w:rPr>
          <w:rFonts w:ascii="仿宋" w:eastAsia="仿宋" w:hAnsi="仿宋" w:cs="仿宋"/>
        </w:rPr>
        <w:t>Ⅲ</w:t>
      </w:r>
      <w:r>
        <w:rPr>
          <w:rFonts w:ascii="仿宋" w:eastAsia="仿宋" w:hAnsi="仿宋" w:cs="仿宋"/>
        </w:rPr>
        <w:t>类。推进美丽河湖保护建设，全面完成长江、新孟河</w:t>
      </w:r>
      <w:r>
        <w:rPr>
          <w:rFonts w:ascii="仿宋" w:eastAsia="仿宋" w:hAnsi="仿宋" w:cs="仿宋"/>
        </w:rPr>
        <w:t>“</w:t>
      </w:r>
      <w:r>
        <w:rPr>
          <w:rFonts w:ascii="仿宋" w:eastAsia="仿宋" w:hAnsi="仿宋" w:cs="仿宋"/>
        </w:rPr>
        <w:t>美丽河湖</w:t>
      </w:r>
      <w:r>
        <w:rPr>
          <w:rFonts w:ascii="仿宋" w:eastAsia="仿宋" w:hAnsi="仿宋" w:cs="仿宋"/>
        </w:rPr>
        <w:t>”</w:t>
      </w:r>
      <w:r>
        <w:rPr>
          <w:rFonts w:ascii="仿宋" w:eastAsia="仿宋" w:hAnsi="仿宋" w:cs="仿宋"/>
        </w:rPr>
        <w:t>建设任务。推进长江流域水生态保护与修复，加快编制水生态环境保护规划，持续开展水生态例行监测，完成水生态环境质量年度评价，制定水生态考核评价体系，建立辖市区水生态工作考核制度，组织实施长江流域水生态</w:t>
      </w:r>
      <w:r>
        <w:rPr>
          <w:rFonts w:ascii="仿宋" w:eastAsia="仿宋" w:hAnsi="仿宋" w:cs="仿宋"/>
        </w:rPr>
        <w:t>“</w:t>
      </w:r>
      <w:r>
        <w:rPr>
          <w:rFonts w:ascii="仿宋" w:eastAsia="仿宋" w:hAnsi="仿宋" w:cs="仿宋"/>
        </w:rPr>
        <w:t>一地一策</w:t>
      </w:r>
      <w:r>
        <w:rPr>
          <w:rFonts w:ascii="仿宋" w:eastAsia="仿宋" w:hAnsi="仿宋" w:cs="仿宋"/>
        </w:rPr>
        <w:t>”</w:t>
      </w:r>
      <w:r>
        <w:rPr>
          <w:rFonts w:ascii="仿宋" w:eastAsia="仿宋" w:hAnsi="仿宋" w:cs="仿宋"/>
        </w:rPr>
        <w:t>提升方案，确保长江流域水生态稳步提升。</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（四）深入打好净土保卫战。完善土壤污染防治体系，深入推进土壤污染源头防控，加强调查报告质量监督。强化在产企业环</w:t>
      </w:r>
      <w:r>
        <w:rPr>
          <w:rFonts w:ascii="仿宋" w:eastAsia="仿宋" w:hAnsi="仿宋" w:cs="仿宋"/>
        </w:rPr>
        <w:t>境监管与污染预防，督促企业依法落实土壤污染隐患排查、自行监测、信息公开等相关工作。加强土壤污染重点监管单位监督管理，聘请专家对土壤污染重点监管单位隐患排查及</w:t>
      </w:r>
      <w:r>
        <w:rPr>
          <w:rFonts w:ascii="仿宋" w:eastAsia="仿宋" w:hAnsi="仿宋" w:cs="仿宋"/>
        </w:rPr>
        <w:t>“</w:t>
      </w:r>
      <w:r>
        <w:rPr>
          <w:rFonts w:ascii="仿宋" w:eastAsia="仿宋" w:hAnsi="仿宋" w:cs="仿宋"/>
        </w:rPr>
        <w:t>回头看</w:t>
      </w:r>
      <w:r>
        <w:rPr>
          <w:rFonts w:ascii="仿宋" w:eastAsia="仿宋" w:hAnsi="仿宋" w:cs="仿宋"/>
        </w:rPr>
        <w:t>”</w:t>
      </w:r>
      <w:r>
        <w:rPr>
          <w:rFonts w:ascii="仿宋" w:eastAsia="仿宋" w:hAnsi="仿宋" w:cs="仿宋"/>
        </w:rPr>
        <w:t>进行全面审核。加强优先监管地块风险管控，对高</w:t>
      </w:r>
      <w:r>
        <w:rPr>
          <w:rFonts w:ascii="仿宋" w:eastAsia="仿宋" w:hAnsi="仿宋" w:cs="仿宋"/>
        </w:rPr>
        <w:lastRenderedPageBreak/>
        <w:t>风险遗留地块、优先监管地块、关闭化工企业地块实行并表管理，逐步建立管理信息库。组织开展周边监测，推进土壤污染状况调查和风险评估，分类落实制度性、工程性管控措施，消除环境风险隐患。巩固农村生活污水治理成效，持续开展已建设施</w:t>
      </w:r>
      <w:r>
        <w:rPr>
          <w:rFonts w:ascii="仿宋" w:eastAsia="仿宋" w:hAnsi="仿宋" w:cs="仿宋"/>
        </w:rPr>
        <w:t>“</w:t>
      </w:r>
      <w:r>
        <w:rPr>
          <w:rFonts w:ascii="仿宋" w:eastAsia="仿宋" w:hAnsi="仿宋" w:cs="仿宋"/>
        </w:rPr>
        <w:t>回头看</w:t>
      </w:r>
      <w:r>
        <w:rPr>
          <w:rFonts w:ascii="仿宋" w:eastAsia="仿宋" w:hAnsi="仿宋" w:cs="仿宋"/>
        </w:rPr>
        <w:t>”</w:t>
      </w:r>
      <w:r>
        <w:rPr>
          <w:rFonts w:ascii="仿宋" w:eastAsia="仿宋" w:hAnsi="仿宋" w:cs="仿宋"/>
        </w:rPr>
        <w:t>专项行动，推进溯源排查整治，全面完成骨干河流沿岸一公里范围内空白村庄治理</w:t>
      </w:r>
      <w:r>
        <w:rPr>
          <w:rFonts w:ascii="仿宋" w:eastAsia="仿宋" w:hAnsi="仿宋" w:cs="仿宋"/>
        </w:rPr>
        <w:t>和问题设施改造。对照</w:t>
      </w:r>
      <w:r>
        <w:rPr>
          <w:rFonts w:ascii="仿宋" w:eastAsia="仿宋" w:hAnsi="仿宋" w:cs="仿宋"/>
        </w:rPr>
        <w:t>“</w:t>
      </w:r>
      <w:r>
        <w:rPr>
          <w:rFonts w:ascii="仿宋" w:eastAsia="仿宋" w:hAnsi="仿宋" w:cs="仿宋"/>
        </w:rPr>
        <w:t>三不到</w:t>
      </w:r>
      <w:r>
        <w:rPr>
          <w:rFonts w:ascii="仿宋" w:eastAsia="仿宋" w:hAnsi="仿宋" w:cs="仿宋"/>
        </w:rPr>
        <w:t>”</w:t>
      </w:r>
      <w:r>
        <w:rPr>
          <w:rFonts w:ascii="仿宋" w:eastAsia="仿宋" w:hAnsi="仿宋" w:cs="仿宋"/>
        </w:rPr>
        <w:t>标准，对全市未治理自然村开展排查，逐步实现自然村治理全覆盖。全力推进整县制专业化运维管理，不断提升农村生活污水设施管理水平。</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（五）扎实推进生态中轴建设。推进生态文明创建，深入挖掘</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理论常州实践，总结提炼</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生态价值转化经验模式，推动国家生态文明建设示范区和</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实践创新基地建设，力争建成洮滆</w:t>
      </w:r>
      <w:r>
        <w:rPr>
          <w:rFonts w:ascii="仿宋" w:eastAsia="仿宋" w:hAnsi="仿宋" w:cs="仿宋"/>
        </w:rPr>
        <w:t>•</w:t>
      </w:r>
      <w:r>
        <w:rPr>
          <w:rFonts w:ascii="仿宋" w:eastAsia="仿宋" w:hAnsi="仿宋" w:cs="仿宋"/>
        </w:rPr>
        <w:t>两湖创新区</w:t>
      </w:r>
      <w:r>
        <w:rPr>
          <w:rFonts w:ascii="仿宋" w:eastAsia="仿宋" w:hAnsi="仿宋" w:cs="仿宋"/>
        </w:rPr>
        <w:t>“</w:t>
      </w:r>
      <w:r>
        <w:rPr>
          <w:rFonts w:ascii="仿宋" w:eastAsia="仿宋" w:hAnsi="仿宋" w:cs="仿宋"/>
        </w:rPr>
        <w:t>绿水青山就是金山银山</w:t>
      </w:r>
      <w:r>
        <w:rPr>
          <w:rFonts w:ascii="仿宋" w:eastAsia="仿宋" w:hAnsi="仿宋" w:cs="仿宋"/>
        </w:rPr>
        <w:t>”</w:t>
      </w:r>
      <w:r>
        <w:rPr>
          <w:rFonts w:ascii="仿宋" w:eastAsia="仿宋" w:hAnsi="仿宋" w:cs="仿宋"/>
        </w:rPr>
        <w:t>实践创新基地和金坛区国家生态文明建设示范区。全面启动第十三批国际生态学校建设，力争全省生态文明教材试点编纂和试教试点单位。加强生态保护修复，</w:t>
      </w:r>
      <w:r>
        <w:rPr>
          <w:rFonts w:ascii="仿宋" w:eastAsia="仿宋" w:hAnsi="仿宋" w:cs="仿宋"/>
        </w:rPr>
        <w:t>加快推进常州太湖流域滆湖山水林田湖草沙一体化保护和修复省级示范工程；全面完成溧阳天目湖湖群生态岛试验区建设试点，围绕长江和</w:t>
      </w:r>
      <w:r>
        <w:rPr>
          <w:rFonts w:ascii="仿宋" w:eastAsia="仿宋" w:hAnsi="仿宋" w:cs="仿宋"/>
        </w:rPr>
        <w:t>“</w:t>
      </w:r>
      <w:r>
        <w:rPr>
          <w:rFonts w:ascii="仿宋" w:eastAsia="仿宋" w:hAnsi="仿宋" w:cs="仿宋"/>
        </w:rPr>
        <w:t>两湖</w:t>
      </w:r>
      <w:r>
        <w:rPr>
          <w:rFonts w:ascii="仿宋" w:eastAsia="仿宋" w:hAnsi="仿宋" w:cs="仿宋"/>
        </w:rPr>
        <w:t>”</w:t>
      </w:r>
      <w:r>
        <w:rPr>
          <w:rFonts w:ascii="仿宋" w:eastAsia="仿宋" w:hAnsi="仿宋" w:cs="仿宋"/>
        </w:rPr>
        <w:t>等敏感区域，积极争取省生态岛试验区建设试点（长荡湖生态岛）；稳步推进生态安全缓冲区建设，每个辖市区完成不少于</w:t>
      </w:r>
      <w:r>
        <w:rPr>
          <w:rFonts w:ascii="仿宋" w:eastAsia="仿宋" w:hAnsi="仿宋" w:cs="仿宋"/>
        </w:rPr>
        <w:t>1</w:t>
      </w:r>
      <w:r>
        <w:rPr>
          <w:rFonts w:ascii="仿宋" w:eastAsia="仿宋" w:hAnsi="仿宋" w:cs="仿宋"/>
        </w:rPr>
        <w:t>个。强化生物多样性保护，全面完成第二轮全域生物多样性调查，持续完善生物多样性本底数据库，发布常州市生态系统名录和生物物种名录，探索形成生物多样性监测的地方标</w:t>
      </w:r>
      <w:r>
        <w:rPr>
          <w:rFonts w:ascii="仿宋" w:eastAsia="仿宋" w:hAnsi="仿宋" w:cs="仿宋"/>
        </w:rPr>
        <w:lastRenderedPageBreak/>
        <w:t>准规范。加大生物多样性观测网络建设，在太湖、宜溧山区、长江沿线等重点敏感区域增加观测站点建设，构建全市生物多样性观测</w:t>
      </w:r>
      <w:r>
        <w:rPr>
          <w:rFonts w:ascii="仿宋" w:eastAsia="仿宋" w:hAnsi="仿宋" w:cs="仿宋"/>
        </w:rPr>
        <w:t>体系。与湖州、无锡和苏州联合参与环太湖保护行动，筹备做好环太湖</w:t>
      </w:r>
      <w:r>
        <w:rPr>
          <w:rFonts w:ascii="仿宋" w:eastAsia="仿宋" w:hAnsi="仿宋" w:cs="仿宋"/>
        </w:rPr>
        <w:t>“</w:t>
      </w:r>
      <w:r>
        <w:rPr>
          <w:rFonts w:ascii="仿宋" w:eastAsia="仿宋" w:hAnsi="仿宋" w:cs="仿宋"/>
        </w:rPr>
        <w:t>昆蒙框架</w:t>
      </w:r>
      <w:r>
        <w:rPr>
          <w:rFonts w:ascii="仿宋" w:eastAsia="仿宋" w:hAnsi="仿宋" w:cs="仿宋"/>
        </w:rPr>
        <w:t>”</w:t>
      </w:r>
      <w:r>
        <w:rPr>
          <w:rFonts w:ascii="仿宋" w:eastAsia="仿宋" w:hAnsi="仿宋" w:cs="仿宋"/>
        </w:rPr>
        <w:t>实施联盟暨全省生物多样性日宣传活动。</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（六）深化</w:t>
      </w:r>
      <w:r>
        <w:rPr>
          <w:rFonts w:ascii="仿宋" w:eastAsia="仿宋" w:hAnsi="仿宋" w:cs="仿宋"/>
        </w:rPr>
        <w:t>“</w:t>
      </w:r>
      <w:r>
        <w:rPr>
          <w:rFonts w:ascii="仿宋" w:eastAsia="仿宋" w:hAnsi="仿宋" w:cs="仿宋"/>
        </w:rPr>
        <w:t>危污乱散低</w:t>
      </w:r>
      <w:r>
        <w:rPr>
          <w:rFonts w:ascii="仿宋" w:eastAsia="仿宋" w:hAnsi="仿宋" w:cs="仿宋"/>
        </w:rPr>
        <w:t>”</w:t>
      </w:r>
      <w:r>
        <w:rPr>
          <w:rFonts w:ascii="仿宋" w:eastAsia="仿宋" w:hAnsi="仿宋" w:cs="仿宋"/>
        </w:rPr>
        <w:t>治理。推动</w:t>
      </w:r>
      <w:r>
        <w:rPr>
          <w:rFonts w:ascii="仿宋" w:eastAsia="仿宋" w:hAnsi="仿宋" w:cs="仿宋"/>
        </w:rPr>
        <w:t>4</w:t>
      </w:r>
      <w:r>
        <w:rPr>
          <w:rFonts w:ascii="仿宋" w:eastAsia="仿宋" w:hAnsi="仿宋" w:cs="仿宋"/>
        </w:rPr>
        <w:t>大行业绿色集聚带动转型，高标准建设新北表面处理中心、经开涂料园区等绿色集聚区项目，打造全国领先行业标杆、近零碳园区示范，实现八大指标</w:t>
      </w:r>
      <w:r>
        <w:rPr>
          <w:rFonts w:ascii="仿宋" w:eastAsia="仿宋" w:hAnsi="仿宋" w:cs="仿宋"/>
        </w:rPr>
        <w:t>“</w:t>
      </w:r>
      <w:r>
        <w:rPr>
          <w:rFonts w:ascii="仿宋" w:eastAsia="仿宋" w:hAnsi="仿宋" w:cs="仿宋"/>
        </w:rPr>
        <w:t>六降两升</w:t>
      </w:r>
      <w:r>
        <w:rPr>
          <w:rFonts w:ascii="仿宋" w:eastAsia="仿宋" w:hAnsi="仿宋" w:cs="仿宋"/>
        </w:rPr>
        <w:t>”</w:t>
      </w:r>
      <w:r>
        <w:rPr>
          <w:rFonts w:ascii="仿宋" w:eastAsia="仿宋" w:hAnsi="仿宋" w:cs="仿宋"/>
        </w:rPr>
        <w:t>。</w:t>
      </w:r>
      <w:r>
        <w:rPr>
          <w:rFonts w:ascii="仿宋" w:eastAsia="仿宋" w:hAnsi="仿宋" w:cs="仿宋"/>
        </w:rPr>
        <w:t>5</w:t>
      </w:r>
      <w:r>
        <w:rPr>
          <w:rFonts w:ascii="仿宋" w:eastAsia="仿宋" w:hAnsi="仿宋" w:cs="仿宋"/>
        </w:rPr>
        <w:t>个特色产业以示范引领带动转型，对标先进工艺、先进装备、先进技术拿出行业治理标准，通过高端增量带动低端存量去除，为新兴产业和未来产业腾拓发展空间、扩资源总量，进而引领整个行业的高质量发展。</w:t>
      </w:r>
      <w:r>
        <w:rPr>
          <w:rFonts w:ascii="仿宋" w:eastAsia="仿宋" w:hAnsi="仿宋" w:cs="仿宋"/>
        </w:rPr>
        <w:t>7</w:t>
      </w:r>
      <w:r>
        <w:rPr>
          <w:rFonts w:ascii="仿宋" w:eastAsia="仿宋" w:hAnsi="仿宋" w:cs="仿宋"/>
        </w:rPr>
        <w:t>个板块片区治理以多元融合带动</w:t>
      </w:r>
      <w:r>
        <w:rPr>
          <w:rFonts w:ascii="仿宋" w:eastAsia="仿宋" w:hAnsi="仿宋" w:cs="仿宋"/>
        </w:rPr>
        <w:t>转型，深化低效用地再开发国家级试点，推动园区提质增效，实现资源配置优化、经济效能提级、产业质态跃升，推进片区治理项目</w:t>
      </w:r>
      <w:r>
        <w:rPr>
          <w:rFonts w:ascii="仿宋" w:eastAsia="仿宋" w:hAnsi="仿宋" w:cs="仿宋"/>
        </w:rPr>
        <w:t>43</w:t>
      </w:r>
      <w:r>
        <w:rPr>
          <w:rFonts w:ascii="仿宋" w:eastAsia="仿宋" w:hAnsi="仿宋" w:cs="仿宋"/>
        </w:rPr>
        <w:t>个，腾退、盘活土地</w:t>
      </w:r>
      <w:r>
        <w:rPr>
          <w:rFonts w:ascii="仿宋" w:eastAsia="仿宋" w:hAnsi="仿宋" w:cs="仿宋"/>
        </w:rPr>
        <w:t>2</w:t>
      </w:r>
      <w:r>
        <w:rPr>
          <w:rFonts w:ascii="仿宋" w:eastAsia="仿宋" w:hAnsi="仿宋" w:cs="仿宋"/>
        </w:rPr>
        <w:t>万亩。点状问题企业出清筑牢安全屏障，形成部门合力，将</w:t>
      </w:r>
      <w:r>
        <w:rPr>
          <w:rFonts w:ascii="仿宋" w:eastAsia="仿宋" w:hAnsi="仿宋" w:cs="仿宋"/>
        </w:rPr>
        <w:t>“</w:t>
      </w:r>
      <w:r>
        <w:rPr>
          <w:rFonts w:ascii="仿宋" w:eastAsia="仿宋" w:hAnsi="仿宋" w:cs="仿宋"/>
        </w:rPr>
        <w:t>危污乱散低</w:t>
      </w:r>
      <w:r>
        <w:rPr>
          <w:rFonts w:ascii="仿宋" w:eastAsia="仿宋" w:hAnsi="仿宋" w:cs="仿宋"/>
        </w:rPr>
        <w:t>”</w:t>
      </w:r>
      <w:r>
        <w:rPr>
          <w:rFonts w:ascii="仿宋" w:eastAsia="仿宋" w:hAnsi="仿宋" w:cs="仿宋"/>
        </w:rPr>
        <w:t>企业整治提升与</w:t>
      </w:r>
      <w:r>
        <w:rPr>
          <w:rFonts w:ascii="仿宋" w:eastAsia="仿宋" w:hAnsi="仿宋" w:cs="仿宋"/>
        </w:rPr>
        <w:t>“</w:t>
      </w:r>
      <w:r>
        <w:rPr>
          <w:rFonts w:ascii="仿宋" w:eastAsia="仿宋" w:hAnsi="仿宋" w:cs="仿宋"/>
        </w:rPr>
        <w:t>厂中厂</w:t>
      </w:r>
      <w:r>
        <w:rPr>
          <w:rFonts w:ascii="仿宋" w:eastAsia="仿宋" w:hAnsi="仿宋" w:cs="仿宋"/>
        </w:rPr>
        <w:t>”</w:t>
      </w:r>
      <w:r>
        <w:rPr>
          <w:rFonts w:ascii="仿宋" w:eastAsia="仿宋" w:hAnsi="仿宋" w:cs="仿宋"/>
        </w:rPr>
        <w:t>企业治理协同推进，执行</w:t>
      </w:r>
      <w:r>
        <w:rPr>
          <w:rFonts w:ascii="仿宋" w:eastAsia="仿宋" w:hAnsi="仿宋" w:cs="仿宋"/>
        </w:rPr>
        <w:t>“</w:t>
      </w:r>
      <w:r>
        <w:rPr>
          <w:rFonts w:ascii="仿宋" w:eastAsia="仿宋" w:hAnsi="仿宋" w:cs="仿宋"/>
        </w:rPr>
        <w:t>先评后租</w:t>
      </w:r>
      <w:r>
        <w:rPr>
          <w:rFonts w:ascii="仿宋" w:eastAsia="仿宋" w:hAnsi="仿宋" w:cs="仿宋"/>
        </w:rPr>
        <w:t>”</w:t>
      </w:r>
      <w:r>
        <w:rPr>
          <w:rFonts w:ascii="仿宋" w:eastAsia="仿宋" w:hAnsi="仿宋" w:cs="仿宋"/>
        </w:rPr>
        <w:t>，落实负面清单管理制度，收牢安全底线。强化政策供给，探索生态环境治理创新模式，积极推广生态环境导向开发（</w:t>
      </w:r>
      <w:r>
        <w:rPr>
          <w:rFonts w:ascii="仿宋" w:eastAsia="仿宋" w:hAnsi="仿宋" w:cs="仿宋"/>
        </w:rPr>
        <w:t>EOD</w:t>
      </w:r>
      <w:r>
        <w:rPr>
          <w:rFonts w:ascii="仿宋" w:eastAsia="仿宋" w:hAnsi="仿宋" w:cs="仿宋"/>
        </w:rPr>
        <w:t>）模式，争取新融资模式支持。引导金融机构持续做大</w:t>
      </w:r>
      <w:r>
        <w:rPr>
          <w:rFonts w:ascii="仿宋" w:eastAsia="仿宋" w:hAnsi="仿宋" w:cs="仿宋"/>
        </w:rPr>
        <w:t>“</w:t>
      </w:r>
      <w:r>
        <w:rPr>
          <w:rFonts w:ascii="仿宋" w:eastAsia="仿宋" w:hAnsi="仿宋" w:cs="仿宋"/>
        </w:rPr>
        <w:t>环保贷</w:t>
      </w:r>
      <w:r>
        <w:rPr>
          <w:rFonts w:ascii="仿宋" w:eastAsia="仿宋" w:hAnsi="仿宋" w:cs="仿宋"/>
        </w:rPr>
        <w:t>”</w:t>
      </w:r>
      <w:r>
        <w:rPr>
          <w:rFonts w:ascii="仿宋" w:eastAsia="仿宋" w:hAnsi="仿宋" w:cs="仿宋"/>
        </w:rPr>
        <w:t>，协同推进</w:t>
      </w:r>
      <w:r>
        <w:rPr>
          <w:rFonts w:ascii="仿宋" w:eastAsia="仿宋" w:hAnsi="仿宋" w:cs="仿宋"/>
        </w:rPr>
        <w:t>“</w:t>
      </w:r>
      <w:r>
        <w:rPr>
          <w:rFonts w:ascii="仿宋" w:eastAsia="仿宋" w:hAnsi="仿宋" w:cs="仿宋"/>
        </w:rPr>
        <w:t>环保担</w:t>
      </w:r>
      <w:r>
        <w:rPr>
          <w:rFonts w:ascii="仿宋" w:eastAsia="仿宋" w:hAnsi="仿宋" w:cs="仿宋"/>
        </w:rPr>
        <w:t>”</w:t>
      </w:r>
      <w:r>
        <w:rPr>
          <w:rFonts w:ascii="仿宋" w:eastAsia="仿宋" w:hAnsi="仿宋" w:cs="仿宋"/>
        </w:rPr>
        <w:t>，为优质企业及项目提供额度更高、周期更长的金融产品。结合</w:t>
      </w:r>
      <w:r>
        <w:rPr>
          <w:rFonts w:ascii="仿宋" w:eastAsia="仿宋" w:hAnsi="仿宋" w:cs="仿宋"/>
        </w:rPr>
        <w:t>“</w:t>
      </w:r>
      <w:r>
        <w:rPr>
          <w:rFonts w:ascii="仿宋" w:eastAsia="仿宋" w:hAnsi="仿宋" w:cs="仿宋"/>
        </w:rPr>
        <w:t>两</w:t>
      </w:r>
      <w:r>
        <w:rPr>
          <w:rFonts w:ascii="仿宋" w:eastAsia="仿宋" w:hAnsi="仿宋" w:cs="仿宋"/>
        </w:rPr>
        <w:t>新</w:t>
      </w:r>
      <w:r>
        <w:rPr>
          <w:rFonts w:ascii="仿宋" w:eastAsia="仿宋" w:hAnsi="仿宋" w:cs="仿宋"/>
        </w:rPr>
        <w:t>”</w:t>
      </w:r>
      <w:r>
        <w:rPr>
          <w:rFonts w:ascii="仿宋" w:eastAsia="仿宋" w:hAnsi="仿宋" w:cs="仿宋"/>
        </w:rPr>
        <w:t>建设设备更新和循环利用等政策，积极做好超长期特别国债项目储备。</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七）坚决守牢生态环境安全。持续开展专项执法行动，围绕持续改善生态环境质量，坚持目标导向和问题导向相结合，开展太湖安全度夏、大气监督帮扶、生态领域等执法检查，严厉打击各类环境违法行为。不断提升环境执法水平，扎实开展年度执法大练兵、大比武活动，落实</w:t>
      </w:r>
      <w:r>
        <w:rPr>
          <w:rFonts w:ascii="仿宋" w:eastAsia="仿宋" w:hAnsi="仿宋" w:cs="仿宋"/>
        </w:rPr>
        <w:t>“</w:t>
      </w:r>
      <w:r>
        <w:rPr>
          <w:rFonts w:ascii="仿宋" w:eastAsia="仿宋" w:hAnsi="仿宋" w:cs="仿宋"/>
        </w:rPr>
        <w:t>全员、全年、全过程</w:t>
      </w:r>
      <w:r>
        <w:rPr>
          <w:rFonts w:ascii="仿宋" w:eastAsia="仿宋" w:hAnsi="仿宋" w:cs="仿宋"/>
        </w:rPr>
        <w:t>”</w:t>
      </w:r>
      <w:r>
        <w:rPr>
          <w:rFonts w:ascii="仿宋" w:eastAsia="仿宋" w:hAnsi="仿宋" w:cs="仿宋"/>
        </w:rPr>
        <w:t>练兵要求，开展执法培训、知识竞赛、案件评查、发布典型案例等活动，规范执法程序、增强业务本领、提升执法能力。夯实环境应急基础，扎实推进</w:t>
      </w:r>
      <w:r>
        <w:rPr>
          <w:rFonts w:ascii="仿宋" w:eastAsia="仿宋" w:hAnsi="仿宋" w:cs="仿宋"/>
        </w:rPr>
        <w:t>“</w:t>
      </w:r>
      <w:r>
        <w:rPr>
          <w:rFonts w:ascii="仿宋" w:eastAsia="仿宋" w:hAnsi="仿宋" w:cs="仿宋"/>
        </w:rPr>
        <w:t>强基提能</w:t>
      </w:r>
      <w:r>
        <w:rPr>
          <w:rFonts w:ascii="仿宋" w:eastAsia="仿宋" w:hAnsi="仿宋" w:cs="仿宋"/>
        </w:rPr>
        <w:t>”</w:t>
      </w:r>
      <w:r>
        <w:rPr>
          <w:rFonts w:ascii="仿宋" w:eastAsia="仿宋" w:hAnsi="仿宋" w:cs="仿宋"/>
        </w:rPr>
        <w:t>三年行动，严格落实</w:t>
      </w:r>
      <w:r>
        <w:rPr>
          <w:rFonts w:ascii="仿宋" w:eastAsia="仿宋" w:hAnsi="仿宋" w:cs="仿宋"/>
        </w:rPr>
        <w:t>“</w:t>
      </w:r>
      <w:r>
        <w:rPr>
          <w:rFonts w:ascii="仿宋" w:eastAsia="仿宋" w:hAnsi="仿宋" w:cs="仿宋"/>
        </w:rPr>
        <w:t>一图两单两卡</w:t>
      </w:r>
      <w:r>
        <w:rPr>
          <w:rFonts w:ascii="仿宋" w:eastAsia="仿宋" w:hAnsi="仿宋" w:cs="仿宋"/>
        </w:rPr>
        <w:t>”</w:t>
      </w:r>
      <w:r>
        <w:rPr>
          <w:rFonts w:ascii="仿宋" w:eastAsia="仿宋" w:hAnsi="仿宋" w:cs="仿宋"/>
        </w:rPr>
        <w:t>管理，推动园区</w:t>
      </w:r>
      <w:r>
        <w:rPr>
          <w:rFonts w:ascii="仿宋" w:eastAsia="仿宋" w:hAnsi="仿宋" w:cs="仿宋"/>
        </w:rPr>
        <w:t>“</w:t>
      </w:r>
      <w:r>
        <w:rPr>
          <w:rFonts w:ascii="仿宋" w:eastAsia="仿宋" w:hAnsi="仿宋" w:cs="仿宋"/>
        </w:rPr>
        <w:t>三级防控</w:t>
      </w:r>
      <w:r>
        <w:rPr>
          <w:rFonts w:ascii="仿宋" w:eastAsia="仿宋" w:hAnsi="仿宋" w:cs="仿宋"/>
        </w:rPr>
        <w:t>”</w:t>
      </w:r>
      <w:r>
        <w:rPr>
          <w:rFonts w:ascii="仿宋" w:eastAsia="仿宋" w:hAnsi="仿宋" w:cs="仿宋"/>
        </w:rPr>
        <w:t>体系完善升级，完善突发环境事件隐患排查制度，常态化开展隐患排查治理。加强突出问题整改，制定第三轮中央生态环境保护督察反馈问题整改方案，推动中央、省生态环境保护督察反馈问题整改。强化群众反映强烈或新闻媒体曝光的重点环境问题督查督办，切实解决一批群众身边的热点、难点生态环境问题。擦亮</w:t>
      </w:r>
      <w:r>
        <w:rPr>
          <w:rFonts w:ascii="仿宋" w:eastAsia="仿宋" w:hAnsi="仿宋" w:cs="仿宋"/>
        </w:rPr>
        <w:t>“</w:t>
      </w:r>
      <w:r>
        <w:rPr>
          <w:rFonts w:ascii="仿宋" w:eastAsia="仿宋" w:hAnsi="仿宋" w:cs="仿宋"/>
        </w:rPr>
        <w:t>无废城市</w:t>
      </w:r>
      <w:r>
        <w:rPr>
          <w:rFonts w:ascii="仿宋" w:eastAsia="仿宋" w:hAnsi="仿宋" w:cs="仿宋"/>
        </w:rPr>
        <w:t>”</w:t>
      </w:r>
      <w:r>
        <w:rPr>
          <w:rFonts w:ascii="仿宋" w:eastAsia="仿宋" w:hAnsi="仿宋" w:cs="仿宋"/>
        </w:rPr>
        <w:t>品牌，扩大</w:t>
      </w:r>
      <w:r>
        <w:rPr>
          <w:rFonts w:ascii="仿宋" w:eastAsia="仿宋" w:hAnsi="仿宋" w:cs="仿宋"/>
        </w:rPr>
        <w:t>“</w:t>
      </w:r>
      <w:r>
        <w:rPr>
          <w:rFonts w:ascii="仿宋" w:eastAsia="仿宋" w:hAnsi="仿宋" w:cs="仿宋"/>
        </w:rPr>
        <w:t>无废细胞</w:t>
      </w:r>
      <w:r>
        <w:rPr>
          <w:rFonts w:ascii="仿宋" w:eastAsia="仿宋" w:hAnsi="仿宋" w:cs="仿宋"/>
        </w:rPr>
        <w:t>”</w:t>
      </w:r>
      <w:r>
        <w:rPr>
          <w:rFonts w:ascii="仿宋" w:eastAsia="仿宋" w:hAnsi="仿宋" w:cs="仿宋"/>
        </w:rPr>
        <w:t>创建范围至更多领域，形成多元参与的全社会共建格局。持续推广</w:t>
      </w:r>
      <w:r>
        <w:rPr>
          <w:rFonts w:ascii="仿宋" w:eastAsia="仿宋" w:hAnsi="仿宋" w:cs="仿宋"/>
        </w:rPr>
        <w:t>“</w:t>
      </w:r>
      <w:r>
        <w:rPr>
          <w:rFonts w:ascii="仿宋" w:eastAsia="仿宋" w:hAnsi="仿宋" w:cs="仿宋"/>
        </w:rPr>
        <w:t>无废</w:t>
      </w:r>
      <w:r>
        <w:rPr>
          <w:rFonts w:ascii="仿宋" w:eastAsia="仿宋" w:hAnsi="仿宋" w:cs="仿宋"/>
        </w:rPr>
        <w:t>”</w:t>
      </w:r>
      <w:r>
        <w:rPr>
          <w:rFonts w:ascii="仿宋" w:eastAsia="仿宋" w:hAnsi="仿宋" w:cs="仿宋"/>
        </w:rPr>
        <w:t>生活理念，通过线上线下平台普及废物减量与分类知识，鼓励居民和企业采取绿色生活方式。</w:t>
      </w:r>
    </w:p>
    <w:p w:rsidR="00C357BF" w:rsidRDefault="004517BF">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（八）持续锻造生态环</w:t>
      </w:r>
      <w:r>
        <w:rPr>
          <w:rFonts w:ascii="仿宋" w:eastAsia="仿宋" w:hAnsi="仿宋" w:cs="仿宋"/>
        </w:rPr>
        <w:t>保铁军。抓学习教育与改善环境质量</w:t>
      </w:r>
      <w:r>
        <w:rPr>
          <w:rFonts w:ascii="仿宋" w:eastAsia="仿宋" w:hAnsi="仿宋" w:cs="仿宋"/>
        </w:rPr>
        <w:t>“</w:t>
      </w:r>
      <w:r>
        <w:rPr>
          <w:rFonts w:ascii="仿宋" w:eastAsia="仿宋" w:hAnsi="仿宋" w:cs="仿宋"/>
        </w:rPr>
        <w:t>双共促</w:t>
      </w:r>
      <w:r>
        <w:rPr>
          <w:rFonts w:ascii="仿宋" w:eastAsia="仿宋" w:hAnsi="仿宋" w:cs="仿宋"/>
        </w:rPr>
        <w:t>”</w:t>
      </w:r>
      <w:r>
        <w:rPr>
          <w:rFonts w:ascii="仿宋" w:eastAsia="仿宋" w:hAnsi="仿宋" w:cs="仿宋"/>
        </w:rPr>
        <w:t>，坚持</w:t>
      </w:r>
      <w:r>
        <w:rPr>
          <w:rFonts w:ascii="仿宋" w:eastAsia="仿宋" w:hAnsi="仿宋" w:cs="仿宋"/>
        </w:rPr>
        <w:t>“</w:t>
      </w:r>
      <w:r>
        <w:rPr>
          <w:rFonts w:ascii="仿宋" w:eastAsia="仿宋" w:hAnsi="仿宋" w:cs="仿宋"/>
        </w:rPr>
        <w:t>第一议题</w:t>
      </w:r>
      <w:r>
        <w:rPr>
          <w:rFonts w:ascii="仿宋" w:eastAsia="仿宋" w:hAnsi="仿宋" w:cs="仿宋"/>
        </w:rPr>
        <w:t>”</w:t>
      </w:r>
      <w:r>
        <w:rPr>
          <w:rFonts w:ascii="仿宋" w:eastAsia="仿宋" w:hAnsi="仿宋" w:cs="仿宋"/>
        </w:rPr>
        <w:t>制度，持续学深悟透新思想新观点新要求，借鉴运用历次党内集中教育的经验做法，进一步深化模范机关建设。以党建与业务双融合为目标，对重点基层党组织实施驻点帮扶，继续将党员干部放到基层一线锻炼培</w:t>
      </w:r>
      <w:r>
        <w:rPr>
          <w:rFonts w:ascii="仿宋" w:eastAsia="仿宋" w:hAnsi="仿宋" w:cs="仿宋"/>
        </w:rPr>
        <w:lastRenderedPageBreak/>
        <w:t>养，推行党建纪检工作同解决生态环境实际问题相结合。抓全面从严治党与队伍廉洁</w:t>
      </w:r>
      <w:r>
        <w:rPr>
          <w:rFonts w:ascii="仿宋" w:eastAsia="仿宋" w:hAnsi="仿宋" w:cs="仿宋"/>
        </w:rPr>
        <w:t>“</w:t>
      </w:r>
      <w:r>
        <w:rPr>
          <w:rFonts w:ascii="仿宋" w:eastAsia="仿宋" w:hAnsi="仿宋" w:cs="仿宋"/>
        </w:rPr>
        <w:t>双渗透</w:t>
      </w:r>
      <w:r>
        <w:rPr>
          <w:rFonts w:ascii="仿宋" w:eastAsia="仿宋" w:hAnsi="仿宋" w:cs="仿宋"/>
        </w:rPr>
        <w:t>”</w:t>
      </w:r>
      <w:r>
        <w:rPr>
          <w:rFonts w:ascii="仿宋" w:eastAsia="仿宋" w:hAnsi="仿宋" w:cs="仿宋"/>
        </w:rPr>
        <w:t>，持续开展</w:t>
      </w:r>
      <w:r>
        <w:rPr>
          <w:rFonts w:ascii="仿宋" w:eastAsia="仿宋" w:hAnsi="仿宋" w:cs="仿宋"/>
        </w:rPr>
        <w:t>“</w:t>
      </w:r>
      <w:r>
        <w:rPr>
          <w:rFonts w:ascii="仿宋" w:eastAsia="仿宋" w:hAnsi="仿宋" w:cs="仿宋"/>
        </w:rPr>
        <w:t>内部巡查</w:t>
      </w:r>
      <w:r>
        <w:rPr>
          <w:rFonts w:ascii="仿宋" w:eastAsia="仿宋" w:hAnsi="仿宋" w:cs="仿宋"/>
        </w:rPr>
        <w:t>”</w:t>
      </w:r>
      <w:r>
        <w:rPr>
          <w:rFonts w:ascii="仿宋" w:eastAsia="仿宋" w:hAnsi="仿宋" w:cs="仿宋"/>
        </w:rPr>
        <w:t>和配合做好</w:t>
      </w:r>
      <w:r>
        <w:rPr>
          <w:rFonts w:ascii="仿宋" w:eastAsia="仿宋" w:hAnsi="仿宋" w:cs="仿宋"/>
        </w:rPr>
        <w:t>“</w:t>
      </w:r>
      <w:r>
        <w:rPr>
          <w:rFonts w:ascii="仿宋" w:eastAsia="仿宋" w:hAnsi="仿宋" w:cs="仿宋"/>
        </w:rPr>
        <w:t>驻点监督</w:t>
      </w:r>
      <w:r>
        <w:rPr>
          <w:rFonts w:ascii="仿宋" w:eastAsia="仿宋" w:hAnsi="仿宋" w:cs="仿宋"/>
        </w:rPr>
        <w:t>”</w:t>
      </w:r>
      <w:r>
        <w:rPr>
          <w:rFonts w:ascii="仿宋" w:eastAsia="仿宋" w:hAnsi="仿宋" w:cs="仿宋"/>
        </w:rPr>
        <w:t>工作，强化</w:t>
      </w:r>
      <w:r>
        <w:rPr>
          <w:rFonts w:ascii="仿宋" w:eastAsia="仿宋" w:hAnsi="仿宋" w:cs="仿宋"/>
        </w:rPr>
        <w:t>“</w:t>
      </w:r>
      <w:r>
        <w:rPr>
          <w:rFonts w:ascii="仿宋" w:eastAsia="仿宋" w:hAnsi="仿宋" w:cs="仿宋"/>
        </w:rPr>
        <w:t>八个小时之外</w:t>
      </w:r>
      <w:r>
        <w:rPr>
          <w:rFonts w:ascii="仿宋" w:eastAsia="仿宋" w:hAnsi="仿宋" w:cs="仿宋"/>
        </w:rPr>
        <w:t>”</w:t>
      </w:r>
      <w:r>
        <w:rPr>
          <w:rFonts w:ascii="仿宋" w:eastAsia="仿宋" w:hAnsi="仿宋" w:cs="仿宋"/>
        </w:rPr>
        <w:t>管理，发现和推动解决系统内存在的突出问题，充分发挥巡察监督的作用。以全面从严治党为主线，以落实</w:t>
      </w:r>
      <w:r>
        <w:rPr>
          <w:rFonts w:ascii="仿宋" w:eastAsia="仿宋" w:hAnsi="仿宋" w:cs="仿宋"/>
        </w:rPr>
        <w:t>“</w:t>
      </w:r>
      <w:r>
        <w:rPr>
          <w:rFonts w:ascii="仿宋" w:eastAsia="仿宋" w:hAnsi="仿宋" w:cs="仿宋"/>
        </w:rPr>
        <w:t>两个责任</w:t>
      </w:r>
      <w:r>
        <w:rPr>
          <w:rFonts w:ascii="仿宋" w:eastAsia="仿宋" w:hAnsi="仿宋" w:cs="仿宋"/>
        </w:rPr>
        <w:t>”</w:t>
      </w:r>
      <w:r>
        <w:rPr>
          <w:rFonts w:ascii="仿宋" w:eastAsia="仿宋" w:hAnsi="仿宋" w:cs="仿宋"/>
        </w:rPr>
        <w:t>为重点</w:t>
      </w:r>
      <w:r>
        <w:rPr>
          <w:rFonts w:ascii="仿宋" w:eastAsia="仿宋" w:hAnsi="仿宋" w:cs="仿宋"/>
        </w:rPr>
        <w:t>，坚持把落实全面从严治党融入治污攻坚各条战线，增强监督执纪力度，进一步促进信访案件的闭环和销号。抓挖掘先进典型和宣传推广</w:t>
      </w:r>
      <w:r>
        <w:rPr>
          <w:rFonts w:ascii="仿宋" w:eastAsia="仿宋" w:hAnsi="仿宋" w:cs="仿宋"/>
        </w:rPr>
        <w:t>“</w:t>
      </w:r>
      <w:r>
        <w:rPr>
          <w:rFonts w:ascii="仿宋" w:eastAsia="仿宋" w:hAnsi="仿宋" w:cs="仿宋"/>
        </w:rPr>
        <w:t>双争先</w:t>
      </w:r>
      <w:r>
        <w:rPr>
          <w:rFonts w:ascii="仿宋" w:eastAsia="仿宋" w:hAnsi="仿宋" w:cs="仿宋"/>
        </w:rPr>
        <w:t>”</w:t>
      </w:r>
      <w:r>
        <w:rPr>
          <w:rFonts w:ascii="仿宋" w:eastAsia="仿宋" w:hAnsi="仿宋" w:cs="仿宋"/>
        </w:rPr>
        <w:t>，以</w:t>
      </w:r>
      <w:r>
        <w:rPr>
          <w:rFonts w:ascii="仿宋" w:eastAsia="仿宋" w:hAnsi="仿宋" w:cs="仿宋"/>
        </w:rPr>
        <w:t>“</w:t>
      </w:r>
      <w:r>
        <w:rPr>
          <w:rFonts w:ascii="仿宋" w:eastAsia="仿宋" w:hAnsi="仿宋" w:cs="仿宋"/>
        </w:rPr>
        <w:t>两湖</w:t>
      </w:r>
      <w:r>
        <w:rPr>
          <w:rFonts w:ascii="仿宋" w:eastAsia="仿宋" w:hAnsi="仿宋" w:cs="仿宋"/>
        </w:rPr>
        <w:t>”</w:t>
      </w:r>
      <w:r>
        <w:rPr>
          <w:rFonts w:ascii="仿宋" w:eastAsia="仿宋" w:hAnsi="仿宋" w:cs="仿宋"/>
        </w:rPr>
        <w:t>创新区机关党建绿色发展</w:t>
      </w:r>
      <w:r>
        <w:rPr>
          <w:rFonts w:ascii="仿宋" w:eastAsia="仿宋" w:hAnsi="仿宋" w:cs="仿宋"/>
        </w:rPr>
        <w:t>“</w:t>
      </w:r>
      <w:r>
        <w:rPr>
          <w:rFonts w:ascii="仿宋" w:eastAsia="仿宋" w:hAnsi="仿宋" w:cs="仿宋"/>
        </w:rPr>
        <w:t>先锋红盟</w:t>
      </w:r>
      <w:r>
        <w:rPr>
          <w:rFonts w:ascii="仿宋" w:eastAsia="仿宋" w:hAnsi="仿宋" w:cs="仿宋"/>
        </w:rPr>
        <w:t>”</w:t>
      </w:r>
      <w:r>
        <w:rPr>
          <w:rFonts w:ascii="仿宋" w:eastAsia="仿宋" w:hAnsi="仿宋" w:cs="仿宋"/>
        </w:rPr>
        <w:t>等建设为抓手，持续开展</w:t>
      </w:r>
      <w:r>
        <w:rPr>
          <w:rFonts w:ascii="仿宋" w:eastAsia="仿宋" w:hAnsi="仿宋" w:cs="仿宋"/>
        </w:rPr>
        <w:t>“</w:t>
      </w:r>
      <w:r>
        <w:rPr>
          <w:rFonts w:ascii="仿宋" w:eastAsia="仿宋" w:hAnsi="仿宋" w:cs="仿宋"/>
        </w:rPr>
        <w:t>争优创先</w:t>
      </w:r>
      <w:r>
        <w:rPr>
          <w:rFonts w:ascii="仿宋" w:eastAsia="仿宋" w:hAnsi="仿宋" w:cs="仿宋"/>
        </w:rPr>
        <w:t>”</w:t>
      </w:r>
      <w:r>
        <w:rPr>
          <w:rFonts w:ascii="仿宋" w:eastAsia="仿宋" w:hAnsi="仿宋" w:cs="仿宋"/>
        </w:rPr>
        <w:t>活动，积极培育党建品牌和单位品牌。挖掘干部队伍存量，加强青年党员干部的培养和锻造，积极宣传先进典型事迹，打造符合新时代发展的生态环保铁军。</w:t>
      </w:r>
    </w:p>
    <w:p w:rsidR="00C357BF" w:rsidRDefault="00C357BF">
      <w:pPr>
        <w:pStyle w:val="a4"/>
        <w:spacing w:line="235" w:lineRule="auto"/>
        <w:ind w:leftChars="300" w:left="669" w:right="2414" w:hanging="9"/>
        <w:jc w:val="both"/>
        <w:rPr>
          <w:rFonts w:ascii="仿宋" w:eastAsia="仿宋" w:hAnsi="仿宋" w:cs="仿宋"/>
        </w:rPr>
        <w:sectPr w:rsidR="00C357BF">
          <w:footerReference w:type="default" r:id="rId14"/>
          <w:pgSz w:w="11906" w:h="16838"/>
          <w:pgMar w:top="1580" w:right="1020" w:bottom="770" w:left="1020" w:header="170" w:footer="280" w:gutter="0"/>
          <w:pgNumType w:fmt="numberInDash"/>
          <w:cols w:space="720"/>
          <w:formProt w:val="0"/>
          <w:docGrid w:linePitch="100"/>
        </w:sectPr>
      </w:pPr>
    </w:p>
    <w:p w:rsidR="00C357BF" w:rsidRDefault="00C357BF">
      <w:pPr>
        <w:pStyle w:val="a4"/>
        <w:spacing w:line="360" w:lineRule="auto"/>
        <w:ind w:leftChars="200" w:left="440" w:rightChars="229" w:right="504" w:firstLine="658"/>
        <w:jc w:val="both"/>
        <w:rPr>
          <w:rFonts w:ascii="仿宋" w:eastAsia="仿宋" w:hAnsi="仿宋" w:cs="仿宋"/>
          <w:lang w:val="en-US"/>
        </w:rPr>
      </w:pPr>
    </w:p>
    <w:p w:rsidR="00C357BF" w:rsidRDefault="00C357BF">
      <w:pPr>
        <w:pStyle w:val="10"/>
        <w:tabs>
          <w:tab w:val="left" w:pos="1609"/>
        </w:tabs>
        <w:spacing w:before="12" w:line="300" w:lineRule="auto"/>
        <w:ind w:left="340" w:right="567" w:firstLine="0"/>
        <w:jc w:val="center"/>
        <w:rPr>
          <w:rFonts w:ascii="仿宋" w:eastAsia="仿宋" w:hAnsi="仿宋" w:cs="仿宋"/>
          <w:b/>
          <w:bCs/>
          <w:sz w:val="44"/>
          <w:szCs w:val="44"/>
        </w:rPr>
      </w:pPr>
    </w:p>
    <w:p w:rsidR="00C357BF" w:rsidRDefault="00C357BF">
      <w:pPr>
        <w:pStyle w:val="10"/>
        <w:tabs>
          <w:tab w:val="left" w:pos="1609"/>
        </w:tabs>
        <w:spacing w:before="12" w:line="300" w:lineRule="auto"/>
        <w:ind w:left="340" w:right="567" w:firstLine="0"/>
        <w:jc w:val="center"/>
        <w:rPr>
          <w:rFonts w:ascii="仿宋" w:eastAsia="仿宋" w:hAnsi="仿宋" w:cs="仿宋"/>
          <w:b/>
          <w:bCs/>
          <w:sz w:val="44"/>
          <w:szCs w:val="44"/>
        </w:rPr>
      </w:pPr>
    </w:p>
    <w:p w:rsidR="00C357BF" w:rsidRDefault="00C357BF">
      <w:pPr>
        <w:pStyle w:val="10"/>
        <w:tabs>
          <w:tab w:val="left" w:pos="1609"/>
        </w:tabs>
        <w:spacing w:before="12" w:line="300" w:lineRule="auto"/>
        <w:ind w:left="340" w:right="567" w:firstLine="0"/>
        <w:jc w:val="center"/>
        <w:rPr>
          <w:rFonts w:ascii="仿宋" w:eastAsia="仿宋" w:hAnsi="仿宋" w:cs="仿宋"/>
          <w:b/>
          <w:bCs/>
          <w:sz w:val="44"/>
          <w:szCs w:val="44"/>
        </w:rPr>
      </w:pPr>
    </w:p>
    <w:p w:rsidR="00C357BF" w:rsidRDefault="00C357BF">
      <w:pPr>
        <w:pStyle w:val="10"/>
        <w:tabs>
          <w:tab w:val="left" w:pos="1609"/>
        </w:tabs>
        <w:spacing w:before="12" w:line="300" w:lineRule="auto"/>
        <w:ind w:left="340" w:right="567" w:firstLine="0"/>
        <w:jc w:val="center"/>
        <w:rPr>
          <w:rFonts w:ascii="仿宋" w:eastAsia="仿宋" w:hAnsi="仿宋" w:cs="仿宋"/>
          <w:b/>
          <w:bCs/>
          <w:sz w:val="44"/>
          <w:szCs w:val="44"/>
        </w:rPr>
      </w:pPr>
    </w:p>
    <w:p w:rsidR="00C357BF" w:rsidRDefault="00C357BF">
      <w:pPr>
        <w:pStyle w:val="10"/>
        <w:tabs>
          <w:tab w:val="left" w:pos="1609"/>
        </w:tabs>
        <w:spacing w:before="12" w:line="300" w:lineRule="auto"/>
        <w:ind w:left="340" w:right="567" w:firstLine="0"/>
        <w:jc w:val="center"/>
        <w:rPr>
          <w:rFonts w:ascii="仿宋" w:eastAsia="仿宋" w:hAnsi="仿宋" w:cs="仿宋"/>
          <w:b/>
          <w:bCs/>
          <w:sz w:val="44"/>
          <w:szCs w:val="44"/>
        </w:rPr>
      </w:pPr>
    </w:p>
    <w:p w:rsidR="00C357BF" w:rsidRDefault="00C357BF">
      <w:pPr>
        <w:pStyle w:val="10"/>
        <w:tabs>
          <w:tab w:val="left" w:pos="1609"/>
        </w:tabs>
        <w:spacing w:before="12" w:line="300" w:lineRule="auto"/>
        <w:ind w:left="340" w:right="567" w:firstLine="0"/>
        <w:jc w:val="center"/>
        <w:rPr>
          <w:rFonts w:ascii="仿宋" w:eastAsia="仿宋" w:hAnsi="仿宋" w:cs="仿宋"/>
          <w:b/>
          <w:bCs/>
          <w:sz w:val="44"/>
          <w:szCs w:val="44"/>
        </w:rPr>
      </w:pPr>
    </w:p>
    <w:p w:rsidR="00C357BF" w:rsidRDefault="004517BF">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C357BF" w:rsidRDefault="004517BF">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2025</w:t>
      </w:r>
      <w:r>
        <w:rPr>
          <w:rFonts w:ascii="仿宋" w:eastAsia="仿宋" w:hAnsi="仿宋" w:cs="仿宋" w:hint="eastAsia"/>
          <w:b/>
          <w:bCs/>
          <w:sz w:val="44"/>
          <w:szCs w:val="44"/>
        </w:rPr>
        <w:t>年度</w:t>
      </w:r>
    </w:p>
    <w:p w:rsidR="00C357BF" w:rsidRDefault="004517BF">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常州市生态环境局</w:t>
      </w:r>
    </w:p>
    <w:p w:rsidR="00C357BF" w:rsidRDefault="004517BF">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C357BF">
        <w:trPr>
          <w:trHeight w:val="116"/>
          <w:jc w:val="center"/>
        </w:trPr>
        <w:tc>
          <w:tcPr>
            <w:tcW w:w="11329" w:type="dxa"/>
            <w:gridSpan w:val="5"/>
            <w:vAlign w:val="center"/>
          </w:tcPr>
          <w:p w:rsidR="00C357BF" w:rsidRDefault="004517BF">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C357BF">
        <w:trPr>
          <w:trHeight w:val="348"/>
          <w:jc w:val="center"/>
        </w:trPr>
        <w:tc>
          <w:tcPr>
            <w:tcW w:w="11329" w:type="dxa"/>
            <w:gridSpan w:val="5"/>
          </w:tcPr>
          <w:p w:rsidR="00C357BF" w:rsidRDefault="004517BF">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C357BF">
        <w:trPr>
          <w:trHeight w:val="333"/>
          <w:jc w:val="center"/>
        </w:trPr>
        <w:tc>
          <w:tcPr>
            <w:tcW w:w="9481" w:type="dxa"/>
            <w:gridSpan w:val="3"/>
            <w:tcBorders>
              <w:bottom w:val="single" w:sz="4" w:space="0" w:color="000000"/>
            </w:tcBorders>
            <w:vAlign w:val="center"/>
          </w:tcPr>
          <w:p w:rsidR="00C357BF" w:rsidRDefault="004517BF">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常州市生态环境局</w:t>
            </w:r>
          </w:p>
        </w:tc>
        <w:tc>
          <w:tcPr>
            <w:tcW w:w="1848" w:type="dxa"/>
            <w:gridSpan w:val="2"/>
            <w:tcBorders>
              <w:bottom w:val="single" w:sz="4" w:space="0" w:color="000000"/>
            </w:tcBorders>
            <w:vAlign w:val="center"/>
          </w:tcPr>
          <w:p w:rsidR="00C357BF" w:rsidRDefault="004517BF">
            <w:pPr>
              <w:jc w:val="right"/>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hint="eastAsia"/>
                <w:color w:val="000000"/>
              </w:rPr>
              <w:t>：万元</w:t>
            </w:r>
          </w:p>
        </w:tc>
      </w:tr>
      <w:tr w:rsidR="00C357BF">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C357BF">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27,233.00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30.00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52.64</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22.64</w:t>
            </w: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58.65</w:t>
            </w: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26,092.10</w:t>
            </w: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r>
              <w:rPr>
                <w:rFonts w:ascii="仿宋" w:eastAsia="仿宋" w:hAnsi="仿宋" w:cs="仿宋" w:hint="eastAsia"/>
                <w:color w:val="000000"/>
                <w:lang w:eastAsia="ar-SA"/>
              </w:rPr>
              <w:t xml:space="preserve"> </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1,142.25</w:t>
            </w: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C357BF">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keepNext/>
              <w:keepLines/>
              <w:jc w:val="right"/>
              <w:rPr>
                <w:rFonts w:ascii="仿宋" w:eastAsia="仿宋" w:hAnsi="仿宋" w:cs="仿宋"/>
                <w:color w:val="000000"/>
                <w:lang w:eastAsia="ar-SA"/>
              </w:rPr>
            </w:pPr>
          </w:p>
        </w:tc>
      </w:tr>
      <w:tr w:rsidR="00C357BF">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right"/>
              <w:rPr>
                <w:rFonts w:ascii="仿宋" w:eastAsia="仿宋" w:hAnsi="仿宋" w:cs="仿宋"/>
                <w:b/>
                <w:bCs/>
                <w:color w:val="000000"/>
                <w:lang w:val="en-US"/>
              </w:rPr>
            </w:pPr>
            <w:r>
              <w:rPr>
                <w:rFonts w:ascii="仿宋" w:eastAsia="仿宋" w:hAnsi="仿宋" w:cs="仿宋" w:hint="eastAsia"/>
                <w:b/>
                <w:bCs/>
                <w:color w:val="000000"/>
                <w:lang w:val="en-US"/>
              </w:rPr>
              <w:t>27,315.64</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right"/>
              <w:rPr>
                <w:rFonts w:ascii="仿宋" w:eastAsia="仿宋" w:hAnsi="仿宋" w:cs="仿宋"/>
                <w:b/>
                <w:bCs/>
                <w:color w:val="000000"/>
                <w:lang w:val="en-US"/>
              </w:rPr>
            </w:pPr>
            <w:r>
              <w:rPr>
                <w:rFonts w:ascii="仿宋" w:eastAsia="仿宋" w:hAnsi="仿宋" w:cs="仿宋" w:hint="eastAsia"/>
                <w:b/>
                <w:bCs/>
                <w:color w:val="000000"/>
                <w:lang w:val="en-US"/>
              </w:rPr>
              <w:t>27,315.64</w:t>
            </w:r>
          </w:p>
        </w:tc>
      </w:tr>
      <w:tr w:rsidR="00C357BF">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C357BF">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C357BF">
            <w:pPr>
              <w:jc w:val="right"/>
              <w:rPr>
                <w:rFonts w:ascii="仿宋" w:eastAsia="仿宋" w:hAnsi="仿宋" w:cs="仿宋"/>
                <w:b/>
                <w:bCs/>
                <w:color w:val="000000"/>
                <w:lang w:val="en-US"/>
              </w:rPr>
            </w:pPr>
          </w:p>
        </w:tc>
      </w:tr>
      <w:tr w:rsidR="00C357BF">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27,315.64</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C357BF" w:rsidRDefault="004517BF">
            <w:pPr>
              <w:jc w:val="right"/>
              <w:rPr>
                <w:rFonts w:ascii="仿宋" w:eastAsia="仿宋" w:hAnsi="仿宋" w:cs="仿宋"/>
                <w:b/>
                <w:bCs/>
                <w:color w:val="000000"/>
                <w:lang w:val="en-US"/>
              </w:rPr>
            </w:pPr>
            <w:r>
              <w:rPr>
                <w:rFonts w:ascii="仿宋" w:eastAsia="仿宋" w:hAnsi="仿宋" w:cs="仿宋" w:hint="eastAsia"/>
                <w:b/>
                <w:bCs/>
                <w:color w:val="000000"/>
                <w:lang w:val="en-US"/>
              </w:rPr>
              <w:t>27,315.64</w:t>
            </w:r>
          </w:p>
        </w:tc>
      </w:tr>
    </w:tbl>
    <w:p w:rsidR="00C357BF" w:rsidRDefault="00C357BF">
      <w:pPr>
        <w:spacing w:before="66"/>
        <w:rPr>
          <w:rFonts w:ascii="仿宋" w:eastAsia="仿宋" w:hAnsi="仿宋" w:cs="仿宋"/>
          <w:b/>
          <w:bCs/>
          <w:color w:val="000000"/>
        </w:rPr>
        <w:sectPr w:rsidR="00C357BF">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C357BF">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C357BF" w:rsidRDefault="004517BF">
            <w:pPr>
              <w:pStyle w:val="TableParagraph"/>
              <w:rPr>
                <w:rFonts w:ascii="仿宋" w:eastAsia="仿宋" w:hAnsi="仿宋" w:cs="仿宋"/>
                <w:lang w:val="en-US"/>
              </w:rPr>
            </w:pPr>
            <w:r>
              <w:rPr>
                <w:rFonts w:ascii="仿宋" w:eastAsia="仿宋" w:hAnsi="仿宋" w:cs="仿宋" w:hint="eastAsia"/>
              </w:rPr>
              <w:lastRenderedPageBreak/>
              <w:t>公开</w:t>
            </w:r>
            <w:r>
              <w:rPr>
                <w:rFonts w:ascii="仿宋" w:eastAsia="仿宋" w:hAnsi="仿宋" w:cs="仿宋" w:hint="eastAsia"/>
              </w:rPr>
              <w:t>02</w:t>
            </w:r>
            <w:r>
              <w:rPr>
                <w:rFonts w:ascii="仿宋" w:eastAsia="仿宋" w:hAnsi="仿宋" w:cs="仿宋" w:hint="eastAsia"/>
              </w:rPr>
              <w:t>表</w:t>
            </w:r>
          </w:p>
        </w:tc>
      </w:tr>
      <w:tr w:rsidR="00C357BF">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C357BF" w:rsidRDefault="004517BF">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C357BF">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C357BF" w:rsidRDefault="004517BF">
            <w:pPr>
              <w:pStyle w:val="TableParagraph"/>
              <w:jc w:val="bot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单位</w:t>
            </w:r>
            <w:r>
              <w:rPr>
                <w:rFonts w:ascii="仿宋" w:eastAsia="仿宋" w:hAnsi="仿宋" w:cs="仿宋" w:hint="eastAsia"/>
              </w:rPr>
              <w:t>：万元</w:t>
            </w:r>
          </w:p>
        </w:tc>
      </w:tr>
      <w:tr w:rsidR="00C357BF">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C357BF">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C357BF" w:rsidRDefault="004517BF">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C357BF">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27,315.64</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27,315.64</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27,233.00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30.00</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52.64</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val="en-US"/>
              </w:rPr>
            </w:pPr>
          </w:p>
        </w:tc>
      </w:tr>
      <w:tr w:rsidR="00C357BF">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033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27,315.64</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27,315.64</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27,233.00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30.00</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52.64</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r>
      <w:tr w:rsidR="00C357BF">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22,960.15</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22,960.15</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22,960.15</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r>
      <w:tr w:rsidR="00C357BF">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常州市生态环境综合行政执法局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1,441.24</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1,441.24</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1,441.24</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r>
      <w:tr w:rsidR="00C357BF">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w:t>
            </w:r>
            <w:r>
              <w:rPr>
                <w:rFonts w:ascii="仿宋" w:eastAsia="仿宋" w:hAnsi="仿宋" w:cs="仿宋" w:hint="eastAsia"/>
                <w:color w:val="000000"/>
                <w:sz w:val="15"/>
                <w:szCs w:val="15"/>
                <w:lang w:eastAsia="ar-SA"/>
              </w:rPr>
              <w:t xml:space="preserve"> 033004</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常州市环境科学研究院</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485.37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485.37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402.73</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30.00</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52.64</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r>
      <w:tr w:rsidR="00C357BF">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常州市生态环境监控中心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2,428.88</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2,428.88</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2,428.88</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pacing w:line="34" w:lineRule="atLeast"/>
              <w:ind w:right="45"/>
              <w:jc w:val="right"/>
              <w:rPr>
                <w:rFonts w:ascii="仿宋" w:eastAsia="仿宋" w:hAnsi="仿宋" w:cs="仿宋"/>
                <w:color w:val="000000"/>
                <w:sz w:val="15"/>
                <w:szCs w:val="15"/>
                <w:lang w:eastAsia="ar-SA"/>
              </w:rPr>
            </w:pPr>
          </w:p>
        </w:tc>
      </w:tr>
    </w:tbl>
    <w:p w:rsidR="00C357BF" w:rsidRDefault="00C357BF">
      <w:pPr>
        <w:spacing w:before="66"/>
        <w:rPr>
          <w:rFonts w:ascii="仿宋" w:eastAsia="仿宋" w:hAnsi="仿宋" w:cs="仿宋"/>
          <w:b/>
          <w:bCs/>
        </w:rPr>
        <w:sectPr w:rsidR="00C357BF">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C357BF">
        <w:trPr>
          <w:trHeight w:val="341"/>
        </w:trPr>
        <w:tc>
          <w:tcPr>
            <w:tcW w:w="15347" w:type="dxa"/>
            <w:gridSpan w:val="8"/>
            <w:vAlign w:val="center"/>
          </w:tcPr>
          <w:p w:rsidR="00C357BF" w:rsidRDefault="004517BF">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w:t>
            </w:r>
            <w:r>
              <w:rPr>
                <w:rFonts w:ascii="仿宋" w:eastAsia="仿宋" w:hAnsi="仿宋" w:cs="仿宋" w:hint="eastAsia"/>
                <w:sz w:val="22"/>
                <w:szCs w:val="22"/>
              </w:rPr>
              <w:t>03</w:t>
            </w:r>
            <w:r>
              <w:rPr>
                <w:rFonts w:ascii="仿宋" w:eastAsia="仿宋" w:hAnsi="仿宋" w:cs="仿宋" w:hint="eastAsia"/>
                <w:sz w:val="22"/>
                <w:szCs w:val="22"/>
              </w:rPr>
              <w:t>表</w:t>
            </w:r>
          </w:p>
        </w:tc>
      </w:tr>
      <w:tr w:rsidR="00C357BF">
        <w:trPr>
          <w:trHeight w:val="321"/>
        </w:trPr>
        <w:tc>
          <w:tcPr>
            <w:tcW w:w="15347" w:type="dxa"/>
            <w:gridSpan w:val="8"/>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C357BF">
        <w:trPr>
          <w:trHeight w:val="218"/>
        </w:trPr>
        <w:tc>
          <w:tcPr>
            <w:tcW w:w="12030" w:type="dxa"/>
            <w:gridSpan w:val="6"/>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317" w:type="dxa"/>
            <w:gridSpan w:val="2"/>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C357BF">
        <w:trPr>
          <w:trHeight w:val="533"/>
        </w:trPr>
        <w:tc>
          <w:tcPr>
            <w:tcW w:w="1556"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C357BF">
        <w:trPr>
          <w:trHeight w:hRule="exact" w:val="375"/>
        </w:trPr>
        <w:tc>
          <w:tcPr>
            <w:tcW w:w="4779" w:type="dxa"/>
            <w:gridSpan w:val="2"/>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27,315.64</w:t>
            </w:r>
          </w:p>
        </w:tc>
        <w:tc>
          <w:tcPr>
            <w:tcW w:w="1714"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5,120.22</w:t>
            </w:r>
          </w:p>
        </w:tc>
        <w:tc>
          <w:tcPr>
            <w:tcW w:w="1749"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22,195.42</w:t>
            </w:r>
          </w:p>
        </w:tc>
        <w:tc>
          <w:tcPr>
            <w:tcW w:w="1868" w:type="dxa"/>
            <w:tcBorders>
              <w:left w:val="single" w:sz="4" w:space="0" w:color="000000"/>
              <w:bottom w:val="single" w:sz="4" w:space="0" w:color="000000"/>
            </w:tcBorders>
            <w:vAlign w:val="center"/>
          </w:tcPr>
          <w:p w:rsidR="00C357BF" w:rsidRDefault="00C357BF">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C357BF" w:rsidRDefault="00C357BF">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2080501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21.50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21.50</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2080502</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事业单位离退休</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2101103</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211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节能环保支出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26,092.10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3,896.68</w:t>
            </w: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22,195.42</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环境保护管理事务</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24,305.06</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3,896.68</w:t>
            </w: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20,408.38</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2110101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2,588.11</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2,588.11</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2110102</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一般行政管理事务</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20,408.38</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20,408.38</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2110199</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其他环境保护管理事务支出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1,308.57</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1,308.57</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21103</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污染防治</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270.00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270.00</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2110399</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其他污染防治支出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270.00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270.00</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21104</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自然生态保护</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112.64</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112.64</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2110401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生态保护</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112.64</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112.64</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21111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污染减排</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1,404.40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1,404.40</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2111101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生态环境监测与信息</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1,144.40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1,144.40</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lastRenderedPageBreak/>
              <w:t xml:space="preserve">    2111102</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生态环境执法监察</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260.00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260.00</w:t>
            </w: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436.18</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436.18</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r w:rsidR="00C357BF">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397.27</w:t>
            </w:r>
          </w:p>
        </w:tc>
        <w:tc>
          <w:tcPr>
            <w:tcW w:w="1714" w:type="dxa"/>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397.27</w:t>
            </w:r>
          </w:p>
        </w:tc>
        <w:tc>
          <w:tcPr>
            <w:tcW w:w="1749"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C357BF" w:rsidRDefault="00C357BF">
            <w:pPr>
              <w:pStyle w:val="TableParagraph"/>
              <w:jc w:val="right"/>
              <w:rPr>
                <w:rFonts w:ascii="仿宋" w:eastAsia="仿宋" w:hAnsi="仿宋" w:cs="仿宋"/>
              </w:rPr>
            </w:pPr>
          </w:p>
        </w:tc>
      </w:tr>
    </w:tbl>
    <w:p w:rsidR="00C357BF" w:rsidRDefault="00C357BF">
      <w:pPr>
        <w:spacing w:before="59"/>
        <w:ind w:left="57"/>
        <w:rPr>
          <w:rFonts w:ascii="仿宋" w:eastAsia="仿宋" w:hAnsi="仿宋" w:cs="仿宋"/>
          <w:b/>
          <w:bCs/>
        </w:rPr>
        <w:sectPr w:rsidR="00C357BF">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tblPr>
      <w:tblGrid>
        <w:gridCol w:w="3987"/>
        <w:gridCol w:w="3960"/>
        <w:gridCol w:w="3943"/>
        <w:gridCol w:w="3899"/>
      </w:tblGrid>
      <w:tr w:rsidR="00C357BF">
        <w:trPr>
          <w:trHeight w:val="319"/>
        </w:trPr>
        <w:tc>
          <w:tcPr>
            <w:tcW w:w="15789" w:type="dxa"/>
            <w:gridSpan w:val="4"/>
          </w:tcPr>
          <w:p w:rsidR="00C357BF" w:rsidRDefault="004517BF">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04</w:t>
            </w:r>
            <w:r>
              <w:rPr>
                <w:rFonts w:ascii="仿宋" w:eastAsia="仿宋" w:hAnsi="仿宋" w:cs="仿宋" w:hint="eastAsia"/>
              </w:rPr>
              <w:t>表</w:t>
            </w:r>
          </w:p>
        </w:tc>
      </w:tr>
      <w:tr w:rsidR="00C357BF">
        <w:trPr>
          <w:trHeight w:val="319"/>
        </w:trPr>
        <w:tc>
          <w:tcPr>
            <w:tcW w:w="15789" w:type="dxa"/>
            <w:gridSpan w:val="4"/>
          </w:tcPr>
          <w:p w:rsidR="00C357BF" w:rsidRDefault="004517BF">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C357BF">
        <w:trPr>
          <w:trHeight w:val="319"/>
        </w:trPr>
        <w:tc>
          <w:tcPr>
            <w:tcW w:w="11890" w:type="dxa"/>
            <w:gridSpan w:val="3"/>
          </w:tcPr>
          <w:p w:rsidR="00C357BF" w:rsidRDefault="004517BF">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899" w:type="dxa"/>
            <w:vAlign w:val="center"/>
          </w:tcPr>
          <w:p w:rsidR="00C357BF" w:rsidRDefault="004517BF">
            <w:pPr>
              <w:pStyle w:val="TableParagraph"/>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C357BF">
        <w:trPr>
          <w:trHeight w:val="196"/>
        </w:trPr>
        <w:tc>
          <w:tcPr>
            <w:tcW w:w="7947" w:type="dxa"/>
            <w:gridSpan w:val="2"/>
            <w:tcBorders>
              <w:top w:val="single" w:sz="4" w:space="0" w:color="000000"/>
              <w:left w:val="single" w:sz="4" w:space="0" w:color="000000"/>
              <w:bottom w:val="single" w:sz="4" w:space="0" w:color="000000"/>
            </w:tcBorders>
          </w:tcPr>
          <w:p w:rsidR="00C357BF" w:rsidRDefault="004517BF">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r>
            <w:r>
              <w:rPr>
                <w:rFonts w:ascii="仿宋" w:eastAsia="仿宋" w:hAnsi="仿宋" w:cs="仿宋" w:hint="eastAsia"/>
                <w:b/>
                <w:bCs/>
              </w:rPr>
              <w:t>入</w:t>
            </w:r>
          </w:p>
        </w:tc>
        <w:tc>
          <w:tcPr>
            <w:tcW w:w="7842" w:type="dxa"/>
            <w:gridSpan w:val="2"/>
            <w:tcBorders>
              <w:top w:val="single" w:sz="4" w:space="0" w:color="000000"/>
              <w:left w:val="single" w:sz="4" w:space="0" w:color="000000"/>
              <w:bottom w:val="single" w:sz="4" w:space="0" w:color="000000"/>
              <w:right w:val="single" w:sz="4" w:space="0" w:color="000000"/>
            </w:tcBorders>
          </w:tcPr>
          <w:p w:rsidR="00C357BF" w:rsidRDefault="004517BF">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r>
            <w:r>
              <w:rPr>
                <w:rFonts w:ascii="仿宋" w:eastAsia="仿宋" w:hAnsi="仿宋" w:cs="仿宋" w:hint="eastAsia"/>
                <w:b/>
                <w:bCs/>
              </w:rPr>
              <w:t>出</w:t>
            </w:r>
          </w:p>
        </w:tc>
      </w:tr>
      <w:tr w:rsidR="00C357BF">
        <w:trPr>
          <w:trHeight w:val="468"/>
        </w:trPr>
        <w:tc>
          <w:tcPr>
            <w:tcW w:w="3987"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r>
            <w:r>
              <w:rPr>
                <w:rFonts w:ascii="仿宋" w:eastAsia="仿宋" w:hAnsi="仿宋" w:cs="仿宋" w:hint="eastAsia"/>
                <w:b/>
                <w:bCs/>
              </w:rPr>
              <w:t>目</w:t>
            </w:r>
          </w:p>
        </w:tc>
        <w:tc>
          <w:tcPr>
            <w:tcW w:w="3960"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c>
          <w:tcPr>
            <w:tcW w:w="3943" w:type="dxa"/>
            <w:tcBorders>
              <w:left w:val="single" w:sz="4" w:space="0" w:color="000000"/>
              <w:bottom w:val="single" w:sz="4" w:space="0" w:color="000000"/>
            </w:tcBorders>
            <w:vAlign w:val="center"/>
          </w:tcPr>
          <w:p w:rsidR="00C357BF" w:rsidRDefault="004517BF">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27,233.00</w:t>
            </w: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27,233.00</w:t>
            </w: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27,233.00</w:t>
            </w: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22.64</w:t>
            </w: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58.65</w:t>
            </w: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26,009.46</w:t>
            </w: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（十八）援助其他地区支出</w:t>
            </w:r>
            <w:r>
              <w:rPr>
                <w:rFonts w:ascii="仿宋" w:eastAsia="仿宋" w:hAnsi="仿宋" w:cs="仿宋" w:hint="eastAsia"/>
              </w:rPr>
              <w:t xml:space="preserve"> </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1,142.25</w:t>
            </w: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lang w:val="en-US"/>
              </w:rPr>
            </w:pPr>
          </w:p>
        </w:tc>
      </w:tr>
      <w:tr w:rsidR="00C357BF">
        <w:trPr>
          <w:cantSplit/>
          <w:trHeight w:hRule="exact" w:val="296"/>
        </w:trPr>
        <w:tc>
          <w:tcPr>
            <w:tcW w:w="3987"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C357BF" w:rsidRDefault="004517BF">
            <w:pPr>
              <w:jc w:val="right"/>
              <w:rPr>
                <w:rFonts w:ascii="仿宋" w:eastAsia="仿宋" w:hAnsi="仿宋" w:cs="仿宋"/>
              </w:rPr>
            </w:pPr>
            <w:r>
              <w:rPr>
                <w:rFonts w:ascii="仿宋" w:eastAsia="仿宋" w:hAnsi="仿宋" w:cs="仿宋" w:hint="eastAsia"/>
              </w:rPr>
              <w:t>27,233.00</w:t>
            </w:r>
          </w:p>
        </w:tc>
        <w:tc>
          <w:tcPr>
            <w:tcW w:w="3943"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C357BF" w:rsidRDefault="004517BF">
            <w:pPr>
              <w:jc w:val="right"/>
              <w:rPr>
                <w:rFonts w:ascii="仿宋" w:eastAsia="仿宋" w:hAnsi="仿宋" w:cs="仿宋"/>
              </w:rPr>
            </w:pPr>
            <w:r>
              <w:rPr>
                <w:rFonts w:ascii="仿宋" w:eastAsia="仿宋" w:hAnsi="仿宋" w:cs="仿宋" w:hint="eastAsia"/>
              </w:rPr>
              <w:t>27,233.00</w:t>
            </w:r>
          </w:p>
        </w:tc>
      </w:tr>
    </w:tbl>
    <w:p w:rsidR="00C357BF" w:rsidRDefault="00C357BF">
      <w:pPr>
        <w:ind w:leftChars="-100" w:left="-220"/>
        <w:rPr>
          <w:rFonts w:ascii="仿宋" w:eastAsia="仿宋" w:hAnsi="仿宋" w:cs="仿宋"/>
          <w:b/>
          <w:bCs/>
        </w:rPr>
        <w:sectPr w:rsidR="00C357BF">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C357BF">
        <w:trPr>
          <w:trHeight w:val="321"/>
        </w:trPr>
        <w:tc>
          <w:tcPr>
            <w:tcW w:w="15216" w:type="dxa"/>
            <w:gridSpan w:val="7"/>
            <w:vAlign w:val="center"/>
          </w:tcPr>
          <w:p w:rsidR="00C357BF" w:rsidRDefault="004517BF">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05</w:t>
            </w:r>
            <w:r>
              <w:rPr>
                <w:rFonts w:ascii="仿宋" w:eastAsia="仿宋" w:hAnsi="仿宋" w:cs="仿宋" w:hint="eastAsia"/>
              </w:rPr>
              <w:t>表</w:t>
            </w:r>
          </w:p>
        </w:tc>
      </w:tr>
      <w:tr w:rsidR="00C357BF">
        <w:trPr>
          <w:trHeight w:val="321"/>
        </w:trPr>
        <w:tc>
          <w:tcPr>
            <w:tcW w:w="15216" w:type="dxa"/>
            <w:gridSpan w:val="7"/>
          </w:tcPr>
          <w:p w:rsidR="00C357BF" w:rsidRDefault="004517BF">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C357BF">
        <w:trPr>
          <w:trHeight w:val="309"/>
        </w:trPr>
        <w:tc>
          <w:tcPr>
            <w:tcW w:w="13552" w:type="dxa"/>
            <w:gridSpan w:val="6"/>
          </w:tcPr>
          <w:p w:rsidR="00C357BF" w:rsidRDefault="004517BF">
            <w:pPr>
              <w:pStyle w:val="TableParagraph"/>
              <w:spacing w:after="34" w:line="34" w:lineRule="atLeast"/>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1664" w:type="dxa"/>
            <w:vAlign w:val="center"/>
          </w:tcPr>
          <w:p w:rsidR="00C357BF" w:rsidRDefault="004517BF">
            <w:pPr>
              <w:pStyle w:val="TableParagraph"/>
              <w:spacing w:after="34" w:line="34" w:lineRule="atLeast"/>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C357BF">
        <w:trPr>
          <w:trHeight w:val="319"/>
        </w:trPr>
        <w:tc>
          <w:tcPr>
            <w:tcW w:w="1846" w:type="dxa"/>
            <w:vMerge w:val="restart"/>
            <w:tcBorders>
              <w:top w:val="single" w:sz="6" w:space="0" w:color="000000"/>
              <w:left w:val="single" w:sz="6"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C357BF">
        <w:trPr>
          <w:trHeight w:val="296"/>
        </w:trPr>
        <w:tc>
          <w:tcPr>
            <w:tcW w:w="1846" w:type="dxa"/>
            <w:vMerge/>
            <w:tcBorders>
              <w:left w:val="single" w:sz="6" w:space="0" w:color="000000"/>
              <w:bottom w:val="single" w:sz="6" w:space="0" w:color="000000"/>
            </w:tcBorders>
            <w:vAlign w:val="center"/>
          </w:tcPr>
          <w:p w:rsidR="00C357BF" w:rsidRDefault="00C357BF">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C357BF" w:rsidRDefault="00C357BF">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C357BF" w:rsidRDefault="00C357BF">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C357BF" w:rsidRDefault="004517BF">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C357BF" w:rsidRDefault="004517BF">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C357BF" w:rsidRDefault="004517BF">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C357BF" w:rsidRDefault="00C357BF">
            <w:pPr>
              <w:spacing w:after="34" w:line="34" w:lineRule="atLeast"/>
              <w:rPr>
                <w:rFonts w:ascii="仿宋" w:eastAsia="仿宋" w:hAnsi="仿宋" w:cs="仿宋"/>
              </w:rPr>
            </w:pPr>
          </w:p>
        </w:tc>
      </w:tr>
      <w:tr w:rsidR="00C357BF">
        <w:trPr>
          <w:trHeight w:hRule="exact" w:val="350"/>
        </w:trPr>
        <w:tc>
          <w:tcPr>
            <w:tcW w:w="6059" w:type="dxa"/>
            <w:gridSpan w:val="2"/>
            <w:tcBorders>
              <w:left w:val="single" w:sz="6" w:space="0" w:color="000000"/>
              <w:bottom w:val="single" w:sz="6" w:space="0" w:color="000000"/>
            </w:tcBorders>
            <w:vAlign w:val="center"/>
          </w:tcPr>
          <w:p w:rsidR="00C357BF" w:rsidRDefault="004517BF">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27,233.00</w:t>
            </w:r>
          </w:p>
        </w:tc>
        <w:tc>
          <w:tcPr>
            <w:tcW w:w="1827" w:type="dxa"/>
            <w:tcBorders>
              <w:left w:val="single" w:sz="6" w:space="0" w:color="000000"/>
              <w:bottom w:val="single" w:sz="6" w:space="0" w:color="000000"/>
            </w:tcBorders>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5,120.22</w:t>
            </w:r>
          </w:p>
        </w:tc>
        <w:tc>
          <w:tcPr>
            <w:tcW w:w="1813" w:type="dxa"/>
            <w:tcBorders>
              <w:left w:val="single" w:sz="6" w:space="0" w:color="000000"/>
              <w:bottom w:val="single" w:sz="6" w:space="0" w:color="000000"/>
            </w:tcBorders>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4,798.09</w:t>
            </w:r>
          </w:p>
        </w:tc>
        <w:tc>
          <w:tcPr>
            <w:tcW w:w="1813" w:type="dxa"/>
            <w:tcBorders>
              <w:left w:val="single" w:sz="6" w:space="0" w:color="000000"/>
              <w:bottom w:val="single" w:sz="6" w:space="0" w:color="000000"/>
            </w:tcBorders>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322.13</w:t>
            </w:r>
          </w:p>
        </w:tc>
        <w:tc>
          <w:tcPr>
            <w:tcW w:w="1664" w:type="dxa"/>
            <w:tcBorders>
              <w:left w:val="single" w:sz="6" w:space="0" w:color="000000"/>
              <w:bottom w:val="single" w:sz="6" w:space="0" w:color="000000"/>
              <w:right w:val="single" w:sz="6" w:space="0" w:color="000000"/>
            </w:tcBorders>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22,112.78</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22.64</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22.64</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22.64</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22.64</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22.64</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22.64</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2080501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21.50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21.50</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21.50</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2080502</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事业单位离退休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2101103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58.65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211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节能环保支出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26,009.46</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3,896.68</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3,574.55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322.13</w:t>
            </w: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22,112.78</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环境保护管理事务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24,305.06</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3,896.68</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3,574.55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322.13</w:t>
            </w: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20,408.38</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2,588.11</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2,588.11</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2,356.37</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231.74</w:t>
            </w: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2110102</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一般行政管理事务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20,408.38</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20,408.38</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其他环境保护管理事务支出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1,308.57</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1,308.57</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1,218.18</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90.39</w:t>
            </w: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污染防治</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270.00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270.00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2110399</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其他污染防治支出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270.00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270.00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21104</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自然生态保护</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30.00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2110401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生态保护</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30.00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21111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污染减排</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1,404.40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1,404.40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lastRenderedPageBreak/>
              <w:t xml:space="preserve">    2111101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生态环境监测与信息</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1,144.40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1,144.40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2111102</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生态环境执法监察</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260.00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260.00</w:t>
            </w: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1,142.25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1,142.25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1,142.25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1,142.25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1,142.25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1,142.25</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308.80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308.80</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308.80</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436.18</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436.18</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436.18</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r w:rsidR="00C357BF">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 xml:space="preserve">    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397.27</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397.27</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spacing w:after="34" w:line="34" w:lineRule="atLeast"/>
              <w:jc w:val="right"/>
              <w:rPr>
                <w:rFonts w:ascii="仿宋" w:eastAsia="仿宋" w:hAnsi="仿宋" w:cs="仿宋"/>
              </w:rPr>
            </w:pPr>
            <w:r>
              <w:rPr>
                <w:rFonts w:ascii="仿宋" w:eastAsia="仿宋" w:hAnsi="仿宋" w:cs="仿宋" w:hint="eastAsia"/>
              </w:rPr>
              <w:t>397.27</w:t>
            </w:r>
          </w:p>
        </w:tc>
        <w:tc>
          <w:tcPr>
            <w:tcW w:w="181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spacing w:after="34" w:line="34" w:lineRule="atLeast"/>
              <w:jc w:val="right"/>
              <w:rPr>
                <w:rFonts w:ascii="仿宋" w:eastAsia="仿宋" w:hAnsi="仿宋" w:cs="仿宋"/>
              </w:rPr>
            </w:pPr>
          </w:p>
        </w:tc>
      </w:tr>
    </w:tbl>
    <w:p w:rsidR="00C357BF" w:rsidRDefault="00C357BF">
      <w:pPr>
        <w:tabs>
          <w:tab w:val="left" w:pos="55"/>
        </w:tabs>
        <w:jc w:val="both"/>
        <w:rPr>
          <w:rFonts w:ascii="仿宋" w:eastAsia="仿宋" w:hAnsi="仿宋" w:cs="仿宋"/>
          <w:b/>
          <w:bCs/>
        </w:rPr>
        <w:sectPr w:rsidR="00C357BF">
          <w:footerReference w:type="default" r:id="rId19"/>
          <w:pgSz w:w="16838" w:h="11906" w:orient="landscape"/>
          <w:pgMar w:top="720" w:right="720" w:bottom="720" w:left="720" w:header="170" w:footer="280" w:gutter="0"/>
          <w:pgNumType w:fmt="numberInDash"/>
          <w:cols w:space="720"/>
          <w:formProt w:val="0"/>
          <w:docGrid w:linePitch="100"/>
        </w:sectPr>
      </w:pPr>
    </w:p>
    <w:p w:rsidR="00C357BF" w:rsidRDefault="00C357BF">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C357BF">
        <w:trPr>
          <w:trHeight w:val="319"/>
        </w:trPr>
        <w:tc>
          <w:tcPr>
            <w:tcW w:w="10817" w:type="dxa"/>
            <w:gridSpan w:val="5"/>
            <w:vAlign w:val="center"/>
          </w:tcPr>
          <w:p w:rsidR="00C357BF" w:rsidRDefault="004517BF">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C357BF">
        <w:trPr>
          <w:trHeight w:val="319"/>
        </w:trPr>
        <w:tc>
          <w:tcPr>
            <w:tcW w:w="10817" w:type="dxa"/>
            <w:gridSpan w:val="5"/>
          </w:tcPr>
          <w:p w:rsidR="00C357BF" w:rsidRDefault="004517BF">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C357BF">
        <w:trPr>
          <w:trHeight w:val="319"/>
        </w:trPr>
        <w:tc>
          <w:tcPr>
            <w:tcW w:w="8760" w:type="dxa"/>
            <w:gridSpan w:val="4"/>
          </w:tcPr>
          <w:p w:rsidR="00C357BF" w:rsidRDefault="004517BF">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2057" w:type="dxa"/>
            <w:vAlign w:val="center"/>
          </w:tcPr>
          <w:p w:rsidR="00C357BF" w:rsidRDefault="004517BF">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C357BF">
        <w:trPr>
          <w:trHeight w:val="243"/>
        </w:trPr>
        <w:tc>
          <w:tcPr>
            <w:tcW w:w="4673" w:type="dxa"/>
            <w:gridSpan w:val="2"/>
            <w:tcBorders>
              <w:top w:val="single" w:sz="4" w:space="0" w:color="000000"/>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C357BF">
        <w:trPr>
          <w:trHeight w:val="267"/>
        </w:trPr>
        <w:tc>
          <w:tcPr>
            <w:tcW w:w="1131"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公用经费</w:t>
            </w:r>
          </w:p>
        </w:tc>
      </w:tr>
      <w:tr w:rsidR="00C357BF">
        <w:trPr>
          <w:trHeight w:hRule="exact" w:val="350"/>
        </w:trPr>
        <w:tc>
          <w:tcPr>
            <w:tcW w:w="4673" w:type="dxa"/>
            <w:gridSpan w:val="2"/>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5,120.22</w:t>
            </w:r>
          </w:p>
        </w:tc>
        <w:tc>
          <w:tcPr>
            <w:tcW w:w="2040"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4,798.09</w:t>
            </w:r>
          </w:p>
        </w:tc>
        <w:tc>
          <w:tcPr>
            <w:tcW w:w="2057" w:type="dxa"/>
            <w:tcBorders>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4,607.03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4,607.03</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644.73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644.73</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1,296.01</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1,296.01</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1,142.98</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1,142.98</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332.13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332.13</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392.39</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392.39</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196.19</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196.19</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103.23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103.23</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4.57</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4.57</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127.35</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127.35</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59.40</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59.40</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4.25</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4.25</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11.05</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11.05</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122.44</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122.44</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9.51</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9.51</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7.63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7.63</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6.78</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6.78</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23.76</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23.76</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3.37</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3.37</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70.34</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70.34</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0.10</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0.10</w:t>
            </w: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191.06</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191.06</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23.00</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23.00</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163.66</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163.66</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0.13</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4.27</w:t>
            </w:r>
          </w:p>
        </w:tc>
        <w:tc>
          <w:tcPr>
            <w:tcW w:w="2040"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4.27</w:t>
            </w:r>
          </w:p>
        </w:tc>
        <w:tc>
          <w:tcPr>
            <w:tcW w:w="2057"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bl>
    <w:p w:rsidR="00C357BF" w:rsidRDefault="00C357BF">
      <w:pPr>
        <w:spacing w:line="255" w:lineRule="exact"/>
        <w:rPr>
          <w:rFonts w:ascii="仿宋" w:eastAsia="仿宋" w:hAnsi="仿宋" w:cs="仿宋"/>
          <w:b/>
          <w:bCs/>
        </w:rPr>
        <w:sectPr w:rsidR="00C357BF">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C357BF">
        <w:trPr>
          <w:trHeight w:val="321"/>
        </w:trPr>
        <w:tc>
          <w:tcPr>
            <w:tcW w:w="15216" w:type="dxa"/>
            <w:gridSpan w:val="7"/>
            <w:vAlign w:val="center"/>
          </w:tcPr>
          <w:p w:rsidR="00C357BF" w:rsidRDefault="004517BF">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w:t>
            </w:r>
            <w:r>
              <w:rPr>
                <w:rFonts w:ascii="仿宋" w:eastAsia="仿宋" w:hAnsi="仿宋" w:cs="仿宋" w:hint="eastAsia"/>
                <w:lang w:val="en-US"/>
              </w:rPr>
              <w:t>7</w:t>
            </w:r>
            <w:r>
              <w:rPr>
                <w:rFonts w:ascii="仿宋" w:eastAsia="仿宋" w:hAnsi="仿宋" w:cs="仿宋" w:hint="eastAsia"/>
              </w:rPr>
              <w:t>表</w:t>
            </w:r>
          </w:p>
        </w:tc>
      </w:tr>
      <w:tr w:rsidR="00C357BF">
        <w:trPr>
          <w:trHeight w:val="321"/>
        </w:trPr>
        <w:tc>
          <w:tcPr>
            <w:tcW w:w="15216" w:type="dxa"/>
            <w:gridSpan w:val="7"/>
          </w:tcPr>
          <w:p w:rsidR="00C357BF" w:rsidRDefault="004517BF">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C357BF">
        <w:trPr>
          <w:trHeight w:val="288"/>
        </w:trPr>
        <w:tc>
          <w:tcPr>
            <w:tcW w:w="13566" w:type="dxa"/>
            <w:gridSpan w:val="6"/>
          </w:tcPr>
          <w:p w:rsidR="00C357BF" w:rsidRDefault="004517BF">
            <w:pPr>
              <w:pStyle w:val="TableParagraph"/>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1650" w:type="dxa"/>
            <w:vAlign w:val="center"/>
          </w:tcPr>
          <w:p w:rsidR="00C357BF" w:rsidRDefault="004517BF">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C357BF">
        <w:trPr>
          <w:trHeight w:val="319"/>
        </w:trPr>
        <w:tc>
          <w:tcPr>
            <w:tcW w:w="1792" w:type="dxa"/>
            <w:vMerge w:val="restart"/>
            <w:tcBorders>
              <w:top w:val="single" w:sz="6" w:space="0" w:color="000000"/>
              <w:left w:val="single" w:sz="6"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项目支出</w:t>
            </w:r>
          </w:p>
        </w:tc>
      </w:tr>
      <w:tr w:rsidR="00C357BF">
        <w:trPr>
          <w:trHeight w:val="341"/>
        </w:trPr>
        <w:tc>
          <w:tcPr>
            <w:tcW w:w="1792" w:type="dxa"/>
            <w:vMerge/>
            <w:tcBorders>
              <w:left w:val="single" w:sz="6" w:space="0" w:color="000000"/>
              <w:bottom w:val="single" w:sz="6" w:space="0" w:color="000000"/>
            </w:tcBorders>
            <w:vAlign w:val="center"/>
          </w:tcPr>
          <w:p w:rsidR="00C357BF" w:rsidRDefault="00C357BF">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C357BF" w:rsidRDefault="00C357BF">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C357BF" w:rsidRDefault="00C357BF">
            <w:pPr>
              <w:rPr>
                <w:rFonts w:ascii="仿宋" w:eastAsia="仿宋" w:hAnsi="仿宋" w:cs="仿宋"/>
              </w:rPr>
            </w:pPr>
          </w:p>
        </w:tc>
        <w:tc>
          <w:tcPr>
            <w:tcW w:w="1693" w:type="dxa"/>
            <w:tcBorders>
              <w:left w:val="single" w:sz="6" w:space="0" w:color="000000"/>
              <w:bottom w:val="single" w:sz="6" w:space="0" w:color="000000"/>
            </w:tcBorders>
            <w:vAlign w:val="center"/>
          </w:tcPr>
          <w:p w:rsidR="00C357BF" w:rsidRDefault="004517BF">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C357BF" w:rsidRDefault="004517BF">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C357BF" w:rsidRDefault="004517BF">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C357BF" w:rsidRDefault="00C357BF">
            <w:pPr>
              <w:rPr>
                <w:rFonts w:ascii="仿宋" w:eastAsia="仿宋" w:hAnsi="仿宋" w:cs="仿宋"/>
              </w:rPr>
            </w:pPr>
          </w:p>
        </w:tc>
      </w:tr>
      <w:tr w:rsidR="00C357BF">
        <w:trPr>
          <w:trHeight w:hRule="exact" w:val="378"/>
        </w:trPr>
        <w:tc>
          <w:tcPr>
            <w:tcW w:w="6099" w:type="dxa"/>
            <w:gridSpan w:val="2"/>
            <w:tcBorders>
              <w:left w:val="single" w:sz="6" w:space="0" w:color="000000"/>
              <w:bottom w:val="single" w:sz="6"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27,233.00</w:t>
            </w:r>
          </w:p>
        </w:tc>
        <w:tc>
          <w:tcPr>
            <w:tcW w:w="1693" w:type="dxa"/>
            <w:tcBorders>
              <w:left w:val="single" w:sz="6" w:space="0" w:color="000000"/>
              <w:bottom w:val="single" w:sz="6"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5,120.22</w:t>
            </w:r>
          </w:p>
        </w:tc>
        <w:tc>
          <w:tcPr>
            <w:tcW w:w="1987" w:type="dxa"/>
            <w:tcBorders>
              <w:left w:val="single" w:sz="6" w:space="0" w:color="000000"/>
              <w:bottom w:val="single" w:sz="6"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4,798.09</w:t>
            </w:r>
          </w:p>
        </w:tc>
        <w:tc>
          <w:tcPr>
            <w:tcW w:w="1827" w:type="dxa"/>
            <w:tcBorders>
              <w:left w:val="single" w:sz="6" w:space="0" w:color="000000"/>
              <w:bottom w:val="single" w:sz="6"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322.13</w:t>
            </w:r>
          </w:p>
        </w:tc>
        <w:tc>
          <w:tcPr>
            <w:tcW w:w="1650" w:type="dxa"/>
            <w:tcBorders>
              <w:left w:val="single" w:sz="6" w:space="0" w:color="000000"/>
              <w:bottom w:val="single" w:sz="6" w:space="0" w:color="000000"/>
              <w:right w:val="single" w:sz="6" w:space="0" w:color="000000"/>
            </w:tcBorders>
          </w:tcPr>
          <w:p w:rsidR="00C357BF" w:rsidRDefault="004517BF">
            <w:pPr>
              <w:pStyle w:val="TableParagraph"/>
              <w:jc w:val="right"/>
              <w:rPr>
                <w:rFonts w:ascii="仿宋" w:eastAsia="仿宋" w:hAnsi="仿宋" w:cs="仿宋"/>
              </w:rPr>
            </w:pPr>
            <w:r>
              <w:rPr>
                <w:rFonts w:ascii="仿宋" w:eastAsia="仿宋" w:hAnsi="仿宋" w:cs="仿宋" w:hint="eastAsia"/>
              </w:rPr>
              <w:t>22,112.78</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22.64</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2080501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21.50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21.50</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21.50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2080502</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事业单位离退休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2101103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211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节能环保支出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26,009.46</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3,896.68</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3,574.55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22,112.78</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环境保护管理事务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24,305.06</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3,896.68</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3,574.55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20,408.38</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2,588.11</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2,588.11</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2,356.37</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231.74</w:t>
            </w: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2110102</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一般行政管理事务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20,408.38</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20,408.38</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其他环境保护管理事务支出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1,308.57</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1,308.57</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1,218.18</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90.39</w:t>
            </w: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污染防治</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270.00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270.00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2110399</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其他污染防治支出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270.00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270.00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21104</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自然生态保护</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30.00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2110401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生态保护</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30.00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21111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污染减排</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1,404.40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1,404.40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2111101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生态环境监测与信息</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1,144.40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1,144.40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lastRenderedPageBreak/>
              <w:t xml:space="preserve">    2111102</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生态环境执法监察</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260.00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260.00</w:t>
            </w: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1,142.25</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436.18</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436.18</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436.18</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397.27</w:t>
            </w:r>
          </w:p>
        </w:tc>
        <w:tc>
          <w:tcPr>
            <w:tcW w:w="1693"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397.27</w:t>
            </w:r>
          </w:p>
        </w:tc>
        <w:tc>
          <w:tcPr>
            <w:tcW w:w="1987" w:type="dxa"/>
            <w:tcBorders>
              <w:top w:val="single" w:sz="6" w:space="0" w:color="000000"/>
              <w:left w:val="single" w:sz="4" w:space="0" w:color="000000"/>
              <w:bottom w:val="single" w:sz="6"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397.27</w:t>
            </w:r>
          </w:p>
        </w:tc>
        <w:tc>
          <w:tcPr>
            <w:tcW w:w="1827" w:type="dxa"/>
            <w:tcBorders>
              <w:top w:val="single" w:sz="6" w:space="0" w:color="000000"/>
              <w:left w:val="single" w:sz="4" w:space="0" w:color="000000"/>
              <w:bottom w:val="single" w:sz="6"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C357BF" w:rsidRDefault="00C357BF">
            <w:pPr>
              <w:pStyle w:val="TableParagraph"/>
              <w:jc w:val="right"/>
              <w:rPr>
                <w:rFonts w:ascii="仿宋" w:eastAsia="仿宋" w:hAnsi="仿宋" w:cs="仿宋"/>
              </w:rPr>
            </w:pPr>
          </w:p>
        </w:tc>
      </w:tr>
    </w:tbl>
    <w:p w:rsidR="00C357BF" w:rsidRDefault="00C357BF">
      <w:pPr>
        <w:spacing w:before="25"/>
        <w:rPr>
          <w:rFonts w:ascii="仿宋" w:eastAsia="仿宋" w:hAnsi="仿宋" w:cs="仿宋"/>
          <w:b/>
          <w:bCs/>
        </w:rPr>
        <w:sectPr w:rsidR="00C357BF">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tblPr>
      <w:tblGrid>
        <w:gridCol w:w="1227"/>
        <w:gridCol w:w="3667"/>
        <w:gridCol w:w="2413"/>
        <w:gridCol w:w="1974"/>
        <w:gridCol w:w="1673"/>
      </w:tblGrid>
      <w:tr w:rsidR="00C357BF">
        <w:trPr>
          <w:trHeight w:val="319"/>
        </w:trPr>
        <w:tc>
          <w:tcPr>
            <w:tcW w:w="10954" w:type="dxa"/>
            <w:gridSpan w:val="5"/>
          </w:tcPr>
          <w:p w:rsidR="00C357BF" w:rsidRDefault="004517BF">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08</w:t>
            </w:r>
            <w:r>
              <w:rPr>
                <w:rFonts w:ascii="仿宋" w:eastAsia="仿宋" w:hAnsi="仿宋" w:cs="仿宋" w:hint="eastAsia"/>
              </w:rPr>
              <w:t>表</w:t>
            </w:r>
          </w:p>
        </w:tc>
      </w:tr>
      <w:tr w:rsidR="00C357BF">
        <w:trPr>
          <w:trHeight w:val="189"/>
        </w:trPr>
        <w:tc>
          <w:tcPr>
            <w:tcW w:w="10954" w:type="dxa"/>
            <w:gridSpan w:val="5"/>
          </w:tcPr>
          <w:p w:rsidR="00C357BF" w:rsidRDefault="004517BF">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C357BF">
        <w:trPr>
          <w:trHeight w:val="138"/>
        </w:trPr>
        <w:tc>
          <w:tcPr>
            <w:tcW w:w="9281" w:type="dxa"/>
            <w:gridSpan w:val="4"/>
            <w:vAlign w:val="center"/>
          </w:tcPr>
          <w:p w:rsidR="00C357BF" w:rsidRDefault="004517BF">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1673" w:type="dxa"/>
            <w:vAlign w:val="center"/>
          </w:tcPr>
          <w:p w:rsidR="00C357BF" w:rsidRDefault="004517BF">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C357BF">
        <w:trPr>
          <w:trHeight w:val="180"/>
        </w:trPr>
        <w:tc>
          <w:tcPr>
            <w:tcW w:w="4894" w:type="dxa"/>
            <w:gridSpan w:val="2"/>
            <w:tcBorders>
              <w:top w:val="single" w:sz="4" w:space="0" w:color="000000"/>
              <w:left w:val="single" w:sz="4" w:space="0" w:color="000000"/>
              <w:bottom w:val="single" w:sz="4" w:space="0" w:color="000000"/>
            </w:tcBorders>
            <w:vAlign w:val="center"/>
          </w:tcPr>
          <w:p w:rsidR="00C357BF" w:rsidRDefault="004517BF">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C357BF" w:rsidRDefault="004517BF">
            <w:pPr>
              <w:jc w:val="center"/>
              <w:rPr>
                <w:rFonts w:ascii="仿宋" w:eastAsia="仿宋" w:hAnsi="仿宋" w:cs="仿宋"/>
              </w:rPr>
            </w:pPr>
            <w:r>
              <w:rPr>
                <w:rFonts w:ascii="仿宋" w:eastAsia="仿宋" w:hAnsi="仿宋" w:cs="仿宋" w:hint="eastAsia"/>
              </w:rPr>
              <w:t>本年一般公共预算基本支出</w:t>
            </w:r>
          </w:p>
        </w:tc>
      </w:tr>
      <w:tr w:rsidR="00C357BF">
        <w:trPr>
          <w:trHeight w:val="190"/>
        </w:trPr>
        <w:tc>
          <w:tcPr>
            <w:tcW w:w="1227"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公用经费</w:t>
            </w:r>
          </w:p>
        </w:tc>
      </w:tr>
      <w:tr w:rsidR="00C357BF">
        <w:trPr>
          <w:trHeight w:hRule="exact" w:val="382"/>
        </w:trPr>
        <w:tc>
          <w:tcPr>
            <w:tcW w:w="4894" w:type="dxa"/>
            <w:gridSpan w:val="2"/>
            <w:tcBorders>
              <w:left w:val="single" w:sz="4" w:space="0" w:color="000000"/>
              <w:bottom w:val="single" w:sz="4" w:space="0" w:color="000000"/>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5,120.22</w:t>
            </w:r>
          </w:p>
        </w:tc>
        <w:tc>
          <w:tcPr>
            <w:tcW w:w="1974" w:type="dxa"/>
            <w:tcBorders>
              <w:left w:val="single" w:sz="4" w:space="0" w:color="000000"/>
              <w:bottom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4,798.09</w:t>
            </w:r>
          </w:p>
        </w:tc>
        <w:tc>
          <w:tcPr>
            <w:tcW w:w="1673" w:type="dxa"/>
            <w:tcBorders>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4,607.03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4,607.03</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644.73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644.73</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1,296.01</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1,296.01</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1,142.98</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1,142.98</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30107</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332.13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332.13</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392.39</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392.39</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196.19</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196.19</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103.23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103.23</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58.65</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4.57</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4.57</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308.80</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30199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127.35</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127.35</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322.13</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59.40</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59.40</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30205</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4.25</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4.25</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11.05</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11.05</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122.44</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122.44</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9.51</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9.51</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7.63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7.63</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6.78</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6.78</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23.76</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23.76</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30229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3.37</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3.37</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30231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公务用车运行维护费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70.34</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70.34</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0.10</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0.10</w:t>
            </w: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191.06</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191.06</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30301</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离休费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23.00</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23.00</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163.66</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163.66</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0.13</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0.13</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r w:rsidR="00C357BF">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 xml:space="preserve">  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4.27</w:t>
            </w:r>
          </w:p>
        </w:tc>
        <w:tc>
          <w:tcPr>
            <w:tcW w:w="1974" w:type="dxa"/>
            <w:tcBorders>
              <w:top w:val="single" w:sz="4" w:space="0" w:color="000000"/>
              <w:left w:val="single" w:sz="4" w:space="0" w:color="000000"/>
              <w:bottom w:val="single" w:sz="4" w:space="0" w:color="000000"/>
              <w:right w:val="single" w:sz="4" w:space="0" w:color="000000"/>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4.27</w:t>
            </w:r>
          </w:p>
        </w:tc>
        <w:tc>
          <w:tcPr>
            <w:tcW w:w="1673" w:type="dxa"/>
            <w:tcBorders>
              <w:top w:val="single" w:sz="4" w:space="0" w:color="000000"/>
              <w:left w:val="single" w:sz="4" w:space="0" w:color="000000"/>
              <w:bottom w:val="single" w:sz="4" w:space="0" w:color="000000"/>
              <w:right w:val="single" w:sz="4" w:space="0" w:color="000000"/>
            </w:tcBorders>
            <w:vAlign w:val="center"/>
          </w:tcPr>
          <w:p w:rsidR="00C357BF" w:rsidRDefault="00C357BF">
            <w:pPr>
              <w:pStyle w:val="TableParagraph"/>
              <w:jc w:val="right"/>
              <w:rPr>
                <w:rFonts w:ascii="仿宋" w:eastAsia="仿宋" w:hAnsi="仿宋" w:cs="仿宋"/>
              </w:rPr>
            </w:pPr>
          </w:p>
        </w:tc>
      </w:tr>
    </w:tbl>
    <w:p w:rsidR="00C357BF" w:rsidRDefault="00C357BF">
      <w:pPr>
        <w:spacing w:before="25"/>
        <w:rPr>
          <w:rFonts w:ascii="仿宋" w:eastAsia="仿宋" w:hAnsi="仿宋" w:cs="仿宋"/>
          <w:b/>
          <w:bCs/>
        </w:rPr>
        <w:sectPr w:rsidR="00C357BF">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C357BF">
        <w:trPr>
          <w:trHeight w:val="321"/>
        </w:trPr>
        <w:tc>
          <w:tcPr>
            <w:tcW w:w="15909" w:type="dxa"/>
            <w:gridSpan w:val="8"/>
          </w:tcPr>
          <w:p w:rsidR="00C357BF" w:rsidRDefault="004517BF">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09</w:t>
            </w:r>
            <w:r>
              <w:rPr>
                <w:rFonts w:ascii="仿宋" w:eastAsia="仿宋" w:hAnsi="仿宋" w:cs="仿宋" w:hint="eastAsia"/>
              </w:rPr>
              <w:t>表</w:t>
            </w:r>
          </w:p>
        </w:tc>
      </w:tr>
      <w:tr w:rsidR="00C357BF">
        <w:trPr>
          <w:trHeight w:val="207"/>
        </w:trPr>
        <w:tc>
          <w:tcPr>
            <w:tcW w:w="15909" w:type="dxa"/>
            <w:gridSpan w:val="8"/>
          </w:tcPr>
          <w:p w:rsidR="00C357BF" w:rsidRDefault="004517BF">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C357BF">
        <w:trPr>
          <w:trHeight w:val="103"/>
        </w:trPr>
        <w:tc>
          <w:tcPr>
            <w:tcW w:w="12069" w:type="dxa"/>
            <w:gridSpan w:val="6"/>
            <w:tcBorders>
              <w:bottom w:val="single" w:sz="4" w:space="0" w:color="auto"/>
            </w:tcBorders>
          </w:tcPr>
          <w:p w:rsidR="00C357BF" w:rsidRDefault="004517BF">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840" w:type="dxa"/>
            <w:gridSpan w:val="2"/>
            <w:tcBorders>
              <w:bottom w:val="single" w:sz="4" w:space="0" w:color="auto"/>
            </w:tcBorders>
            <w:vAlign w:val="center"/>
          </w:tcPr>
          <w:p w:rsidR="00C357BF" w:rsidRDefault="004517BF">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C357BF">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sz w:val="20"/>
              </w:rPr>
            </w:pPr>
            <w:r>
              <w:rPr>
                <w:rFonts w:ascii="仿宋" w:eastAsia="仿宋" w:hAnsi="仿宋" w:cs="仿宋" w:hint="eastAsia"/>
              </w:rPr>
              <w:t>培训费</w:t>
            </w:r>
          </w:p>
        </w:tc>
      </w:tr>
      <w:tr w:rsidR="00C357BF">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C357BF" w:rsidRDefault="00C357BF">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C357BF" w:rsidRDefault="00C357BF">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C357BF" w:rsidRDefault="00C357BF">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C357BF" w:rsidRDefault="00C357BF">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C357BF" w:rsidRDefault="00C357BF">
            <w:pPr>
              <w:rPr>
                <w:rFonts w:ascii="仿宋" w:eastAsia="仿宋" w:hAnsi="仿宋" w:cs="仿宋"/>
                <w:sz w:val="2"/>
                <w:szCs w:val="2"/>
              </w:rPr>
            </w:pPr>
          </w:p>
        </w:tc>
      </w:tr>
      <w:tr w:rsidR="00C357BF">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13.78</w:t>
            </w:r>
          </w:p>
        </w:tc>
        <w:tc>
          <w:tcPr>
            <w:tcW w:w="2332"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c>
          <w:tcPr>
            <w:tcW w:w="2037"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c>
          <w:tcPr>
            <w:tcW w:w="1697"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3.50</w:t>
            </w:r>
          </w:p>
        </w:tc>
        <w:tc>
          <w:tcPr>
            <w:tcW w:w="1852"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6.78</w:t>
            </w:r>
          </w:p>
        </w:tc>
        <w:tc>
          <w:tcPr>
            <w:tcW w:w="2057"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9.51</w:t>
            </w:r>
          </w:p>
        </w:tc>
        <w:tc>
          <w:tcPr>
            <w:tcW w:w="1783"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22.63</w:t>
            </w:r>
          </w:p>
        </w:tc>
      </w:tr>
    </w:tbl>
    <w:p w:rsidR="00C357BF" w:rsidRDefault="00C357BF">
      <w:pPr>
        <w:ind w:left="227" w:firstLineChars="100" w:firstLine="221"/>
        <w:rPr>
          <w:rFonts w:ascii="仿宋" w:eastAsia="仿宋" w:hAnsi="仿宋" w:cs="仿宋"/>
          <w:b/>
          <w:bCs/>
        </w:rPr>
        <w:sectPr w:rsidR="00C357BF">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tblPr>
      <w:tblGrid>
        <w:gridCol w:w="1618"/>
        <w:gridCol w:w="2834"/>
        <w:gridCol w:w="1783"/>
        <w:gridCol w:w="2092"/>
        <w:gridCol w:w="2485"/>
      </w:tblGrid>
      <w:tr w:rsidR="00C357BF">
        <w:trPr>
          <w:trHeight w:val="213"/>
        </w:trPr>
        <w:tc>
          <w:tcPr>
            <w:tcW w:w="10812" w:type="dxa"/>
            <w:gridSpan w:val="5"/>
            <w:tcBorders>
              <w:top w:val="nil"/>
              <w:left w:val="nil"/>
              <w:bottom w:val="nil"/>
              <w:right w:val="nil"/>
            </w:tcBorders>
            <w:vAlign w:val="center"/>
          </w:tcPr>
          <w:p w:rsidR="00C357BF" w:rsidRDefault="004517BF">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C357BF">
        <w:trPr>
          <w:trHeight w:val="213"/>
        </w:trPr>
        <w:tc>
          <w:tcPr>
            <w:tcW w:w="10812" w:type="dxa"/>
            <w:gridSpan w:val="5"/>
            <w:tcBorders>
              <w:top w:val="nil"/>
              <w:left w:val="nil"/>
              <w:bottom w:val="nil"/>
              <w:right w:val="nil"/>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C357BF">
        <w:trPr>
          <w:trHeight w:val="213"/>
        </w:trPr>
        <w:tc>
          <w:tcPr>
            <w:tcW w:w="8327" w:type="dxa"/>
            <w:gridSpan w:val="4"/>
            <w:tcBorders>
              <w:top w:val="nil"/>
              <w:left w:val="nil"/>
              <w:bottom w:val="single" w:sz="4" w:space="0" w:color="auto"/>
              <w:right w:val="nil"/>
            </w:tcBorders>
            <w:vAlign w:val="center"/>
          </w:tcPr>
          <w:p w:rsidR="00C357BF" w:rsidRDefault="004517BF">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2485" w:type="dxa"/>
            <w:tcBorders>
              <w:top w:val="nil"/>
              <w:left w:val="nil"/>
              <w:bottom w:val="single" w:sz="4" w:space="0" w:color="auto"/>
              <w:right w:val="nil"/>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单位：万元</w:t>
            </w:r>
          </w:p>
        </w:tc>
      </w:tr>
      <w:tr w:rsidR="00C357BF">
        <w:trPr>
          <w:trHeight w:val="187"/>
        </w:trPr>
        <w:tc>
          <w:tcPr>
            <w:tcW w:w="1618" w:type="dxa"/>
            <w:vMerge w:val="restart"/>
            <w:tcBorders>
              <w:top w:val="single" w:sz="4" w:space="0" w:color="auto"/>
              <w:left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本年政府性基金预算支出</w:t>
            </w:r>
          </w:p>
        </w:tc>
      </w:tr>
      <w:tr w:rsidR="00C357BF">
        <w:trPr>
          <w:trHeight w:val="139"/>
        </w:trPr>
        <w:tc>
          <w:tcPr>
            <w:tcW w:w="1618" w:type="dxa"/>
            <w:vMerge/>
            <w:tcBorders>
              <w:left w:val="single" w:sz="4" w:space="0" w:color="auto"/>
              <w:bottom w:val="single" w:sz="4" w:space="0" w:color="auto"/>
              <w:right w:val="single" w:sz="4" w:space="0" w:color="auto"/>
            </w:tcBorders>
            <w:vAlign w:val="center"/>
          </w:tcPr>
          <w:p w:rsidR="00C357BF" w:rsidRDefault="00C357BF">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C357BF" w:rsidRDefault="00C357BF">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项目支出</w:t>
            </w:r>
          </w:p>
        </w:tc>
      </w:tr>
      <w:tr w:rsidR="00C357BF">
        <w:trPr>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C357BF" w:rsidRDefault="00C357BF">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C357BF" w:rsidRDefault="004517BF">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r>
      <w:tr w:rsidR="00C357BF">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C357BF" w:rsidRDefault="00C357BF">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C357BF" w:rsidRDefault="00C357BF">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r>
      <w:tr w:rsidR="00C357BF">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C357BF" w:rsidRDefault="00C357BF">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C357BF" w:rsidRDefault="00C357BF">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C357BF" w:rsidRDefault="00C357BF">
            <w:pPr>
              <w:jc w:val="right"/>
              <w:rPr>
                <w:rFonts w:ascii="仿宋" w:eastAsia="仿宋" w:hAnsi="仿宋" w:cs="仿宋"/>
              </w:rPr>
            </w:pPr>
          </w:p>
        </w:tc>
      </w:tr>
    </w:tbl>
    <w:p w:rsidR="00C357BF" w:rsidRDefault="004517BF">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部门</w:t>
      </w:r>
      <w:r>
        <w:rPr>
          <w:rFonts w:ascii="仿宋" w:eastAsia="仿宋" w:hAnsi="仿宋" w:cs="仿宋"/>
          <w:b/>
        </w:rPr>
        <w:t>无政府性基金预算，也没有使用政府性基金安排的支出，故本表无数据。</w:t>
      </w:r>
    </w:p>
    <w:p w:rsidR="00C357BF" w:rsidRDefault="00C357BF">
      <w:pPr>
        <w:spacing w:before="25"/>
        <w:rPr>
          <w:rFonts w:ascii="仿宋" w:eastAsia="仿宋" w:hAnsi="仿宋" w:cs="仿宋"/>
          <w:b/>
          <w:bCs/>
          <w:lang w:val="en-US"/>
        </w:rPr>
        <w:sectPr w:rsidR="00C357BF">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C357BF">
        <w:trPr>
          <w:trHeight w:val="447"/>
          <w:jc w:val="center"/>
        </w:trPr>
        <w:tc>
          <w:tcPr>
            <w:tcW w:w="14695" w:type="dxa"/>
            <w:gridSpan w:val="5"/>
            <w:tcBorders>
              <w:top w:val="nil"/>
              <w:left w:val="nil"/>
              <w:bottom w:val="nil"/>
              <w:right w:val="nil"/>
            </w:tcBorders>
            <w:shd w:val="clear" w:color="auto" w:fill="auto"/>
            <w:vAlign w:val="center"/>
          </w:tcPr>
          <w:p w:rsidR="00C357BF" w:rsidRDefault="004517BF">
            <w:pPr>
              <w:widowControl/>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rPr>
              <w:t>11</w:t>
            </w:r>
            <w:r>
              <w:rPr>
                <w:rFonts w:ascii="仿宋" w:eastAsia="仿宋" w:hAnsi="仿宋" w:cs="仿宋" w:hint="eastAsia"/>
              </w:rPr>
              <w:t>表</w:t>
            </w:r>
          </w:p>
        </w:tc>
      </w:tr>
      <w:tr w:rsidR="00C357BF">
        <w:trPr>
          <w:trHeight w:val="960"/>
          <w:jc w:val="center"/>
        </w:trPr>
        <w:tc>
          <w:tcPr>
            <w:tcW w:w="14695" w:type="dxa"/>
            <w:gridSpan w:val="5"/>
            <w:tcBorders>
              <w:top w:val="nil"/>
              <w:left w:val="nil"/>
              <w:bottom w:val="nil"/>
              <w:right w:val="nil"/>
            </w:tcBorders>
            <w:shd w:val="clear" w:color="auto" w:fill="auto"/>
            <w:vAlign w:val="center"/>
          </w:tcPr>
          <w:p w:rsidR="00C357BF" w:rsidRDefault="004517BF">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C357BF">
        <w:trPr>
          <w:trHeight w:val="319"/>
          <w:jc w:val="center"/>
        </w:trPr>
        <w:tc>
          <w:tcPr>
            <w:tcW w:w="11604" w:type="dxa"/>
            <w:gridSpan w:val="4"/>
            <w:tcBorders>
              <w:top w:val="nil"/>
              <w:left w:val="nil"/>
              <w:bottom w:val="single" w:sz="4" w:space="0" w:color="auto"/>
              <w:right w:val="nil"/>
            </w:tcBorders>
            <w:shd w:val="clear" w:color="auto" w:fill="auto"/>
            <w:vAlign w:val="center"/>
          </w:tcPr>
          <w:p w:rsidR="00C357BF" w:rsidRDefault="004517BF">
            <w:pPr>
              <w:widowControl/>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091" w:type="dxa"/>
            <w:tcBorders>
              <w:top w:val="nil"/>
              <w:left w:val="nil"/>
              <w:bottom w:val="nil"/>
              <w:right w:val="nil"/>
            </w:tcBorders>
            <w:shd w:val="clear" w:color="auto" w:fill="auto"/>
            <w:noWrap/>
            <w:vAlign w:val="center"/>
          </w:tcPr>
          <w:p w:rsidR="00C357BF" w:rsidRDefault="004517BF">
            <w:pPr>
              <w:widowControl/>
              <w:jc w:val="right"/>
              <w:rPr>
                <w:rFonts w:ascii="仿宋" w:eastAsia="仿宋" w:hAnsi="仿宋" w:cs="仿宋"/>
              </w:rPr>
            </w:pPr>
            <w:r>
              <w:rPr>
                <w:rFonts w:ascii="仿宋" w:eastAsia="仿宋" w:hAnsi="仿宋" w:cs="仿宋" w:hint="eastAsia"/>
              </w:rPr>
              <w:t>单位：万元</w:t>
            </w:r>
          </w:p>
        </w:tc>
      </w:tr>
      <w:tr w:rsidR="00C357BF">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项</w:t>
            </w:r>
            <w:r>
              <w:rPr>
                <w:rFonts w:ascii="仿宋" w:eastAsia="仿宋" w:hAnsi="仿宋" w:cs="仿宋" w:hint="eastAsia"/>
              </w:rPr>
              <w:t xml:space="preserve">    </w:t>
            </w:r>
            <w:r>
              <w:rPr>
                <w:rFonts w:ascii="仿宋" w:eastAsia="仿宋" w:hAnsi="仿宋" w:cs="仿宋" w:hint="eastAsia"/>
              </w:rPr>
              <w:t>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基本支出</w:t>
            </w:r>
            <w:r>
              <w:rPr>
                <w:rFonts w:ascii="仿宋" w:eastAsia="仿宋" w:hAnsi="仿宋" w:cs="仿宋" w:hint="eastAsia"/>
              </w:rPr>
              <w:t xml:space="preserve">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项目支出</w:t>
            </w:r>
          </w:p>
        </w:tc>
      </w:tr>
      <w:tr w:rsidR="00C357BF">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功能分类</w:t>
            </w:r>
          </w:p>
          <w:p w:rsidR="00C357BF" w:rsidRDefault="004517BF">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C357BF" w:rsidRDefault="00C357BF">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C357BF" w:rsidRDefault="00C357BF">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C357BF" w:rsidRDefault="00C357BF">
            <w:pPr>
              <w:widowControl/>
              <w:spacing w:line="34" w:lineRule="atLeast"/>
              <w:rPr>
                <w:rFonts w:ascii="仿宋" w:eastAsia="仿宋" w:hAnsi="仿宋" w:cs="仿宋"/>
              </w:rPr>
            </w:pPr>
          </w:p>
        </w:tc>
      </w:tr>
      <w:tr w:rsidR="00C357BF">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3</w:t>
            </w:r>
          </w:p>
        </w:tc>
      </w:tr>
      <w:tr w:rsidR="00C357BF">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4517BF">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r>
      <w:tr w:rsidR="00C357BF">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r>
      <w:tr w:rsidR="00C357BF">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C357BF" w:rsidRDefault="00C357BF">
            <w:pPr>
              <w:widowControl/>
              <w:spacing w:line="34" w:lineRule="atLeast"/>
              <w:jc w:val="center"/>
              <w:rPr>
                <w:rFonts w:ascii="仿宋" w:eastAsia="仿宋" w:hAnsi="仿宋" w:cs="仿宋"/>
              </w:rPr>
            </w:pPr>
          </w:p>
        </w:tc>
      </w:tr>
    </w:tbl>
    <w:p w:rsidR="00C357BF" w:rsidRDefault="004517BF">
      <w:pPr>
        <w:spacing w:before="25"/>
        <w:ind w:firstLineChars="200" w:firstLine="442"/>
        <w:rPr>
          <w:rFonts w:ascii="仿宋" w:eastAsia="仿宋" w:hAnsi="仿宋" w:cs="仿宋"/>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C357BF" w:rsidRDefault="00C357BF">
      <w:pPr>
        <w:spacing w:before="25"/>
        <w:rPr>
          <w:rFonts w:ascii="仿宋" w:eastAsia="仿宋" w:hAnsi="仿宋" w:cs="仿宋"/>
          <w:b/>
          <w:bCs/>
          <w:lang w:val="en-US"/>
        </w:rPr>
        <w:sectPr w:rsidR="00C357BF">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C357BF">
        <w:trPr>
          <w:trHeight w:val="319"/>
        </w:trPr>
        <w:tc>
          <w:tcPr>
            <w:tcW w:w="10235" w:type="dxa"/>
            <w:gridSpan w:val="4"/>
          </w:tcPr>
          <w:p w:rsidR="00C357BF" w:rsidRDefault="004517BF">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C357BF">
        <w:trPr>
          <w:trHeight w:val="90"/>
        </w:trPr>
        <w:tc>
          <w:tcPr>
            <w:tcW w:w="10235" w:type="dxa"/>
            <w:gridSpan w:val="4"/>
          </w:tcPr>
          <w:p w:rsidR="00C357BF" w:rsidRDefault="004517BF">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C357BF">
        <w:trPr>
          <w:trHeight w:val="90"/>
        </w:trPr>
        <w:tc>
          <w:tcPr>
            <w:tcW w:w="7884" w:type="dxa"/>
            <w:gridSpan w:val="3"/>
            <w:tcBorders>
              <w:bottom w:val="single" w:sz="4" w:space="0" w:color="auto"/>
            </w:tcBorders>
            <w:vAlign w:val="center"/>
          </w:tcPr>
          <w:p w:rsidR="00C357BF" w:rsidRDefault="004517BF">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2351" w:type="dxa"/>
            <w:tcBorders>
              <w:bottom w:val="single" w:sz="4" w:space="0" w:color="auto"/>
            </w:tcBorders>
            <w:vAlign w:val="center"/>
          </w:tcPr>
          <w:p w:rsidR="00C357BF" w:rsidRDefault="004517BF">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C357BF">
        <w:trPr>
          <w:trHeight w:val="363"/>
        </w:trPr>
        <w:tc>
          <w:tcPr>
            <w:tcW w:w="3088" w:type="dxa"/>
            <w:tcBorders>
              <w:top w:val="single" w:sz="4" w:space="0" w:color="auto"/>
              <w:left w:val="single" w:sz="4" w:space="0" w:color="auto"/>
              <w:bottom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C357BF" w:rsidRDefault="004517BF">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C357BF" w:rsidRDefault="004517BF">
            <w:pPr>
              <w:jc w:val="center"/>
              <w:rPr>
                <w:rFonts w:ascii="仿宋" w:eastAsia="仿宋" w:hAnsi="仿宋" w:cs="仿宋"/>
              </w:rPr>
            </w:pPr>
            <w:r>
              <w:rPr>
                <w:rFonts w:ascii="仿宋" w:eastAsia="仿宋" w:hAnsi="仿宋" w:cs="仿宋" w:hint="eastAsia"/>
              </w:rPr>
              <w:t>机关运行经费支出</w:t>
            </w:r>
          </w:p>
        </w:tc>
      </w:tr>
      <w:tr w:rsidR="00C357BF">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rsidR="00C357BF" w:rsidRDefault="004517BF">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145.26</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145.26</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30201</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26.32</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30211</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53.20</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30216</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3.92</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30217</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3.92</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30228</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10.08</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30229</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福利费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1.34</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30239</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46.38</w:t>
            </w:r>
          </w:p>
        </w:tc>
      </w:tr>
      <w:tr w:rsidR="00C357BF">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 xml:space="preserve">  30299</w:t>
            </w:r>
          </w:p>
        </w:tc>
        <w:tc>
          <w:tcPr>
            <w:tcW w:w="2876" w:type="dxa"/>
            <w:tcBorders>
              <w:top w:val="single" w:sz="4" w:space="0" w:color="000000"/>
              <w:left w:val="single" w:sz="4" w:space="0" w:color="000000"/>
              <w:bottom w:val="single" w:sz="4" w:space="0" w:color="auto"/>
              <w:right w:val="single" w:sz="4" w:space="0" w:color="000000"/>
            </w:tcBorders>
          </w:tcPr>
          <w:p w:rsidR="00C357BF" w:rsidRDefault="004517BF">
            <w:pPr>
              <w:pStyle w:val="TableParagraph"/>
              <w:rPr>
                <w:rFonts w:ascii="仿宋" w:eastAsia="仿宋" w:hAnsi="仿宋" w:cs="仿宋"/>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C357BF" w:rsidRDefault="004517BF">
            <w:pPr>
              <w:pStyle w:val="TableParagraph"/>
              <w:jc w:val="right"/>
              <w:rPr>
                <w:rFonts w:ascii="仿宋" w:eastAsia="仿宋" w:hAnsi="仿宋" w:cs="仿宋"/>
              </w:rPr>
            </w:pPr>
            <w:r>
              <w:rPr>
                <w:rFonts w:ascii="仿宋" w:eastAsia="仿宋" w:hAnsi="仿宋" w:cs="仿宋" w:hint="eastAsia"/>
              </w:rPr>
              <w:t>0.10</w:t>
            </w:r>
          </w:p>
        </w:tc>
      </w:tr>
    </w:tbl>
    <w:p w:rsidR="00C357BF" w:rsidRDefault="004517BF">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w:t>
      </w:r>
      <w:r>
        <w:rPr>
          <w:rFonts w:ascii="仿宋" w:eastAsia="仿宋" w:hAnsi="仿宋" w:cs="仿宋" w:hint="eastAsia"/>
          <w:b/>
          <w:bCs/>
          <w:lang w:val="en-US"/>
        </w:rPr>
        <w:t>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C357BF" w:rsidRDefault="00C357BF">
      <w:pPr>
        <w:spacing w:before="78" w:line="290" w:lineRule="auto"/>
        <w:ind w:left="227" w:right="57"/>
        <w:jc w:val="both"/>
        <w:rPr>
          <w:rFonts w:ascii="仿宋" w:eastAsia="仿宋" w:hAnsi="仿宋" w:cs="仿宋"/>
          <w:b/>
          <w:bCs/>
        </w:rPr>
        <w:sectPr w:rsidR="00C357BF">
          <w:footerReference w:type="default" r:id="rId25"/>
          <w:pgSz w:w="11906" w:h="16838"/>
          <w:pgMar w:top="1100" w:right="906" w:bottom="770" w:left="1320" w:header="170" w:footer="280" w:gutter="0"/>
          <w:pgNumType w:fmt="numberInDash"/>
          <w:cols w:space="720"/>
          <w:formProt w:val="0"/>
          <w:docGrid w:linePitch="100"/>
        </w:sectPr>
      </w:pPr>
    </w:p>
    <w:tbl>
      <w:tblPr>
        <w:tblW w:w="15273"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479"/>
        <w:gridCol w:w="1109"/>
        <w:gridCol w:w="1173"/>
        <w:gridCol w:w="1188"/>
        <w:gridCol w:w="1169"/>
        <w:gridCol w:w="1421"/>
      </w:tblGrid>
      <w:tr w:rsidR="00C357BF">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C357BF" w:rsidRDefault="004517BF">
            <w:pPr>
              <w:pStyle w:val="TableParagraph"/>
              <w:rPr>
                <w:rFonts w:ascii="仿宋" w:eastAsia="仿宋" w:hAnsi="仿宋" w:cs="仿宋"/>
                <w:b/>
                <w:bCs/>
                <w:sz w:val="44"/>
                <w:szCs w:val="44"/>
                <w:lang w:val="en-US"/>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C357BF">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C357BF" w:rsidRDefault="004517BF">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C357BF">
        <w:tc>
          <w:tcPr>
            <w:tcW w:w="9213"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C357BF" w:rsidRDefault="004517BF">
            <w:pPr>
              <w:pStyle w:val="TableParagrap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4639"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C357BF" w:rsidRDefault="00C357BF">
            <w:pPr>
              <w:pStyle w:val="TableParagraph"/>
              <w:rPr>
                <w:rFonts w:ascii="仿宋" w:eastAsia="仿宋" w:hAnsi="仿宋" w:cs="仿宋"/>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C357BF" w:rsidRDefault="004517BF">
            <w:pPr>
              <w:pStyle w:val="TableParagraph"/>
              <w:jc w:val="right"/>
              <w:rPr>
                <w:rFonts w:ascii="仿宋" w:eastAsia="仿宋" w:hAnsi="仿宋" w:cs="仿宋"/>
                <w:lang w:val="en-US"/>
              </w:rPr>
            </w:pPr>
            <w:r>
              <w:rPr>
                <w:rFonts w:ascii="仿宋" w:eastAsia="仿宋" w:hAnsi="仿宋" w:cs="仿宋" w:hint="eastAsia"/>
              </w:rPr>
              <w:t>单位：万元</w:t>
            </w:r>
          </w:p>
        </w:tc>
      </w:tr>
      <w:tr w:rsidR="00C357BF">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采购品目名称</w:t>
            </w:r>
          </w:p>
        </w:tc>
        <w:tc>
          <w:tcPr>
            <w:tcW w:w="1479"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采购组织形式</w:t>
            </w:r>
          </w:p>
        </w:tc>
        <w:tc>
          <w:tcPr>
            <w:tcW w:w="4639"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总计</w:t>
            </w:r>
          </w:p>
        </w:tc>
      </w:tr>
      <w:tr w:rsidR="00C357BF">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1479"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lang w:val="en-US"/>
              </w:rPr>
            </w:pPr>
            <w:r>
              <w:rPr>
                <w:rFonts w:ascii="仿宋" w:eastAsia="仿宋" w:hAnsi="仿宋" w:cs="仿宋" w:hint="eastAsia"/>
                <w:lang w:val="en-US"/>
              </w:rPr>
              <w:t>一般公共预算资金</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政府性基金</w:t>
            </w: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r>
      <w:tr w:rsidR="00C357BF">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4517BF">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r>
      <w:tr w:rsidR="00C357BF">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r>
      <w:tr w:rsidR="00C357BF">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C357BF" w:rsidRDefault="00C357BF">
            <w:pPr>
              <w:snapToGrid w:val="0"/>
              <w:spacing w:line="34" w:lineRule="atLeast"/>
              <w:ind w:right="57"/>
              <w:jc w:val="right"/>
              <w:rPr>
                <w:rFonts w:ascii="仿宋" w:eastAsia="仿宋" w:hAnsi="仿宋" w:cs="仿宋"/>
                <w:lang w:val="en-US"/>
              </w:rPr>
            </w:pPr>
          </w:p>
        </w:tc>
      </w:tr>
    </w:tbl>
    <w:p w:rsidR="00C357BF" w:rsidRDefault="004517BF">
      <w:pPr>
        <w:rPr>
          <w:rFonts w:ascii="仿宋" w:eastAsia="仿宋" w:hAnsi="仿宋" w:cs="仿宋"/>
          <w:b/>
          <w:bCs/>
        </w:rPr>
      </w:pPr>
      <w:r>
        <w:rPr>
          <w:rFonts w:ascii="仿宋" w:eastAsia="仿宋" w:hAnsi="仿宋" w:cs="仿宋" w:hint="eastAsia"/>
          <w:b/>
          <w:bCs/>
        </w:rPr>
        <w:t>注：</w:t>
      </w:r>
      <w:r>
        <w:rPr>
          <w:rFonts w:ascii="仿宋" w:eastAsia="仿宋" w:hAnsi="仿宋" w:cs="仿宋" w:hint="eastAsia"/>
          <w:b/>
          <w:bCs/>
        </w:rPr>
        <w:t>本</w:t>
      </w:r>
      <w:r>
        <w:rPr>
          <w:rFonts w:ascii="仿宋" w:eastAsia="仿宋" w:hAnsi="仿宋" w:cs="仿宋"/>
          <w:b/>
        </w:rPr>
        <w:t>部门无政府采购支出，故本表无数据。</w:t>
      </w:r>
    </w:p>
    <w:p w:rsidR="00C357BF" w:rsidRDefault="00C357BF">
      <w:pPr>
        <w:rPr>
          <w:rFonts w:ascii="仿宋" w:eastAsia="仿宋" w:hAnsi="仿宋" w:cs="仿宋"/>
          <w:b/>
          <w:bCs/>
        </w:rPr>
        <w:sectPr w:rsidR="00C357BF">
          <w:footerReference w:type="default" r:id="rId26"/>
          <w:pgSz w:w="16838" w:h="11906" w:orient="landscape"/>
          <w:pgMar w:top="1320" w:right="771" w:bottom="1320" w:left="770" w:header="170" w:footer="280" w:gutter="0"/>
          <w:pgNumType w:fmt="numberInDash"/>
          <w:cols w:space="720"/>
          <w:formProt w:val="0"/>
          <w:docGrid w:linePitch="100"/>
        </w:sectPr>
      </w:pPr>
      <w:bookmarkStart w:id="0" w:name="_GoBack"/>
      <w:bookmarkEnd w:id="0"/>
    </w:p>
    <w:p w:rsidR="00C357BF" w:rsidRDefault="004517BF">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rPr>
        <w:t>2025</w:t>
      </w:r>
      <w:r>
        <w:rPr>
          <w:rFonts w:ascii="仿宋" w:eastAsia="仿宋" w:hAnsi="仿宋" w:cs="仿宋" w:hint="eastAsia"/>
          <w:b/>
          <w:bCs/>
          <w:sz w:val="44"/>
          <w:szCs w:val="44"/>
        </w:rPr>
        <w:t>年度</w:t>
      </w:r>
      <w:r>
        <w:rPr>
          <w:rFonts w:ascii="仿宋" w:eastAsia="仿宋" w:hAnsi="仿宋" w:cs="仿宋"/>
          <w:b/>
          <w:sz w:val="44"/>
        </w:rPr>
        <w:t>部门</w:t>
      </w:r>
      <w:r>
        <w:rPr>
          <w:rFonts w:ascii="仿宋" w:eastAsia="仿宋" w:hAnsi="仿宋" w:cs="仿宋" w:hint="eastAsia"/>
          <w:b/>
          <w:bCs/>
          <w:sz w:val="44"/>
          <w:szCs w:val="44"/>
        </w:rPr>
        <w:t>预算</w:t>
      </w:r>
      <w:r>
        <w:rPr>
          <w:rFonts w:ascii="仿宋" w:eastAsia="仿宋" w:hAnsi="仿宋" w:cs="仿宋" w:hint="eastAsia"/>
          <w:b/>
          <w:bCs/>
          <w:sz w:val="44"/>
          <w:szCs w:val="44"/>
        </w:rPr>
        <w:t>情况说明</w:t>
      </w:r>
    </w:p>
    <w:p w:rsidR="00C357BF" w:rsidRDefault="00C357BF">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年度收入、支出预算总计</w:t>
      </w:r>
      <w:r>
        <w:rPr>
          <w:rFonts w:ascii="仿宋" w:eastAsia="仿宋" w:hAnsi="仿宋" w:cs="仿宋"/>
        </w:rPr>
        <w:t>27,315.64</w:t>
      </w:r>
      <w:r>
        <w:rPr>
          <w:rFonts w:ascii="仿宋" w:eastAsia="仿宋" w:hAnsi="仿宋" w:cs="仿宋"/>
        </w:rPr>
        <w:t>万元，与上年相比收、支预算总计各减少</w:t>
      </w:r>
      <w:r>
        <w:rPr>
          <w:rFonts w:ascii="仿宋" w:eastAsia="仿宋" w:hAnsi="仿宋" w:cs="仿宋"/>
        </w:rPr>
        <w:t>4,090.4</w:t>
      </w:r>
      <w:r>
        <w:rPr>
          <w:rFonts w:ascii="仿宋" w:eastAsia="仿宋" w:hAnsi="仿宋" w:cs="仿宋"/>
        </w:rPr>
        <w:t>万元，减少</w:t>
      </w:r>
      <w:r>
        <w:rPr>
          <w:rFonts w:ascii="仿宋" w:eastAsia="仿宋" w:hAnsi="仿宋" w:cs="仿宋"/>
        </w:rPr>
        <w:t>13.02%</w:t>
      </w:r>
      <w:r>
        <w:rPr>
          <w:rFonts w:ascii="仿宋" w:eastAsia="仿宋" w:hAnsi="仿宋" w:cs="仿宋"/>
        </w:rPr>
        <w:t>。其中：</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w:t>
      </w:r>
      <w:r>
        <w:rPr>
          <w:rFonts w:ascii="仿宋" w:eastAsia="仿宋" w:hAnsi="仿宋" w:cs="仿宋"/>
          <w:b/>
        </w:rPr>
        <w:t>27,315.64</w:t>
      </w:r>
      <w:r>
        <w:rPr>
          <w:rFonts w:ascii="仿宋" w:eastAsia="仿宋" w:hAnsi="仿宋" w:cs="仿宋"/>
          <w:b/>
        </w:rPr>
        <w:t>万元。包括：</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．本年收入合计</w:t>
      </w:r>
      <w:r>
        <w:rPr>
          <w:rFonts w:ascii="仿宋" w:eastAsia="仿宋" w:hAnsi="仿宋" w:cs="仿宋"/>
        </w:rPr>
        <w:t>27,315.64</w:t>
      </w:r>
      <w:r>
        <w:rPr>
          <w:rFonts w:ascii="仿宋" w:eastAsia="仿宋" w:hAnsi="仿宋" w:cs="仿宋"/>
        </w:rPr>
        <w:t>万元。</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）一般公共预算拨款收入</w:t>
      </w:r>
      <w:r>
        <w:rPr>
          <w:rFonts w:ascii="仿宋" w:eastAsia="仿宋" w:hAnsi="仿宋" w:cs="仿宋"/>
        </w:rPr>
        <w:t>27,233</w:t>
      </w:r>
      <w:r>
        <w:rPr>
          <w:rFonts w:ascii="仿宋" w:eastAsia="仿宋" w:hAnsi="仿宋" w:cs="仿宋"/>
        </w:rPr>
        <w:t>万元，与上年相比减少</w:t>
      </w:r>
      <w:r>
        <w:rPr>
          <w:rFonts w:ascii="仿宋" w:eastAsia="仿宋" w:hAnsi="仿宋" w:cs="仿宋"/>
        </w:rPr>
        <w:t>4,073.86</w:t>
      </w:r>
      <w:r>
        <w:rPr>
          <w:rFonts w:ascii="仿宋" w:eastAsia="仿宋" w:hAnsi="仿宋" w:cs="仿宋"/>
        </w:rPr>
        <w:t>万元，减少</w:t>
      </w:r>
      <w:r>
        <w:rPr>
          <w:rFonts w:ascii="仿宋" w:eastAsia="仿宋" w:hAnsi="仿宋" w:cs="仿宋"/>
        </w:rPr>
        <w:t>13.01%</w:t>
      </w:r>
      <w:r>
        <w:rPr>
          <w:rFonts w:ascii="仿宋" w:eastAsia="仿宋" w:hAnsi="仿宋" w:cs="仿宋"/>
        </w:rPr>
        <w:t>。主要原因是市生态环境局环保垂改直属机构运转经费减少。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）政府性基金预算拨款收入</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）国有资本经营预算拨款收入</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）财</w:t>
      </w:r>
      <w:r>
        <w:rPr>
          <w:rFonts w:ascii="仿宋" w:eastAsia="仿宋" w:hAnsi="仿宋" w:cs="仿宋"/>
        </w:rPr>
        <w:t>政专户管理资金收入</w:t>
      </w:r>
      <w:r>
        <w:rPr>
          <w:rFonts w:ascii="仿宋" w:eastAsia="仿宋" w:hAnsi="仿宋" w:cs="仿宋"/>
        </w:rPr>
        <w:t>30</w:t>
      </w:r>
      <w:r>
        <w:rPr>
          <w:rFonts w:ascii="仿宋" w:eastAsia="仿宋" w:hAnsi="仿宋" w:cs="仿宋"/>
        </w:rPr>
        <w:t>万元，与上年相比减少</w:t>
      </w:r>
      <w:r>
        <w:rPr>
          <w:rFonts w:ascii="仿宋" w:eastAsia="仿宋" w:hAnsi="仿宋" w:cs="仿宋"/>
        </w:rPr>
        <w:t>8</w:t>
      </w:r>
      <w:r>
        <w:rPr>
          <w:rFonts w:ascii="仿宋" w:eastAsia="仿宋" w:hAnsi="仿宋" w:cs="仿宋"/>
        </w:rPr>
        <w:t>万元，减少</w:t>
      </w:r>
      <w:r>
        <w:rPr>
          <w:rFonts w:ascii="仿宋" w:eastAsia="仿宋" w:hAnsi="仿宋" w:cs="仿宋"/>
        </w:rPr>
        <w:t>21.05%</w:t>
      </w:r>
      <w:r>
        <w:rPr>
          <w:rFonts w:ascii="仿宋" w:eastAsia="仿宋" w:hAnsi="仿宋" w:cs="仿宋"/>
        </w:rPr>
        <w:t>。主要原因是市环境科学研究院财政专户管理资金收入减少。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）事业收入</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）事业单位经营收入</w:t>
      </w:r>
      <w:r>
        <w:rPr>
          <w:rFonts w:ascii="仿宋" w:eastAsia="仿宋" w:hAnsi="仿宋" w:cs="仿宋"/>
        </w:rPr>
        <w:t>52.64</w:t>
      </w:r>
      <w:r>
        <w:rPr>
          <w:rFonts w:ascii="仿宋" w:eastAsia="仿宋" w:hAnsi="仿宋" w:cs="仿宋"/>
        </w:rPr>
        <w:t>万元，与上年相比减少</w:t>
      </w:r>
      <w:r>
        <w:rPr>
          <w:rFonts w:ascii="仿宋" w:eastAsia="仿宋" w:hAnsi="仿宋" w:cs="仿宋"/>
        </w:rPr>
        <w:t>8.54</w:t>
      </w:r>
      <w:r>
        <w:rPr>
          <w:rFonts w:ascii="仿宋" w:eastAsia="仿宋" w:hAnsi="仿宋" w:cs="仿宋"/>
        </w:rPr>
        <w:t>万元，减少</w:t>
      </w:r>
      <w:r>
        <w:rPr>
          <w:rFonts w:ascii="仿宋" w:eastAsia="仿宋" w:hAnsi="仿宋" w:cs="仿宋"/>
        </w:rPr>
        <w:t>13.96%</w:t>
      </w:r>
      <w:r>
        <w:rPr>
          <w:rFonts w:ascii="仿宋" w:eastAsia="仿宋" w:hAnsi="仿宋" w:cs="仿宋"/>
        </w:rPr>
        <w:t>。主要原因是市环境科学研究院事业单位经营收入减少。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7</w:t>
      </w:r>
      <w:r>
        <w:rPr>
          <w:rFonts w:ascii="仿宋" w:eastAsia="仿宋" w:hAnsi="仿宋" w:cs="仿宋"/>
        </w:rPr>
        <w:t>）上级补助收入</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8</w:t>
      </w:r>
      <w:r>
        <w:rPr>
          <w:rFonts w:ascii="仿宋" w:eastAsia="仿宋" w:hAnsi="仿宋" w:cs="仿宋"/>
        </w:rPr>
        <w:t>）附属单位上缴收入</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w:t>
      </w:r>
      <w:r>
        <w:rPr>
          <w:rFonts w:ascii="仿宋" w:eastAsia="仿宋" w:hAnsi="仿宋" w:cs="仿宋"/>
        </w:rPr>
        <w:t>9</w:t>
      </w:r>
      <w:r>
        <w:rPr>
          <w:rFonts w:ascii="仿宋" w:eastAsia="仿宋" w:hAnsi="仿宋" w:cs="仿宋"/>
        </w:rPr>
        <w:t>）其他收入</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．上年结转结余为</w:t>
      </w:r>
      <w:r>
        <w:rPr>
          <w:rFonts w:ascii="仿宋" w:eastAsia="仿宋" w:hAnsi="仿宋" w:cs="仿宋"/>
        </w:rPr>
        <w:t>0</w:t>
      </w:r>
      <w:r>
        <w:rPr>
          <w:rFonts w:ascii="仿宋" w:eastAsia="仿宋" w:hAnsi="仿宋" w:cs="仿宋"/>
        </w:rPr>
        <w:t>万元。与上年预算数相同。</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w:t>
      </w:r>
      <w:r>
        <w:rPr>
          <w:rFonts w:ascii="仿宋" w:eastAsia="仿宋" w:hAnsi="仿宋" w:cs="仿宋"/>
          <w:b/>
        </w:rPr>
        <w:t>27,315</w:t>
      </w:r>
      <w:r>
        <w:rPr>
          <w:rFonts w:ascii="仿宋" w:eastAsia="仿宋" w:hAnsi="仿宋" w:cs="仿宋"/>
          <w:b/>
        </w:rPr>
        <w:t>.64</w:t>
      </w:r>
      <w:r>
        <w:rPr>
          <w:rFonts w:ascii="仿宋" w:eastAsia="仿宋" w:hAnsi="仿宋" w:cs="仿宋"/>
          <w:b/>
        </w:rPr>
        <w:t>万元。包括：</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．本年支出合计</w:t>
      </w:r>
      <w:r>
        <w:rPr>
          <w:rFonts w:ascii="仿宋" w:eastAsia="仿宋" w:hAnsi="仿宋" w:cs="仿宋"/>
        </w:rPr>
        <w:t>27,315.64</w:t>
      </w:r>
      <w:r>
        <w:rPr>
          <w:rFonts w:ascii="仿宋" w:eastAsia="仿宋" w:hAnsi="仿宋" w:cs="仿宋"/>
        </w:rPr>
        <w:t>万元。</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）社会保障和就业支出（类）支出</w:t>
      </w:r>
      <w:r>
        <w:rPr>
          <w:rFonts w:ascii="仿宋" w:eastAsia="仿宋" w:hAnsi="仿宋" w:cs="仿宋"/>
        </w:rPr>
        <w:t>22.64</w:t>
      </w:r>
      <w:r>
        <w:rPr>
          <w:rFonts w:ascii="仿宋" w:eastAsia="仿宋" w:hAnsi="仿宋" w:cs="仿宋"/>
        </w:rPr>
        <w:t>万元，主要用于离退休人员支出。与上年相比增加</w:t>
      </w:r>
      <w:r>
        <w:rPr>
          <w:rFonts w:ascii="仿宋" w:eastAsia="仿宋" w:hAnsi="仿宋" w:cs="仿宋"/>
        </w:rPr>
        <w:t>1.41</w:t>
      </w:r>
      <w:r>
        <w:rPr>
          <w:rFonts w:ascii="仿宋" w:eastAsia="仿宋" w:hAnsi="仿宋" w:cs="仿宋"/>
        </w:rPr>
        <w:t>万元，增长</w:t>
      </w:r>
      <w:r>
        <w:rPr>
          <w:rFonts w:ascii="仿宋" w:eastAsia="仿宋" w:hAnsi="仿宋" w:cs="仿宋"/>
        </w:rPr>
        <w:t>6.64%</w:t>
      </w:r>
      <w:r>
        <w:rPr>
          <w:rFonts w:ascii="仿宋" w:eastAsia="仿宋" w:hAnsi="仿宋" w:cs="仿宋"/>
        </w:rPr>
        <w:t>。主要原因是常州市生态环境局退休人员增加，离退休费增加。</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）卫生健康支出（类）支出</w:t>
      </w:r>
      <w:r>
        <w:rPr>
          <w:rFonts w:ascii="仿宋" w:eastAsia="仿宋" w:hAnsi="仿宋" w:cs="仿宋"/>
        </w:rPr>
        <w:t>58.65</w:t>
      </w:r>
      <w:r>
        <w:rPr>
          <w:rFonts w:ascii="仿宋" w:eastAsia="仿宋" w:hAnsi="仿宋" w:cs="仿宋"/>
        </w:rPr>
        <w:t>万元，主要用于医疗保障缴费。与上年相比增加</w:t>
      </w:r>
      <w:r>
        <w:rPr>
          <w:rFonts w:ascii="仿宋" w:eastAsia="仿宋" w:hAnsi="仿宋" w:cs="仿宋"/>
        </w:rPr>
        <w:t>2.41</w:t>
      </w:r>
      <w:r>
        <w:rPr>
          <w:rFonts w:ascii="仿宋" w:eastAsia="仿宋" w:hAnsi="仿宋" w:cs="仿宋"/>
        </w:rPr>
        <w:t>万元，增长</w:t>
      </w:r>
      <w:r>
        <w:rPr>
          <w:rFonts w:ascii="仿宋" w:eastAsia="仿宋" w:hAnsi="仿宋" w:cs="仿宋"/>
        </w:rPr>
        <w:t>4.29%</w:t>
      </w:r>
      <w:r>
        <w:rPr>
          <w:rFonts w:ascii="仿宋" w:eastAsia="仿宋" w:hAnsi="仿宋" w:cs="仿宋"/>
        </w:rPr>
        <w:t>。主要原因是市生态环境监控中心人员增加，卫生健康支出增加。</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）节能环保支出（类）支出</w:t>
      </w:r>
      <w:r>
        <w:rPr>
          <w:rFonts w:ascii="仿宋" w:eastAsia="仿宋" w:hAnsi="仿宋" w:cs="仿宋"/>
        </w:rPr>
        <w:t>26,092.1</w:t>
      </w:r>
      <w:r>
        <w:rPr>
          <w:rFonts w:ascii="仿宋" w:eastAsia="仿宋" w:hAnsi="仿宋" w:cs="仿宋"/>
        </w:rPr>
        <w:t>万元，主要用于环境保护管理事务、环境监测监察、污染减排、治理大气、水体、噪声、固体废弃物、放射性物质等方面的支出。与上年相比减少</w:t>
      </w:r>
      <w:r>
        <w:rPr>
          <w:rFonts w:ascii="仿宋" w:eastAsia="仿宋" w:hAnsi="仿宋" w:cs="仿宋"/>
        </w:rPr>
        <w:t>4,101.2</w:t>
      </w:r>
      <w:r>
        <w:rPr>
          <w:rFonts w:ascii="仿宋" w:eastAsia="仿宋" w:hAnsi="仿宋" w:cs="仿宋"/>
        </w:rPr>
        <w:t>万元，减少</w:t>
      </w:r>
      <w:r>
        <w:rPr>
          <w:rFonts w:ascii="仿宋" w:eastAsia="仿宋" w:hAnsi="仿宋" w:cs="仿宋"/>
        </w:rPr>
        <w:t>13.58%</w:t>
      </w:r>
      <w:r>
        <w:rPr>
          <w:rFonts w:ascii="仿宋" w:eastAsia="仿宋" w:hAnsi="仿宋" w:cs="仿宋"/>
        </w:rPr>
        <w:t>。主要原因是市生态环境局环保垂改直属机构运转经费减少。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）住房保障支出（类）支出</w:t>
      </w:r>
      <w:r>
        <w:rPr>
          <w:rFonts w:ascii="仿宋" w:eastAsia="仿宋" w:hAnsi="仿宋" w:cs="仿宋"/>
        </w:rPr>
        <w:t>1,142.25</w:t>
      </w:r>
      <w:r>
        <w:rPr>
          <w:rFonts w:ascii="仿宋" w:eastAsia="仿宋" w:hAnsi="仿宋" w:cs="仿宋"/>
        </w:rPr>
        <w:t>万元，主要用于职工的住房公积金、购房补贴、提租补贴等支出。与上年相比增加</w:t>
      </w:r>
      <w:r>
        <w:rPr>
          <w:rFonts w:ascii="仿宋" w:eastAsia="仿宋" w:hAnsi="仿宋" w:cs="仿宋"/>
        </w:rPr>
        <w:t>6.98</w:t>
      </w:r>
      <w:r>
        <w:rPr>
          <w:rFonts w:ascii="仿宋" w:eastAsia="仿宋" w:hAnsi="仿宋" w:cs="仿宋"/>
        </w:rPr>
        <w:t>万元，增长</w:t>
      </w:r>
      <w:r>
        <w:rPr>
          <w:rFonts w:ascii="仿宋" w:eastAsia="仿宋" w:hAnsi="仿宋" w:cs="仿宋"/>
        </w:rPr>
        <w:t>0.61%</w:t>
      </w:r>
      <w:r>
        <w:rPr>
          <w:rFonts w:ascii="仿宋" w:eastAsia="仿宋" w:hAnsi="仿宋" w:cs="仿宋"/>
        </w:rPr>
        <w:t>。主要原因是市生态环境局、市生态环境监控中心增人增支。</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．年终结转结余为</w:t>
      </w:r>
      <w:r>
        <w:rPr>
          <w:rFonts w:ascii="仿宋" w:eastAsia="仿宋" w:hAnsi="仿宋" w:cs="仿宋"/>
        </w:rPr>
        <w:t>0</w:t>
      </w:r>
      <w:r>
        <w:rPr>
          <w:rFonts w:ascii="仿宋" w:eastAsia="仿宋" w:hAnsi="仿宋" w:cs="仿宋"/>
        </w:rPr>
        <w:t>万元。</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年收入预算合计</w:t>
      </w:r>
      <w:r>
        <w:rPr>
          <w:rFonts w:ascii="仿宋" w:eastAsia="仿宋" w:hAnsi="仿宋" w:cs="仿宋"/>
        </w:rPr>
        <w:t>27,315.64</w:t>
      </w:r>
      <w:r>
        <w:rPr>
          <w:rFonts w:ascii="仿宋" w:eastAsia="仿宋" w:hAnsi="仿宋" w:cs="仿宋"/>
        </w:rPr>
        <w:t>万元，包括本年收入</w:t>
      </w:r>
      <w:r>
        <w:rPr>
          <w:rFonts w:ascii="仿宋" w:eastAsia="仿宋" w:hAnsi="仿宋" w:cs="仿宋"/>
        </w:rPr>
        <w:t>27,315.64</w:t>
      </w:r>
      <w:r>
        <w:rPr>
          <w:rFonts w:ascii="仿宋" w:eastAsia="仿宋" w:hAnsi="仿宋" w:cs="仿宋"/>
        </w:rPr>
        <w:t>万元，上年结转结余</w:t>
      </w:r>
      <w:r>
        <w:rPr>
          <w:rFonts w:ascii="仿宋" w:eastAsia="仿宋" w:hAnsi="仿宋" w:cs="仿宋"/>
        </w:rPr>
        <w:t>0</w:t>
      </w:r>
      <w:r>
        <w:rPr>
          <w:rFonts w:ascii="仿宋" w:eastAsia="仿宋" w:hAnsi="仿宋" w:cs="仿宋"/>
        </w:rPr>
        <w:t>万元。</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其中：</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w:t>
      </w:r>
      <w:r>
        <w:rPr>
          <w:rFonts w:ascii="仿宋" w:eastAsia="仿宋" w:hAnsi="仿宋" w:cs="仿宋"/>
        </w:rPr>
        <w:t>27,233</w:t>
      </w:r>
      <w:r>
        <w:rPr>
          <w:rFonts w:ascii="仿宋" w:eastAsia="仿宋" w:hAnsi="仿宋" w:cs="仿宋"/>
        </w:rPr>
        <w:t>万元，占</w:t>
      </w:r>
      <w:r>
        <w:rPr>
          <w:rFonts w:ascii="仿宋" w:eastAsia="仿宋" w:hAnsi="仿宋" w:cs="仿宋"/>
        </w:rPr>
        <w:t>99.7%</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w:t>
      </w:r>
      <w:r>
        <w:rPr>
          <w:rFonts w:ascii="仿宋" w:eastAsia="仿宋" w:hAnsi="仿宋" w:cs="仿宋"/>
        </w:rPr>
        <w:t>30</w:t>
      </w:r>
      <w:r>
        <w:rPr>
          <w:rFonts w:ascii="仿宋" w:eastAsia="仿宋" w:hAnsi="仿宋" w:cs="仿宋"/>
        </w:rPr>
        <w:t>万元，占</w:t>
      </w:r>
      <w:r>
        <w:rPr>
          <w:rFonts w:ascii="仿宋" w:eastAsia="仿宋" w:hAnsi="仿宋" w:cs="仿宋"/>
        </w:rPr>
        <w:t>0.11%</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w:t>
      </w:r>
      <w:r>
        <w:rPr>
          <w:rFonts w:ascii="仿宋" w:eastAsia="仿宋" w:hAnsi="仿宋" w:cs="仿宋"/>
        </w:rPr>
        <w:t>52.64</w:t>
      </w:r>
      <w:r>
        <w:rPr>
          <w:rFonts w:ascii="仿宋" w:eastAsia="仿宋" w:hAnsi="仿宋" w:cs="仿宋"/>
        </w:rPr>
        <w:t>万元，占</w:t>
      </w:r>
      <w:r>
        <w:rPr>
          <w:rFonts w:ascii="仿宋" w:eastAsia="仿宋" w:hAnsi="仿宋" w:cs="仿宋"/>
        </w:rPr>
        <w:t>0.19%</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B508DE">
        <w:rPr>
          <w:rFonts w:ascii="仿宋" w:eastAsia="仿宋" w:hAnsi="仿宋" w:cs="仿宋"/>
          <w:lang w:val="en-US"/>
        </w:rPr>
        <w:t>0</w:t>
      </w:r>
      <w:r>
        <w:rPr>
          <w:rFonts w:ascii="仿宋" w:eastAsia="仿宋" w:hAnsi="仿宋" w:cs="仿宋"/>
        </w:rPr>
        <w:t>万元</w:t>
      </w:r>
      <w:r w:rsidRPr="00B508DE">
        <w:rPr>
          <w:rFonts w:ascii="仿宋" w:eastAsia="仿宋" w:hAnsi="仿宋" w:cs="仿宋"/>
          <w:lang w:val="en-US"/>
        </w:rPr>
        <w:t>，</w:t>
      </w:r>
      <w:r>
        <w:rPr>
          <w:rFonts w:ascii="仿宋" w:eastAsia="仿宋" w:hAnsi="仿宋" w:cs="仿宋"/>
        </w:rPr>
        <w:t>占</w:t>
      </w:r>
      <w:r w:rsidRPr="00B508DE">
        <w:rPr>
          <w:rFonts w:ascii="仿宋" w:eastAsia="仿宋" w:hAnsi="仿宋" w:cs="仿宋"/>
          <w:lang w:val="en-US"/>
        </w:rPr>
        <w:t>0%</w:t>
      </w:r>
      <w:r w:rsidRPr="00B508DE">
        <w:rPr>
          <w:rFonts w:ascii="仿宋" w:eastAsia="仿宋" w:hAnsi="仿宋" w:cs="仿宋"/>
          <w:lang w:val="en-US"/>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年支出预算合计</w:t>
      </w:r>
      <w:r>
        <w:rPr>
          <w:rFonts w:ascii="仿宋" w:eastAsia="仿宋" w:hAnsi="仿宋" w:cs="仿宋"/>
        </w:rPr>
        <w:t>27,315.64</w:t>
      </w:r>
      <w:r>
        <w:rPr>
          <w:rFonts w:ascii="仿宋" w:eastAsia="仿宋" w:hAnsi="仿宋" w:cs="仿宋"/>
        </w:rPr>
        <w:t>万元，其中：</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w:t>
      </w:r>
      <w:r>
        <w:rPr>
          <w:rFonts w:ascii="仿宋" w:eastAsia="仿宋" w:hAnsi="仿宋" w:cs="仿宋"/>
        </w:rPr>
        <w:t>5,120.22</w:t>
      </w:r>
      <w:r>
        <w:rPr>
          <w:rFonts w:ascii="仿宋" w:eastAsia="仿宋" w:hAnsi="仿宋" w:cs="仿宋"/>
        </w:rPr>
        <w:t>万元，占</w:t>
      </w:r>
      <w:r>
        <w:rPr>
          <w:rFonts w:ascii="仿宋" w:eastAsia="仿宋" w:hAnsi="仿宋" w:cs="仿宋"/>
        </w:rPr>
        <w:t>18.74%</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w:t>
      </w:r>
      <w:r>
        <w:rPr>
          <w:rFonts w:ascii="仿宋" w:eastAsia="仿宋" w:hAnsi="仿宋" w:cs="仿宋"/>
        </w:rPr>
        <w:t>22,195.42</w:t>
      </w:r>
      <w:r>
        <w:rPr>
          <w:rFonts w:ascii="仿宋" w:eastAsia="仿宋" w:hAnsi="仿宋" w:cs="仿宋"/>
        </w:rPr>
        <w:t>万元，占</w:t>
      </w:r>
      <w:r>
        <w:rPr>
          <w:rFonts w:ascii="仿宋" w:eastAsia="仿宋" w:hAnsi="仿宋" w:cs="仿宋"/>
        </w:rPr>
        <w:t>81.26%</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年度财政拨款收、支总预算</w:t>
      </w:r>
      <w:r>
        <w:rPr>
          <w:rFonts w:ascii="仿宋" w:eastAsia="仿宋" w:hAnsi="仿宋" w:cs="仿宋"/>
        </w:rPr>
        <w:t>27,233</w:t>
      </w:r>
      <w:r>
        <w:rPr>
          <w:rFonts w:ascii="仿宋" w:eastAsia="仿宋" w:hAnsi="仿宋" w:cs="仿宋"/>
        </w:rPr>
        <w:t>万元。与上年相比，财政拨款收、支总计各减少</w:t>
      </w:r>
      <w:r>
        <w:rPr>
          <w:rFonts w:ascii="仿宋" w:eastAsia="仿宋" w:hAnsi="仿宋" w:cs="仿宋"/>
        </w:rPr>
        <w:t>4,073.86</w:t>
      </w:r>
      <w:r>
        <w:rPr>
          <w:rFonts w:ascii="仿宋" w:eastAsia="仿宋" w:hAnsi="仿宋" w:cs="仿宋"/>
        </w:rPr>
        <w:t>万元，减少</w:t>
      </w:r>
      <w:r>
        <w:rPr>
          <w:rFonts w:ascii="仿宋" w:eastAsia="仿宋" w:hAnsi="仿宋" w:cs="仿宋"/>
        </w:rPr>
        <w:t>13.01%</w:t>
      </w:r>
      <w:r>
        <w:rPr>
          <w:rFonts w:ascii="仿宋" w:eastAsia="仿宋" w:hAnsi="仿宋" w:cs="仿宋"/>
        </w:rPr>
        <w:t>。主要原因是市生态环境局环保垂改直属机构运转经费减少。</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年财政拨款预算支出</w:t>
      </w:r>
      <w:r>
        <w:rPr>
          <w:rFonts w:ascii="仿宋" w:eastAsia="仿宋" w:hAnsi="仿宋" w:cs="仿宋"/>
        </w:rPr>
        <w:t>27,233</w:t>
      </w:r>
      <w:r>
        <w:rPr>
          <w:rFonts w:ascii="仿宋" w:eastAsia="仿宋" w:hAnsi="仿宋" w:cs="仿宋"/>
        </w:rPr>
        <w:t>万元，占本年支出合计的</w:t>
      </w:r>
      <w:r>
        <w:rPr>
          <w:rFonts w:ascii="仿宋" w:eastAsia="仿宋" w:hAnsi="仿宋" w:cs="仿宋"/>
        </w:rPr>
        <w:t>99.7%</w:t>
      </w:r>
      <w:r>
        <w:rPr>
          <w:rFonts w:ascii="仿宋" w:eastAsia="仿宋" w:hAnsi="仿宋" w:cs="仿宋"/>
        </w:rPr>
        <w:t>。与上年相比，财政拨款支出减少</w:t>
      </w:r>
      <w:r>
        <w:rPr>
          <w:rFonts w:ascii="仿宋" w:eastAsia="仿宋" w:hAnsi="仿宋" w:cs="仿宋"/>
        </w:rPr>
        <w:t>4,073.86</w:t>
      </w:r>
      <w:r>
        <w:rPr>
          <w:rFonts w:ascii="仿宋" w:eastAsia="仿宋" w:hAnsi="仿宋" w:cs="仿宋"/>
        </w:rPr>
        <w:t>万元，减少</w:t>
      </w:r>
      <w:r>
        <w:rPr>
          <w:rFonts w:ascii="仿宋" w:eastAsia="仿宋" w:hAnsi="仿宋" w:cs="仿宋"/>
        </w:rPr>
        <w:t>13.01%</w:t>
      </w:r>
      <w:r>
        <w:rPr>
          <w:rFonts w:ascii="仿宋" w:eastAsia="仿宋" w:hAnsi="仿宋" w:cs="仿宋"/>
        </w:rPr>
        <w:t>。主要原因是市生态环境局环保垂改直属机构运转经费减少。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w:t>
      </w:r>
      <w:r>
        <w:rPr>
          <w:rFonts w:ascii="仿宋" w:eastAsia="仿宋" w:hAnsi="仿宋" w:cs="仿宋"/>
        </w:rPr>
        <w:t>中：</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（一）社会保障和就业支出（类）</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行政事业单位养老支出（款）行政单位离退休（项）支出</w:t>
      </w:r>
      <w:r>
        <w:rPr>
          <w:rFonts w:ascii="仿宋" w:eastAsia="仿宋" w:hAnsi="仿宋" w:cs="仿宋"/>
        </w:rPr>
        <w:t>21.5</w:t>
      </w:r>
      <w:r>
        <w:rPr>
          <w:rFonts w:ascii="仿宋" w:eastAsia="仿宋" w:hAnsi="仿宋" w:cs="仿宋"/>
        </w:rPr>
        <w:t>万元，与上年相比增加</w:t>
      </w:r>
      <w:r>
        <w:rPr>
          <w:rFonts w:ascii="仿宋" w:eastAsia="仿宋" w:hAnsi="仿宋" w:cs="仿宋"/>
        </w:rPr>
        <w:t>1.41</w:t>
      </w:r>
      <w:r>
        <w:rPr>
          <w:rFonts w:ascii="仿宋" w:eastAsia="仿宋" w:hAnsi="仿宋" w:cs="仿宋"/>
        </w:rPr>
        <w:t>万元，增长</w:t>
      </w:r>
      <w:r>
        <w:rPr>
          <w:rFonts w:ascii="仿宋" w:eastAsia="仿宋" w:hAnsi="仿宋" w:cs="仿宋"/>
        </w:rPr>
        <w:t>7.02%</w:t>
      </w:r>
      <w:r>
        <w:rPr>
          <w:rFonts w:ascii="仿宋" w:eastAsia="仿宋" w:hAnsi="仿宋" w:cs="仿宋"/>
        </w:rPr>
        <w:t>。主要原因是</w:t>
      </w:r>
      <w:r>
        <w:rPr>
          <w:rFonts w:ascii="仿宋" w:eastAsia="仿宋" w:hAnsi="仿宋" w:cs="仿宋"/>
        </w:rPr>
        <w:lastRenderedPageBreak/>
        <w:t>市生态环境局退休人员增加，行政离退休支出增加。</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行政事业单位养老支出（款）事业单位离退休（项）支出</w:t>
      </w:r>
      <w:r>
        <w:rPr>
          <w:rFonts w:ascii="仿宋" w:eastAsia="仿宋" w:hAnsi="仿宋" w:cs="仿宋"/>
        </w:rPr>
        <w:t>1.14</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（二）卫生健康支出（类）</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行政事业单位医疗（款）公务员医疗补助（项）支出</w:t>
      </w:r>
      <w:r>
        <w:rPr>
          <w:rFonts w:ascii="仿宋" w:eastAsia="仿宋" w:hAnsi="仿宋" w:cs="仿宋"/>
        </w:rPr>
        <w:t>58.65</w:t>
      </w:r>
      <w:r>
        <w:rPr>
          <w:rFonts w:ascii="仿宋" w:eastAsia="仿宋" w:hAnsi="仿宋" w:cs="仿宋"/>
        </w:rPr>
        <w:t>万元，与上年相比增加</w:t>
      </w:r>
      <w:r>
        <w:rPr>
          <w:rFonts w:ascii="仿宋" w:eastAsia="仿宋" w:hAnsi="仿宋" w:cs="仿宋"/>
        </w:rPr>
        <w:t>2.41</w:t>
      </w:r>
      <w:r>
        <w:rPr>
          <w:rFonts w:ascii="仿宋" w:eastAsia="仿宋" w:hAnsi="仿宋" w:cs="仿宋"/>
        </w:rPr>
        <w:t>万元，增长</w:t>
      </w:r>
      <w:r>
        <w:rPr>
          <w:rFonts w:ascii="仿宋" w:eastAsia="仿宋" w:hAnsi="仿宋" w:cs="仿宋"/>
        </w:rPr>
        <w:t>4.29%</w:t>
      </w:r>
      <w:r>
        <w:rPr>
          <w:rFonts w:ascii="仿宋" w:eastAsia="仿宋" w:hAnsi="仿宋" w:cs="仿宋"/>
        </w:rPr>
        <w:t>。主要原因是常州市生态环境监控中心人员增加，卫生健康支出增加。</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（三）节能环保支出（类</w:t>
      </w:r>
      <w:r>
        <w:rPr>
          <w:rFonts w:ascii="仿宋" w:eastAsia="仿宋" w:hAnsi="仿宋" w:cs="仿宋"/>
        </w:rPr>
        <w:t>）</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环境保护管理事务（款）行政运行（项）支出</w:t>
      </w:r>
      <w:r>
        <w:rPr>
          <w:rFonts w:ascii="仿宋" w:eastAsia="仿宋" w:hAnsi="仿宋" w:cs="仿宋"/>
        </w:rPr>
        <w:t>2,588.11</w:t>
      </w:r>
      <w:r>
        <w:rPr>
          <w:rFonts w:ascii="仿宋" w:eastAsia="仿宋" w:hAnsi="仿宋" w:cs="仿宋"/>
        </w:rPr>
        <w:t>万元，与上年相比增加</w:t>
      </w:r>
      <w:r>
        <w:rPr>
          <w:rFonts w:ascii="仿宋" w:eastAsia="仿宋" w:hAnsi="仿宋" w:cs="仿宋"/>
        </w:rPr>
        <w:t>56.79</w:t>
      </w:r>
      <w:r>
        <w:rPr>
          <w:rFonts w:ascii="仿宋" w:eastAsia="仿宋" w:hAnsi="仿宋" w:cs="仿宋"/>
        </w:rPr>
        <w:t>万元，增长</w:t>
      </w:r>
      <w:r>
        <w:rPr>
          <w:rFonts w:ascii="仿宋" w:eastAsia="仿宋" w:hAnsi="仿宋" w:cs="仿宋"/>
        </w:rPr>
        <w:t>2.24%</w:t>
      </w:r>
      <w:r>
        <w:rPr>
          <w:rFonts w:ascii="仿宋" w:eastAsia="仿宋" w:hAnsi="仿宋" w:cs="仿宋"/>
        </w:rPr>
        <w:t>。主要原因是市生态环境局增人增支。</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环境保护管理事务（款）一般行政管理事务（项）支出</w:t>
      </w:r>
      <w:r>
        <w:rPr>
          <w:rFonts w:ascii="仿宋" w:eastAsia="仿宋" w:hAnsi="仿宋" w:cs="仿宋"/>
        </w:rPr>
        <w:t>20,408.38</w:t>
      </w:r>
      <w:r>
        <w:rPr>
          <w:rFonts w:ascii="仿宋" w:eastAsia="仿宋" w:hAnsi="仿宋" w:cs="仿宋"/>
        </w:rPr>
        <w:t>万元，与上年相比减少</w:t>
      </w:r>
      <w:r>
        <w:rPr>
          <w:rFonts w:ascii="仿宋" w:eastAsia="仿宋" w:hAnsi="仿宋" w:cs="仿宋"/>
        </w:rPr>
        <w:t>4,382.37</w:t>
      </w:r>
      <w:r>
        <w:rPr>
          <w:rFonts w:ascii="仿宋" w:eastAsia="仿宋" w:hAnsi="仿宋" w:cs="仿宋"/>
        </w:rPr>
        <w:t>万元，减少</w:t>
      </w:r>
      <w:r>
        <w:rPr>
          <w:rFonts w:ascii="仿宋" w:eastAsia="仿宋" w:hAnsi="仿宋" w:cs="仿宋"/>
        </w:rPr>
        <w:t>17.68%</w:t>
      </w:r>
      <w:r>
        <w:rPr>
          <w:rFonts w:ascii="仿宋" w:eastAsia="仿宋" w:hAnsi="仿宋" w:cs="仿宋"/>
        </w:rPr>
        <w:t>。主要原因是市生态环境局环保垂改直属机构运转经费减少。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环境保护管理事务（款）其他环境保护管理事务支出（项）支出</w:t>
      </w:r>
      <w:r>
        <w:rPr>
          <w:rFonts w:ascii="仿宋" w:eastAsia="仿宋" w:hAnsi="仿宋" w:cs="仿宋"/>
        </w:rPr>
        <w:t>1,308.57</w:t>
      </w:r>
      <w:r>
        <w:rPr>
          <w:rFonts w:ascii="仿宋" w:eastAsia="仿宋" w:hAnsi="仿宋" w:cs="仿宋"/>
        </w:rPr>
        <w:t>万元，与上年相比增加</w:t>
      </w:r>
      <w:r>
        <w:rPr>
          <w:rFonts w:ascii="仿宋" w:eastAsia="仿宋" w:hAnsi="仿宋" w:cs="仿宋"/>
        </w:rPr>
        <w:t>112.99</w:t>
      </w:r>
      <w:r>
        <w:rPr>
          <w:rFonts w:ascii="仿宋" w:eastAsia="仿宋" w:hAnsi="仿宋" w:cs="仿宋"/>
        </w:rPr>
        <w:t>万元，增长</w:t>
      </w:r>
      <w:r>
        <w:rPr>
          <w:rFonts w:ascii="仿宋" w:eastAsia="仿宋" w:hAnsi="仿宋" w:cs="仿宋"/>
        </w:rPr>
        <w:t>9.45%</w:t>
      </w:r>
      <w:r>
        <w:rPr>
          <w:rFonts w:ascii="仿宋" w:eastAsia="仿宋" w:hAnsi="仿宋" w:cs="仿宋"/>
        </w:rPr>
        <w:t>。主要原因是市环境监控中心、市环境科学研究院其他环境保护管理事务支出增加。</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污染防治（款）其他污染防治支出（项）支出</w:t>
      </w:r>
      <w:r>
        <w:rPr>
          <w:rFonts w:ascii="仿宋" w:eastAsia="仿宋" w:hAnsi="仿宋" w:cs="仿宋"/>
        </w:rPr>
        <w:t>270</w:t>
      </w:r>
      <w:r>
        <w:rPr>
          <w:rFonts w:ascii="仿宋" w:eastAsia="仿宋" w:hAnsi="仿宋" w:cs="仿宋"/>
        </w:rPr>
        <w:t>万元，与上年相比增加</w:t>
      </w:r>
      <w:r>
        <w:rPr>
          <w:rFonts w:ascii="仿宋" w:eastAsia="仿宋" w:hAnsi="仿宋" w:cs="仿宋"/>
        </w:rPr>
        <w:t>270</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万元，无法计算增减比率）。主要原因是市生态环境局项目预算调整。</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w:t>
      </w:r>
      <w:r>
        <w:rPr>
          <w:rFonts w:ascii="仿宋" w:eastAsia="仿宋" w:hAnsi="仿宋" w:cs="仿宋"/>
        </w:rPr>
        <w:t>自然生态保护（款）生态保护（项）支出</w:t>
      </w:r>
      <w:r>
        <w:rPr>
          <w:rFonts w:ascii="仿宋" w:eastAsia="仿宋" w:hAnsi="仿宋" w:cs="仿宋"/>
        </w:rPr>
        <w:t>30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6.</w:t>
      </w:r>
      <w:r>
        <w:rPr>
          <w:rFonts w:ascii="仿宋" w:eastAsia="仿宋" w:hAnsi="仿宋" w:cs="仿宋"/>
        </w:rPr>
        <w:t>污染减排（款）生态环境监测与信息（项）支出</w:t>
      </w:r>
      <w:r>
        <w:rPr>
          <w:rFonts w:ascii="仿宋" w:eastAsia="仿宋" w:hAnsi="仿宋" w:cs="仿宋"/>
        </w:rPr>
        <w:t>1,144.4</w:t>
      </w:r>
      <w:r>
        <w:rPr>
          <w:rFonts w:ascii="仿宋" w:eastAsia="仿宋" w:hAnsi="仿宋" w:cs="仿宋"/>
        </w:rPr>
        <w:t>万元，与上年相比减</w:t>
      </w:r>
      <w:r>
        <w:rPr>
          <w:rFonts w:ascii="仿宋" w:eastAsia="仿宋" w:hAnsi="仿宋" w:cs="仿宋"/>
        </w:rPr>
        <w:t>少</w:t>
      </w:r>
      <w:r>
        <w:rPr>
          <w:rFonts w:ascii="仿宋" w:eastAsia="仿宋" w:hAnsi="仿宋" w:cs="仿宋"/>
        </w:rPr>
        <w:t>141.67</w:t>
      </w:r>
      <w:r>
        <w:rPr>
          <w:rFonts w:ascii="仿宋" w:eastAsia="仿宋" w:hAnsi="仿宋" w:cs="仿宋"/>
        </w:rPr>
        <w:t>万元，减少</w:t>
      </w:r>
      <w:r>
        <w:rPr>
          <w:rFonts w:ascii="仿宋" w:eastAsia="仿宋" w:hAnsi="仿宋" w:cs="仿宋"/>
        </w:rPr>
        <w:t>11.02%</w:t>
      </w:r>
      <w:r>
        <w:rPr>
          <w:rFonts w:ascii="仿宋" w:eastAsia="仿宋" w:hAnsi="仿宋" w:cs="仿宋"/>
        </w:rPr>
        <w:t>。主要原因是市生态环境监控中心项目经费减少。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w:t>
      </w:r>
      <w:r>
        <w:rPr>
          <w:rFonts w:ascii="仿宋" w:eastAsia="仿宋" w:hAnsi="仿宋" w:cs="仿宋"/>
        </w:rPr>
        <w:t>污染减排（款）生态环境执法监察（项）支出</w:t>
      </w:r>
      <w:r>
        <w:rPr>
          <w:rFonts w:ascii="仿宋" w:eastAsia="仿宋" w:hAnsi="仿宋" w:cs="仿宋"/>
        </w:rPr>
        <w:t>260</w:t>
      </w:r>
      <w:r>
        <w:rPr>
          <w:rFonts w:ascii="仿宋" w:eastAsia="仿宋" w:hAnsi="仿宋" w:cs="仿宋"/>
        </w:rPr>
        <w:t>万元，与上年相比减少</w:t>
      </w:r>
      <w:r>
        <w:rPr>
          <w:rFonts w:ascii="仿宋" w:eastAsia="仿宋" w:hAnsi="仿宋" w:cs="仿宋"/>
        </w:rPr>
        <w:t>0.4</w:t>
      </w:r>
      <w:r>
        <w:rPr>
          <w:rFonts w:ascii="仿宋" w:eastAsia="仿宋" w:hAnsi="仿宋" w:cs="仿宋"/>
        </w:rPr>
        <w:t>万元，减少</w:t>
      </w:r>
      <w:r>
        <w:rPr>
          <w:rFonts w:ascii="仿宋" w:eastAsia="仿宋" w:hAnsi="仿宋" w:cs="仿宋"/>
        </w:rPr>
        <w:t>0.15%</w:t>
      </w:r>
      <w:r>
        <w:rPr>
          <w:rFonts w:ascii="仿宋" w:eastAsia="仿宋" w:hAnsi="仿宋" w:cs="仿宋"/>
        </w:rPr>
        <w:t>。主要原因是市生态环境综合行政执法局生态环境执法项目经费减少。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（四）住房保障支出（类）</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住房改革支出（款）住房公积金（项）支出</w:t>
      </w:r>
      <w:r>
        <w:rPr>
          <w:rFonts w:ascii="仿宋" w:eastAsia="仿宋" w:hAnsi="仿宋" w:cs="仿宋"/>
        </w:rPr>
        <w:t>308.8</w:t>
      </w:r>
      <w:r>
        <w:rPr>
          <w:rFonts w:ascii="仿宋" w:eastAsia="仿宋" w:hAnsi="仿宋" w:cs="仿宋"/>
        </w:rPr>
        <w:t>万元，与上年相比减少</w:t>
      </w:r>
      <w:r>
        <w:rPr>
          <w:rFonts w:ascii="仿宋" w:eastAsia="仿宋" w:hAnsi="仿宋" w:cs="仿宋"/>
        </w:rPr>
        <w:t>0.44</w:t>
      </w:r>
      <w:r>
        <w:rPr>
          <w:rFonts w:ascii="仿宋" w:eastAsia="仿宋" w:hAnsi="仿宋" w:cs="仿宋"/>
        </w:rPr>
        <w:t>万元，减少</w:t>
      </w:r>
      <w:r>
        <w:rPr>
          <w:rFonts w:ascii="仿宋" w:eastAsia="仿宋" w:hAnsi="仿宋" w:cs="仿宋"/>
        </w:rPr>
        <w:t>0.14%</w:t>
      </w:r>
      <w:r>
        <w:rPr>
          <w:rFonts w:ascii="仿宋" w:eastAsia="仿宋" w:hAnsi="仿宋" w:cs="仿宋"/>
        </w:rPr>
        <w:t>。主要原因是市生态环境综合行政执法局住房公积金支出减少。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住房改革支出（款）提租补贴（项）支出</w:t>
      </w:r>
      <w:r>
        <w:rPr>
          <w:rFonts w:ascii="仿宋" w:eastAsia="仿宋" w:hAnsi="仿宋" w:cs="仿宋"/>
        </w:rPr>
        <w:t>436.18</w:t>
      </w:r>
      <w:r>
        <w:rPr>
          <w:rFonts w:ascii="仿宋" w:eastAsia="仿宋" w:hAnsi="仿宋" w:cs="仿宋"/>
        </w:rPr>
        <w:t>万元，与上年相比减少</w:t>
      </w:r>
      <w:r>
        <w:rPr>
          <w:rFonts w:ascii="仿宋" w:eastAsia="仿宋" w:hAnsi="仿宋" w:cs="仿宋"/>
        </w:rPr>
        <w:t>43.06</w:t>
      </w:r>
      <w:r>
        <w:rPr>
          <w:rFonts w:ascii="仿宋" w:eastAsia="仿宋" w:hAnsi="仿宋" w:cs="仿宋"/>
        </w:rPr>
        <w:t>万元</w:t>
      </w:r>
      <w:r>
        <w:rPr>
          <w:rFonts w:ascii="仿宋" w:eastAsia="仿宋" w:hAnsi="仿宋" w:cs="仿宋"/>
        </w:rPr>
        <w:t>，减少</w:t>
      </w:r>
      <w:r>
        <w:rPr>
          <w:rFonts w:ascii="仿宋" w:eastAsia="仿宋" w:hAnsi="仿宋" w:cs="仿宋"/>
        </w:rPr>
        <w:t>8.99%</w:t>
      </w:r>
      <w:r>
        <w:rPr>
          <w:rFonts w:ascii="仿宋" w:eastAsia="仿宋" w:hAnsi="仿宋" w:cs="仿宋"/>
        </w:rPr>
        <w:t>。主要原因是市生态环境局、市生态监控中心增加多名退休人员。</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住房改革支出（款）购房补贴（项）支出</w:t>
      </w:r>
      <w:r>
        <w:rPr>
          <w:rFonts w:ascii="仿宋" w:eastAsia="仿宋" w:hAnsi="仿宋" w:cs="仿宋"/>
        </w:rPr>
        <w:t>397.27</w:t>
      </w:r>
      <w:r>
        <w:rPr>
          <w:rFonts w:ascii="仿宋" w:eastAsia="仿宋" w:hAnsi="仿宋" w:cs="仿宋"/>
        </w:rPr>
        <w:t>万元，与上年相比增加</w:t>
      </w:r>
      <w:r>
        <w:rPr>
          <w:rFonts w:ascii="仿宋" w:eastAsia="仿宋" w:hAnsi="仿宋" w:cs="仿宋"/>
        </w:rPr>
        <w:t>50.48</w:t>
      </w:r>
      <w:r>
        <w:rPr>
          <w:rFonts w:ascii="仿宋" w:eastAsia="仿宋" w:hAnsi="仿宋" w:cs="仿宋"/>
        </w:rPr>
        <w:t>万元，增长</w:t>
      </w:r>
      <w:r>
        <w:rPr>
          <w:rFonts w:ascii="仿宋" w:eastAsia="仿宋" w:hAnsi="仿宋" w:cs="仿宋"/>
        </w:rPr>
        <w:t>14.56%</w:t>
      </w:r>
      <w:r>
        <w:rPr>
          <w:rFonts w:ascii="仿宋" w:eastAsia="仿宋" w:hAnsi="仿宋" w:cs="仿宋"/>
        </w:rPr>
        <w:t>。主要原因是市生态环境局、市生态环境监控中心增人增支。</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年度财政拨款基本支出预算</w:t>
      </w:r>
      <w:r>
        <w:rPr>
          <w:rFonts w:ascii="仿宋" w:eastAsia="仿宋" w:hAnsi="仿宋" w:cs="仿宋"/>
        </w:rPr>
        <w:t>5,120.22</w:t>
      </w:r>
      <w:r>
        <w:rPr>
          <w:rFonts w:ascii="仿宋" w:eastAsia="仿宋" w:hAnsi="仿宋" w:cs="仿宋"/>
        </w:rPr>
        <w:t>万元，其中：</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4,798.09</w:t>
      </w:r>
      <w:r>
        <w:rPr>
          <w:rFonts w:ascii="仿宋" w:eastAsia="仿宋" w:hAnsi="仿宋" w:cs="仿宋"/>
        </w:rPr>
        <w:t>万元。主要包括：基本工资、津贴补贴、奖金、绩效工资、机关事业单位基本养老保险缴费、职业年金缴费、职工基本医疗保险缴费、公务员医疗补助缴费、其他社会保障缴费、住房公积金、其他工资福利支出、离休费、退休费、奖</w:t>
      </w:r>
      <w:r>
        <w:rPr>
          <w:rFonts w:ascii="仿宋" w:eastAsia="仿宋" w:hAnsi="仿宋" w:cs="仿宋"/>
        </w:rPr>
        <w:lastRenderedPageBreak/>
        <w:t>励金、其他对个人和家庭的补助。</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322.13</w:t>
      </w:r>
      <w:r>
        <w:rPr>
          <w:rFonts w:ascii="仿宋" w:eastAsia="仿宋" w:hAnsi="仿宋" w:cs="仿宋"/>
        </w:rPr>
        <w:t>万元。主要包括：办公费、水费、电费、差旅费、会议费、培训费、公务接待费、工会经费、福利费、公务用车运行维护费、其他交通费用、其他商品和服务支出。</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年一般公共预算财</w:t>
      </w:r>
      <w:r>
        <w:rPr>
          <w:rFonts w:ascii="仿宋" w:eastAsia="仿宋" w:hAnsi="仿宋" w:cs="仿宋"/>
        </w:rPr>
        <w:t>政拨款支出预算</w:t>
      </w:r>
      <w:r>
        <w:rPr>
          <w:rFonts w:ascii="仿宋" w:eastAsia="仿宋" w:hAnsi="仿宋" w:cs="仿宋"/>
        </w:rPr>
        <w:t>27,233</w:t>
      </w:r>
      <w:r>
        <w:rPr>
          <w:rFonts w:ascii="仿宋" w:eastAsia="仿宋" w:hAnsi="仿宋" w:cs="仿宋"/>
        </w:rPr>
        <w:t>万元，与上年相比减少</w:t>
      </w:r>
      <w:r>
        <w:rPr>
          <w:rFonts w:ascii="仿宋" w:eastAsia="仿宋" w:hAnsi="仿宋" w:cs="仿宋"/>
        </w:rPr>
        <w:t>4,073.86</w:t>
      </w:r>
      <w:r>
        <w:rPr>
          <w:rFonts w:ascii="仿宋" w:eastAsia="仿宋" w:hAnsi="仿宋" w:cs="仿宋"/>
        </w:rPr>
        <w:t>万元，减少</w:t>
      </w:r>
      <w:r>
        <w:rPr>
          <w:rFonts w:ascii="仿宋" w:eastAsia="仿宋" w:hAnsi="仿宋" w:cs="仿宋"/>
        </w:rPr>
        <w:t>13.01%</w:t>
      </w:r>
      <w:r>
        <w:rPr>
          <w:rFonts w:ascii="仿宋" w:eastAsia="仿宋" w:hAnsi="仿宋" w:cs="仿宋"/>
        </w:rPr>
        <w:t>。主要原因是市生态环境局环保垂改直属机构运转经费减少。</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年度一般公共预算财政拨款基本支出预算</w:t>
      </w:r>
      <w:r>
        <w:rPr>
          <w:rFonts w:ascii="仿宋" w:eastAsia="仿宋" w:hAnsi="仿宋" w:cs="仿宋"/>
        </w:rPr>
        <w:t>5,120.22</w:t>
      </w:r>
      <w:r>
        <w:rPr>
          <w:rFonts w:ascii="仿宋" w:eastAsia="仿宋" w:hAnsi="仿宋" w:cs="仿宋"/>
        </w:rPr>
        <w:t>万元，其中：</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4,798.09</w:t>
      </w:r>
      <w:r>
        <w:rPr>
          <w:rFonts w:ascii="仿宋" w:eastAsia="仿宋" w:hAnsi="仿宋" w:cs="仿宋"/>
        </w:rPr>
        <w:t>万元。主要包括：基本工资、津贴补贴、奖金、绩效工资、机关事业单位基本养老保险缴费、职业年金缴费、职工基本医疗保险缴费、公务员医疗补助缴费、其他社会保障缴费、住房公积金、其他工资福利支出、离休费、退休费、奖励金、其他</w:t>
      </w:r>
      <w:r>
        <w:rPr>
          <w:rFonts w:ascii="仿宋" w:eastAsia="仿宋" w:hAnsi="仿宋" w:cs="仿宋"/>
        </w:rPr>
        <w:t>对个人和家庭的补助。</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322.13</w:t>
      </w:r>
      <w:r>
        <w:rPr>
          <w:rFonts w:ascii="仿宋" w:eastAsia="仿宋" w:hAnsi="仿宋" w:cs="仿宋"/>
        </w:rPr>
        <w:t>万元。主要包括：办公费、水费、电费、差旅费、会议费、培训费、公务接待费、工会经费、福利费、公务用车运行维护费、其他交通费用、其他商品和服务支出。</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年度一般公共预算拨款安排的</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经费支出预算</w:t>
      </w:r>
      <w:r>
        <w:rPr>
          <w:rFonts w:ascii="仿宋" w:eastAsia="仿宋" w:hAnsi="仿宋" w:cs="仿宋"/>
        </w:rPr>
        <w:t>13.78</w:t>
      </w:r>
      <w:r>
        <w:rPr>
          <w:rFonts w:ascii="仿宋" w:eastAsia="仿宋" w:hAnsi="仿宋" w:cs="仿宋"/>
        </w:rPr>
        <w:t>万元，比上年预算增加</w:t>
      </w:r>
      <w:r>
        <w:rPr>
          <w:rFonts w:ascii="仿宋" w:eastAsia="仿宋" w:hAnsi="仿宋" w:cs="仿宋"/>
        </w:rPr>
        <w:t>0.14</w:t>
      </w:r>
      <w:r>
        <w:rPr>
          <w:rFonts w:ascii="仿宋" w:eastAsia="仿宋" w:hAnsi="仿宋" w:cs="仿宋"/>
        </w:rPr>
        <w:t>万元，变动</w:t>
      </w:r>
      <w:r>
        <w:rPr>
          <w:rFonts w:ascii="仿宋" w:eastAsia="仿宋" w:hAnsi="仿宋" w:cs="仿宋"/>
        </w:rPr>
        <w:lastRenderedPageBreak/>
        <w:t>原因市生态环境局因业务需要，公务接待费预算增加。其中，因公出国（境）费支出</w:t>
      </w:r>
      <w:r>
        <w:rPr>
          <w:rFonts w:ascii="仿宋" w:eastAsia="仿宋" w:hAnsi="仿宋" w:cs="仿宋"/>
        </w:rPr>
        <w:t>3.5</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25.4%</w:t>
      </w:r>
      <w:r>
        <w:rPr>
          <w:rFonts w:ascii="仿宋" w:eastAsia="仿宋" w:hAnsi="仿宋" w:cs="仿宋"/>
        </w:rPr>
        <w:t>；公务用车购置及运行维护费</w:t>
      </w:r>
      <w:r>
        <w:rPr>
          <w:rFonts w:ascii="仿宋" w:eastAsia="仿宋" w:hAnsi="仿宋" w:cs="仿宋"/>
        </w:rPr>
        <w:t>支出</w:t>
      </w:r>
      <w:r>
        <w:rPr>
          <w:rFonts w:ascii="仿宋" w:eastAsia="仿宋" w:hAnsi="仿宋" w:cs="仿宋"/>
        </w:rPr>
        <w:t>3.5</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25.4%</w:t>
      </w:r>
      <w:r>
        <w:rPr>
          <w:rFonts w:ascii="仿宋" w:eastAsia="仿宋" w:hAnsi="仿宋" w:cs="仿宋"/>
        </w:rPr>
        <w:t>；公务接待费支出</w:t>
      </w:r>
      <w:r>
        <w:rPr>
          <w:rFonts w:ascii="仿宋" w:eastAsia="仿宋" w:hAnsi="仿宋" w:cs="仿宋"/>
        </w:rPr>
        <w:t>6.78</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49.2%</w:t>
      </w:r>
      <w:r>
        <w:rPr>
          <w:rFonts w:ascii="仿宋" w:eastAsia="仿宋" w:hAnsi="仿宋" w:cs="仿宋"/>
        </w:rPr>
        <w:t>。具体情况如下：</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．因公出国（境）费预算支出</w:t>
      </w:r>
      <w:r>
        <w:rPr>
          <w:rFonts w:ascii="仿宋" w:eastAsia="仿宋" w:hAnsi="仿宋" w:cs="仿宋"/>
        </w:rPr>
        <w:t>3.5</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．公务用车购置及运行维护费预算支出</w:t>
      </w:r>
      <w:r>
        <w:rPr>
          <w:rFonts w:ascii="仿宋" w:eastAsia="仿宋" w:hAnsi="仿宋" w:cs="仿宋"/>
        </w:rPr>
        <w:t>3.5</w:t>
      </w:r>
      <w:r>
        <w:rPr>
          <w:rFonts w:ascii="仿宋" w:eastAsia="仿宋" w:hAnsi="仿宋" w:cs="仿宋"/>
        </w:rPr>
        <w:t>万元。其中：</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）公务用车购置预算支出</w:t>
      </w:r>
      <w:r>
        <w:rPr>
          <w:rFonts w:ascii="仿宋" w:eastAsia="仿宋" w:hAnsi="仿宋" w:cs="仿宋"/>
        </w:rPr>
        <w:t>0</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）公务用车运行维护费预算支出</w:t>
      </w:r>
      <w:r>
        <w:rPr>
          <w:rFonts w:ascii="仿宋" w:eastAsia="仿宋" w:hAnsi="仿宋" w:cs="仿宋"/>
        </w:rPr>
        <w:t>3.5</w:t>
      </w:r>
      <w:r>
        <w:rPr>
          <w:rFonts w:ascii="仿宋" w:eastAsia="仿宋" w:hAnsi="仿宋" w:cs="仿宋"/>
        </w:rPr>
        <w:t>万元，与上年预算数相同。</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．公务接待费预算支出</w:t>
      </w:r>
      <w:r>
        <w:rPr>
          <w:rFonts w:ascii="仿宋" w:eastAsia="仿宋" w:hAnsi="仿宋" w:cs="仿宋"/>
        </w:rPr>
        <w:t>6.78</w:t>
      </w:r>
      <w:r>
        <w:rPr>
          <w:rFonts w:ascii="仿宋" w:eastAsia="仿宋" w:hAnsi="仿宋" w:cs="仿宋"/>
        </w:rPr>
        <w:t>万元，比上年预算增加</w:t>
      </w:r>
      <w:r>
        <w:rPr>
          <w:rFonts w:ascii="仿宋" w:eastAsia="仿宋" w:hAnsi="仿宋" w:cs="仿宋"/>
        </w:rPr>
        <w:t>0.14</w:t>
      </w:r>
      <w:r>
        <w:rPr>
          <w:rFonts w:ascii="仿宋" w:eastAsia="仿宋" w:hAnsi="仿宋" w:cs="仿宋"/>
        </w:rPr>
        <w:t>万元，主要原因是市生态环境局因工作业务需要，公务接待费预算增加。</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年度一般公共预算拨款安排的会议费预算支出</w:t>
      </w:r>
      <w:r>
        <w:rPr>
          <w:rFonts w:ascii="仿宋" w:eastAsia="仿宋" w:hAnsi="仿宋" w:cs="仿宋"/>
        </w:rPr>
        <w:t>9.51</w:t>
      </w:r>
      <w:r>
        <w:rPr>
          <w:rFonts w:ascii="仿宋" w:eastAsia="仿宋" w:hAnsi="仿宋" w:cs="仿宋"/>
        </w:rPr>
        <w:t>万元，比上年预算减少</w:t>
      </w:r>
      <w:r>
        <w:rPr>
          <w:rFonts w:ascii="仿宋" w:eastAsia="仿宋" w:hAnsi="仿宋" w:cs="仿宋"/>
        </w:rPr>
        <w:t>0.09</w:t>
      </w:r>
      <w:r>
        <w:rPr>
          <w:rFonts w:ascii="仿宋" w:eastAsia="仿宋" w:hAnsi="仿宋" w:cs="仿宋"/>
        </w:rPr>
        <w:t>万元，主要原因是市生态环境综合行政执法局厉行节约，会议费预算减少。</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年度一般公共预算拨款安排的培训费预算支出</w:t>
      </w:r>
      <w:r>
        <w:rPr>
          <w:rFonts w:ascii="仿宋" w:eastAsia="仿宋" w:hAnsi="仿宋" w:cs="仿宋"/>
        </w:rPr>
        <w:t>22.63</w:t>
      </w:r>
      <w:r>
        <w:rPr>
          <w:rFonts w:ascii="仿宋" w:eastAsia="仿宋" w:hAnsi="仿宋" w:cs="仿宋"/>
        </w:rPr>
        <w:t>万元，比上年预算增加</w:t>
      </w:r>
      <w:r>
        <w:rPr>
          <w:rFonts w:ascii="仿宋" w:eastAsia="仿宋" w:hAnsi="仿宋" w:cs="仿宋"/>
        </w:rPr>
        <w:t>0.15</w:t>
      </w:r>
      <w:r>
        <w:rPr>
          <w:rFonts w:ascii="仿宋" w:eastAsia="仿宋" w:hAnsi="仿宋" w:cs="仿宋"/>
        </w:rPr>
        <w:t>万元，主要原因是市生态环境局因工作业务需要，培训费预算增加。</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2025</w:t>
      </w:r>
      <w:r>
        <w:rPr>
          <w:rFonts w:ascii="仿宋" w:eastAsia="仿宋" w:hAnsi="仿宋" w:cs="仿宋"/>
        </w:rPr>
        <w:t>年政府性基金支出预算支出</w:t>
      </w:r>
      <w:r>
        <w:rPr>
          <w:rFonts w:ascii="仿宋" w:eastAsia="仿宋" w:hAnsi="仿宋" w:cs="仿宋"/>
        </w:rPr>
        <w:t>0</w:t>
      </w:r>
      <w:r>
        <w:rPr>
          <w:rFonts w:ascii="仿宋" w:eastAsia="仿宋" w:hAnsi="仿宋" w:cs="仿宋"/>
        </w:rPr>
        <w:t>万元。与上年预算数相同。</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常州市生态环境局</w:t>
      </w:r>
      <w:r>
        <w:rPr>
          <w:rFonts w:ascii="仿宋" w:eastAsia="仿宋" w:hAnsi="仿宋" w:cs="仿宋"/>
        </w:rPr>
        <w:t>2025</w:t>
      </w:r>
      <w:r>
        <w:rPr>
          <w:rFonts w:ascii="仿宋" w:eastAsia="仿宋" w:hAnsi="仿宋" w:cs="仿宋"/>
        </w:rPr>
        <w:t>年国</w:t>
      </w:r>
      <w:r>
        <w:rPr>
          <w:rFonts w:ascii="仿宋" w:eastAsia="仿宋" w:hAnsi="仿宋" w:cs="仿宋"/>
        </w:rPr>
        <w:t>有资本经营预算支出</w:t>
      </w:r>
      <w:r>
        <w:rPr>
          <w:rFonts w:ascii="仿宋" w:eastAsia="仿宋" w:hAnsi="仿宋" w:cs="仿宋"/>
        </w:rPr>
        <w:t>0</w:t>
      </w:r>
      <w:r>
        <w:rPr>
          <w:rFonts w:ascii="仿宋" w:eastAsia="仿宋" w:hAnsi="仿宋" w:cs="仿宋"/>
        </w:rPr>
        <w:t>万元。与上年预算数相同。</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2025</w:t>
      </w:r>
      <w:r>
        <w:rPr>
          <w:rFonts w:ascii="仿宋" w:eastAsia="仿宋" w:hAnsi="仿宋" w:cs="仿宋"/>
        </w:rPr>
        <w:t>年本部门一般公共预算机关运行经费预算支出</w:t>
      </w:r>
      <w:r>
        <w:rPr>
          <w:rFonts w:ascii="仿宋" w:eastAsia="仿宋" w:hAnsi="仿宋" w:cs="仿宋"/>
        </w:rPr>
        <w:t>145.26</w:t>
      </w:r>
      <w:r>
        <w:rPr>
          <w:rFonts w:ascii="仿宋" w:eastAsia="仿宋" w:hAnsi="仿宋" w:cs="仿宋"/>
        </w:rPr>
        <w:t>万元，与上年相比增加</w:t>
      </w:r>
      <w:r>
        <w:rPr>
          <w:rFonts w:ascii="仿宋" w:eastAsia="仿宋" w:hAnsi="仿宋" w:cs="仿宋"/>
        </w:rPr>
        <w:t>4.03</w:t>
      </w:r>
      <w:r>
        <w:rPr>
          <w:rFonts w:ascii="仿宋" w:eastAsia="仿宋" w:hAnsi="仿宋" w:cs="仿宋"/>
        </w:rPr>
        <w:t>万元，增长</w:t>
      </w:r>
      <w:r>
        <w:rPr>
          <w:rFonts w:ascii="仿宋" w:eastAsia="仿宋" w:hAnsi="仿宋" w:cs="仿宋"/>
        </w:rPr>
        <w:t>2.85%</w:t>
      </w:r>
      <w:r>
        <w:rPr>
          <w:rFonts w:ascii="仿宋" w:eastAsia="仿宋" w:hAnsi="仿宋" w:cs="仿宋"/>
        </w:rPr>
        <w:t>。主要原因是市生态环境局因人员增加，机关运行经费预算增加。</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2025</w:t>
      </w:r>
      <w:r>
        <w:rPr>
          <w:rFonts w:ascii="仿宋" w:eastAsia="仿宋" w:hAnsi="仿宋" w:cs="仿宋"/>
        </w:rPr>
        <w:t>年度政府采购支出预算总额</w:t>
      </w:r>
      <w:r>
        <w:rPr>
          <w:rFonts w:ascii="仿宋" w:eastAsia="仿宋" w:hAnsi="仿宋" w:cs="仿宋"/>
        </w:rPr>
        <w:t>0</w:t>
      </w:r>
      <w:r>
        <w:rPr>
          <w:rFonts w:ascii="仿宋" w:eastAsia="仿宋" w:hAnsi="仿宋" w:cs="仿宋"/>
        </w:rPr>
        <w:t>万元，其中：拟采购货物支出</w:t>
      </w:r>
      <w:r>
        <w:rPr>
          <w:rFonts w:ascii="仿宋" w:eastAsia="仿宋" w:hAnsi="仿宋" w:cs="仿宋"/>
        </w:rPr>
        <w:t>0</w:t>
      </w:r>
      <w:r>
        <w:rPr>
          <w:rFonts w:ascii="仿宋" w:eastAsia="仿宋" w:hAnsi="仿宋" w:cs="仿宋"/>
        </w:rPr>
        <w:t>万元、拟采购工程支出</w:t>
      </w:r>
      <w:r>
        <w:rPr>
          <w:rFonts w:ascii="仿宋" w:eastAsia="仿宋" w:hAnsi="仿宋" w:cs="仿宋"/>
        </w:rPr>
        <w:t>0</w:t>
      </w:r>
      <w:r>
        <w:rPr>
          <w:rFonts w:ascii="仿宋" w:eastAsia="仿宋" w:hAnsi="仿宋" w:cs="仿宋"/>
        </w:rPr>
        <w:t>万元、拟采购服务支出</w:t>
      </w:r>
      <w:r>
        <w:rPr>
          <w:rFonts w:ascii="仿宋" w:eastAsia="仿宋" w:hAnsi="仿宋" w:cs="仿宋"/>
        </w:rPr>
        <w:t>0</w:t>
      </w:r>
      <w:r>
        <w:rPr>
          <w:rFonts w:ascii="仿宋" w:eastAsia="仿宋" w:hAnsi="仿宋" w:cs="仿宋"/>
        </w:rPr>
        <w:t>万元。</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本部门共有车辆</w:t>
      </w:r>
      <w:r>
        <w:rPr>
          <w:rFonts w:ascii="仿宋" w:eastAsia="仿宋" w:hAnsi="仿宋" w:cs="仿宋"/>
        </w:rPr>
        <w:t>8</w:t>
      </w:r>
      <w:r>
        <w:rPr>
          <w:rFonts w:ascii="仿宋" w:eastAsia="仿宋" w:hAnsi="仿宋" w:cs="仿宋"/>
        </w:rPr>
        <w:t>辆，其中，副部（省）级及以上领导用车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1</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7</w:t>
      </w:r>
      <w:r>
        <w:rPr>
          <w:rFonts w:ascii="仿宋" w:eastAsia="仿宋" w:hAnsi="仿宋" w:cs="仿宋"/>
        </w:rPr>
        <w:t>辆；单价</w:t>
      </w:r>
      <w:r>
        <w:rPr>
          <w:rFonts w:ascii="仿宋" w:eastAsia="仿宋" w:hAnsi="仿宋" w:cs="仿宋"/>
        </w:rPr>
        <w:t>100</w:t>
      </w:r>
      <w:r>
        <w:rPr>
          <w:rFonts w:ascii="仿宋" w:eastAsia="仿宋" w:hAnsi="仿宋" w:cs="仿宋"/>
        </w:rPr>
        <w:t>万元（含）以上的设备</w:t>
      </w:r>
      <w:r>
        <w:rPr>
          <w:rFonts w:ascii="仿宋" w:eastAsia="仿宋" w:hAnsi="仿宋" w:cs="仿宋"/>
        </w:rPr>
        <w:t>5</w:t>
      </w:r>
      <w:r>
        <w:rPr>
          <w:rFonts w:ascii="仿宋" w:eastAsia="仿宋" w:hAnsi="仿宋" w:cs="仿宋"/>
        </w:rPr>
        <w:t>台（套）。</w:t>
      </w:r>
    </w:p>
    <w:p w:rsidR="00C357BF" w:rsidRDefault="004517BF" w:rsidP="00B508D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C357BF" w:rsidRDefault="004517BF">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2025</w:t>
      </w:r>
      <w:r>
        <w:rPr>
          <w:rFonts w:ascii="仿宋" w:eastAsia="仿宋" w:hAnsi="仿宋" w:cs="仿宋"/>
        </w:rPr>
        <w:t>年度，本部门整体支出纳入绩效目标管理，涉及财政性资金</w:t>
      </w:r>
      <w:r>
        <w:rPr>
          <w:rFonts w:ascii="仿宋" w:eastAsia="仿宋" w:hAnsi="仿宋" w:cs="仿宋"/>
        </w:rPr>
        <w:t>27,315.64</w:t>
      </w:r>
      <w:r>
        <w:rPr>
          <w:rFonts w:ascii="仿宋" w:eastAsia="仿宋" w:hAnsi="仿宋" w:cs="仿宋"/>
        </w:rPr>
        <w:t>万元；本部门共</w:t>
      </w:r>
      <w:r>
        <w:rPr>
          <w:rFonts w:ascii="仿宋" w:eastAsia="仿宋" w:hAnsi="仿宋" w:cs="仿宋"/>
        </w:rPr>
        <w:t>15</w:t>
      </w:r>
      <w:r>
        <w:rPr>
          <w:rFonts w:ascii="仿宋" w:eastAsia="仿宋" w:hAnsi="仿宋" w:cs="仿宋"/>
        </w:rPr>
        <w:t>个项目纳入绩效目标管理，涉及财政性资金合计</w:t>
      </w:r>
      <w:r>
        <w:rPr>
          <w:rFonts w:ascii="仿宋" w:eastAsia="仿宋" w:hAnsi="仿宋" w:cs="仿宋"/>
        </w:rPr>
        <w:t>22,195.42</w:t>
      </w:r>
      <w:r>
        <w:rPr>
          <w:rFonts w:ascii="仿宋" w:eastAsia="仿宋" w:hAnsi="仿宋" w:cs="仿宋"/>
        </w:rPr>
        <w:t>万元，占财政性资金</w:t>
      </w:r>
      <w:r>
        <w:rPr>
          <w:rFonts w:ascii="仿宋" w:eastAsia="仿宋" w:hAnsi="仿宋" w:cs="仿宋"/>
        </w:rPr>
        <w:t>(</w:t>
      </w:r>
      <w:r>
        <w:rPr>
          <w:rFonts w:ascii="仿宋" w:eastAsia="仿宋" w:hAnsi="仿宋" w:cs="仿宋"/>
        </w:rPr>
        <w:t>人员类和运转类中的公用经费项目支出除外</w:t>
      </w:r>
      <w:r>
        <w:rPr>
          <w:rFonts w:ascii="仿宋" w:eastAsia="仿宋" w:hAnsi="仿宋" w:cs="仿宋"/>
        </w:rPr>
        <w:t>)</w:t>
      </w:r>
      <w:r>
        <w:rPr>
          <w:rFonts w:ascii="仿宋" w:eastAsia="仿宋" w:hAnsi="仿宋" w:cs="仿宋"/>
        </w:rPr>
        <w:t>总额的比例为</w:t>
      </w:r>
      <w:r>
        <w:rPr>
          <w:rFonts w:ascii="仿宋" w:eastAsia="仿宋" w:hAnsi="仿宋" w:cs="仿宋"/>
        </w:rPr>
        <w:t>100%</w:t>
      </w:r>
      <w:r>
        <w:rPr>
          <w:rFonts w:ascii="仿宋" w:eastAsia="仿宋" w:hAnsi="仿宋" w:cs="仿宋"/>
        </w:rPr>
        <w:t>。</w:t>
      </w:r>
    </w:p>
    <w:p w:rsidR="00C357BF" w:rsidRDefault="004517BF">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w:t>
      </w:r>
      <w:r>
        <w:rPr>
          <w:rFonts w:ascii="仿宋" w:eastAsia="仿宋" w:hAnsi="仿宋" w:cs="仿宋" w:hint="eastAsia"/>
          <w:b/>
          <w:bCs/>
          <w:sz w:val="36"/>
          <w:szCs w:val="36"/>
        </w:rPr>
        <w:t xml:space="preserve"> </w:t>
      </w:r>
      <w:r>
        <w:rPr>
          <w:rFonts w:ascii="仿宋" w:eastAsia="仿宋" w:hAnsi="仿宋" w:cs="仿宋" w:hint="eastAsia"/>
          <w:b/>
          <w:bCs/>
          <w:sz w:val="36"/>
          <w:szCs w:val="36"/>
        </w:rPr>
        <w:t>名词解释</w:t>
      </w:r>
    </w:p>
    <w:p w:rsidR="00C357BF" w:rsidRDefault="00C357BF">
      <w:pPr>
        <w:pStyle w:val="a4"/>
        <w:tabs>
          <w:tab w:val="left" w:pos="3864"/>
          <w:tab w:val="left" w:pos="6248"/>
          <w:tab w:val="left" w:pos="7386"/>
        </w:tabs>
        <w:ind w:leftChars="200" w:left="440" w:firstLineChars="206" w:firstLine="659"/>
        <w:jc w:val="both"/>
        <w:rPr>
          <w:rFonts w:ascii="仿宋" w:eastAsia="仿宋" w:hAnsi="仿宋" w:cs="仿宋"/>
        </w:rPr>
      </w:pP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w:t>
      </w:r>
      <w:r>
        <w:rPr>
          <w:rFonts w:ascii="仿宋" w:eastAsia="仿宋" w:hAnsi="仿宋" w:cs="仿宋" w:hint="eastAsia"/>
        </w:rPr>
        <w:lastRenderedPageBreak/>
        <w:t>款。</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w:t>
      </w:r>
      <w:r>
        <w:rPr>
          <w:rFonts w:ascii="仿宋" w:eastAsia="仿宋" w:hAnsi="仿宋" w:cs="仿宋" w:hint="eastAsia"/>
        </w:rPr>
        <w:t>本支出之外为完成特定工作任务和事业发展目标所发生的支出。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w:t>
      </w:r>
      <w:r>
        <w:rPr>
          <w:rFonts w:ascii="仿宋" w:eastAsia="仿宋" w:hAnsi="仿宋" w:cs="仿宋" w:hint="eastAsia"/>
        </w:rPr>
        <w:t>支出中的日常公用经费支出，包括办公及印刷费、邮电费、差旅费、会议费、福利费、日常维修费、专用材料及一般设备购置费、办公用房水电费、办公用房取暖</w:t>
      </w:r>
      <w:r>
        <w:rPr>
          <w:rFonts w:ascii="仿宋" w:eastAsia="仿宋" w:hAnsi="仿宋" w:cs="仿宋" w:hint="eastAsia"/>
        </w:rPr>
        <w:lastRenderedPageBreak/>
        <w:t>费、办公用房物业管理费、公务用车运行维护费及其他费用等。</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一般行政管理事务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反映行政单位（包括实行公务员管理的事业单位）未单独设置项级科目的其他项目支出。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其他环境保护管理事务支出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反映除上述项目以外其他用于环境保护管理事务方面的支出。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污染防治</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其他污染防治支出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w:t>
      </w:r>
      <w:r>
        <w:rPr>
          <w:rFonts w:ascii="仿宋" w:eastAsia="仿宋" w:hAnsi="仿宋" w:cs="仿宋" w:hint="eastAsia"/>
        </w:rPr>
        <w:t>除上述项目以外其他用于污染防治方面的支出。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自然生态保护</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生态保护</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反映用于生态功能区、生态示范区、生态省（市、县）管理及能力建设、日常管护、宣教、试点示范等支出，生态修复支出，资源开发生态监管支出，生态护林员的劳务报酬等支出。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十六、节能环保支出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污染减排</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生态环境监测与信息</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反映生态环境部门监测和信息方面的支出，包括环境质量监测、污染治理设施竣工验收监测、污染源监督性监测、污染事故应急监测和污染纠纷监测等支出，环境统计和调查、环境质量评价、绿色国民经济核算</w:t>
      </w:r>
      <w:r>
        <w:rPr>
          <w:rFonts w:ascii="仿宋" w:eastAsia="仿宋" w:hAnsi="仿宋" w:cs="仿宋" w:hint="eastAsia"/>
        </w:rPr>
        <w:t>等支出，环境信息系统建设、维护、运行、信息发布及其技术支持等方面的支出。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污染减排</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生态环境执法监察</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反映生态环境部门监督检查环保法律法规、标准等执行情况的支出，行政处罚、行政诉讼、行政复议支出，环境行政稽查支出，执法装备支出</w:t>
      </w:r>
      <w:r>
        <w:rPr>
          <w:rFonts w:ascii="仿宋" w:eastAsia="仿宋" w:hAnsi="仿宋" w:cs="仿宋" w:hint="eastAsia"/>
        </w:rPr>
        <w:t>,</w:t>
      </w:r>
      <w:r>
        <w:rPr>
          <w:rFonts w:ascii="仿宋" w:eastAsia="仿宋" w:hAnsi="仿宋" w:cs="仿宋" w:hint="eastAsia"/>
        </w:rPr>
        <w:t>排污费申报、征收与使用管理支出，环境问题举报、环境纠纷调查处理支出，突发性污染事故预防、应急处置等支出。</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w:t>
      </w:r>
      <w:r>
        <w:rPr>
          <w:rFonts w:ascii="仿宋" w:eastAsia="仿宋" w:hAnsi="仿宋" w:cs="仿宋" w:hint="eastAsia"/>
        </w:rPr>
        <w:t>职工缴纳的住房公积金。</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C357BF" w:rsidRDefault="004517BF">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sectPr w:rsidR="00C357BF" w:rsidSect="00C357BF">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7BF" w:rsidRDefault="004517BF" w:rsidP="00C357BF">
      <w:r>
        <w:separator/>
      </w:r>
    </w:p>
  </w:endnote>
  <w:endnote w:type="continuationSeparator" w:id="1">
    <w:p w:rsidR="004517BF" w:rsidRDefault="004517BF" w:rsidP="00C357B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8DE" w:rsidRDefault="00B508D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8DE" w:rsidRDefault="00B508DE">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8DE" w:rsidRDefault="00B508DE">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rPr>
        <w:rFonts w:ascii="黑体" w:eastAsia="黑体" w:hAnsi="黑体" w:cs="黑体"/>
      </w:rPr>
    </w:pPr>
    <w:r w:rsidRPr="00C357BF">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C357BF" w:rsidRDefault="00C357BF">
                <w:pPr>
                  <w:pStyle w:val="a5"/>
                  <w:rPr>
                    <w:rFonts w:ascii="黑体" w:eastAsia="黑体" w:hAnsi="黑体" w:cs="黑体"/>
                  </w:rPr>
                </w:pPr>
                <w:r>
                  <w:rPr>
                    <w:rFonts w:ascii="黑体" w:eastAsia="黑体" w:hAnsi="黑体" w:cs="黑体" w:hint="eastAsia"/>
                  </w:rPr>
                  <w:fldChar w:fldCharType="begin"/>
                </w:r>
                <w:r w:rsidR="004517BF">
                  <w:rPr>
                    <w:rFonts w:ascii="黑体" w:eastAsia="黑体" w:hAnsi="黑体" w:cs="黑体" w:hint="eastAsia"/>
                  </w:rPr>
                  <w:instrText xml:space="preserve"> PAGE  \* MERGEFORMAT </w:instrText>
                </w:r>
                <w:r>
                  <w:rPr>
                    <w:rFonts w:ascii="黑体" w:eastAsia="黑体" w:hAnsi="黑体" w:cs="黑体" w:hint="eastAsia"/>
                  </w:rPr>
                  <w:fldChar w:fldCharType="separate"/>
                </w:r>
                <w:r w:rsidR="00B508DE">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rPr>
        <w:rFonts w:ascii="黑体" w:eastAsia="黑体" w:hAnsi="黑体" w:cs="黑体"/>
      </w:rPr>
    </w:pPr>
    <w:r w:rsidRPr="00C357BF">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C357BF" w:rsidRDefault="00C357BF">
                <w:pPr>
                  <w:pStyle w:val="a5"/>
                  <w:rPr>
                    <w:rFonts w:ascii="黑体" w:eastAsia="黑体" w:hAnsi="黑体" w:cs="黑体"/>
                  </w:rPr>
                </w:pPr>
                <w:r>
                  <w:rPr>
                    <w:rFonts w:ascii="黑体" w:eastAsia="黑体" w:hAnsi="黑体" w:cs="黑体" w:hint="eastAsia"/>
                  </w:rPr>
                  <w:fldChar w:fldCharType="begin"/>
                </w:r>
                <w:r w:rsidR="004517BF">
                  <w:rPr>
                    <w:rFonts w:ascii="黑体" w:eastAsia="黑体" w:hAnsi="黑体" w:cs="黑体" w:hint="eastAsia"/>
                  </w:rPr>
                  <w:instrText xml:space="preserve"> PAGE  \* MERGEFORMAT </w:instrText>
                </w:r>
                <w:r>
                  <w:rPr>
                    <w:rFonts w:ascii="黑体" w:eastAsia="黑体" w:hAnsi="黑体" w:cs="黑体" w:hint="eastAsia"/>
                  </w:rPr>
                  <w:fldChar w:fldCharType="separate"/>
                </w:r>
                <w:r w:rsidR="00B508DE">
                  <w:rPr>
                    <w:rFonts w:ascii="黑体" w:eastAsia="黑体" w:hAnsi="黑体" w:cs="黑体"/>
                    <w:noProof/>
                  </w:rPr>
                  <w:t>- 8 -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- 16 -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- 17 -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- 19 -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- 21 -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- 23 -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- 24 -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- 26 -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- 27 -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- 28 -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- 30 -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- 31 -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5"/>
      <w:jc w:val="center"/>
    </w:pPr>
    <w:r w:rsidRPr="00C357BF">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C357BF" w:rsidRDefault="00C357BF">
                <w:pPr>
                  <w:pStyle w:val="a5"/>
                </w:pPr>
                <w:r>
                  <w:rPr>
                    <w:rFonts w:hint="eastAsia"/>
                  </w:rPr>
                  <w:fldChar w:fldCharType="begin"/>
                </w:r>
                <w:r w:rsidR="004517BF">
                  <w:rPr>
                    <w:rFonts w:hint="eastAsia"/>
                  </w:rPr>
                  <w:instrText xml:space="preserve"> PAGE  \* MERGEFORMAT </w:instrText>
                </w:r>
                <w:r>
                  <w:rPr>
                    <w:rFonts w:hint="eastAsia"/>
                  </w:rPr>
                  <w:fldChar w:fldCharType="separate"/>
                </w:r>
                <w:r w:rsidR="00B508DE">
                  <w:rPr>
                    <w:noProof/>
                  </w:rPr>
                  <w:t>- 45 -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7BF" w:rsidRDefault="004517BF">
      <w:r>
        <w:separator/>
      </w:r>
    </w:p>
  </w:footnote>
  <w:footnote w:type="continuationSeparator" w:id="1">
    <w:p w:rsidR="004517BF" w:rsidRDefault="004517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8DE" w:rsidRDefault="00B508D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4517BF">
    <w:pPr>
      <w:pStyle w:val="a6"/>
      <w:pBdr>
        <w:bottom w:val="single" w:sz="4" w:space="1" w:color="000000"/>
      </w:pBdr>
      <w:jc w:val="both"/>
      <w:rPr>
        <w:lang w:val="en-US"/>
      </w:rPr>
    </w:pPr>
    <w:r>
      <w:rPr>
        <w:rFonts w:hint="eastAsia"/>
        <w:lang w:val="en-US"/>
      </w:rPr>
      <w:t>常州市生态环境局</w:t>
    </w:r>
    <w:r>
      <w:t>2025</w:t>
    </w:r>
    <w:r>
      <w:t>年度部门预算公开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7BF" w:rsidRDefault="00C357BF">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0"/>
  <w:autoHyphenation/>
  <w:noPunctuationKerning/>
  <w:characterSpacingControl w:val="doNotCompress"/>
  <w:hdrShapeDefaults>
    <o:shapedefaults v:ext="edit" spidmax="6146"/>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C357BF"/>
    <w:rsid w:val="DBEED555"/>
    <w:rsid w:val="00064984"/>
    <w:rsid w:val="00071288"/>
    <w:rsid w:val="00071789"/>
    <w:rsid w:val="000F12AB"/>
    <w:rsid w:val="001C31F9"/>
    <w:rsid w:val="00407CA7"/>
    <w:rsid w:val="00413AD8"/>
    <w:rsid w:val="004517BF"/>
    <w:rsid w:val="00671ED7"/>
    <w:rsid w:val="00672164"/>
    <w:rsid w:val="00867423"/>
    <w:rsid w:val="008B5B05"/>
    <w:rsid w:val="00925913"/>
    <w:rsid w:val="009965EA"/>
    <w:rsid w:val="00A61D7A"/>
    <w:rsid w:val="00A6752E"/>
    <w:rsid w:val="00B508DE"/>
    <w:rsid w:val="00BD7F33"/>
    <w:rsid w:val="00C15920"/>
    <w:rsid w:val="00C357BF"/>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C357BF"/>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C357BF"/>
    <w:pPr>
      <w:ind w:left="-40"/>
      <w:outlineLvl w:val="0"/>
    </w:pPr>
    <w:rPr>
      <w:sz w:val="52"/>
      <w:szCs w:val="52"/>
    </w:rPr>
  </w:style>
  <w:style w:type="paragraph" w:styleId="2">
    <w:name w:val="heading 2"/>
    <w:basedOn w:val="a"/>
    <w:next w:val="a"/>
    <w:uiPriority w:val="1"/>
    <w:qFormat/>
    <w:rsid w:val="00C357BF"/>
    <w:pPr>
      <w:ind w:right="18"/>
      <w:jc w:val="center"/>
      <w:outlineLvl w:val="1"/>
    </w:pPr>
    <w:rPr>
      <w:sz w:val="44"/>
      <w:szCs w:val="44"/>
    </w:rPr>
  </w:style>
  <w:style w:type="paragraph" w:styleId="3">
    <w:name w:val="heading 3"/>
    <w:basedOn w:val="a"/>
    <w:next w:val="a"/>
    <w:uiPriority w:val="1"/>
    <w:qFormat/>
    <w:rsid w:val="00C357BF"/>
    <w:pPr>
      <w:ind w:left="1"/>
      <w:jc w:val="center"/>
      <w:outlineLvl w:val="2"/>
    </w:pPr>
    <w:rPr>
      <w:sz w:val="40"/>
      <w:szCs w:val="40"/>
    </w:rPr>
  </w:style>
  <w:style w:type="paragraph" w:styleId="4">
    <w:name w:val="heading 4"/>
    <w:basedOn w:val="a"/>
    <w:next w:val="a"/>
    <w:uiPriority w:val="1"/>
    <w:qFormat/>
    <w:rsid w:val="00C357BF"/>
    <w:pPr>
      <w:jc w:val="center"/>
      <w:outlineLvl w:val="3"/>
    </w:pPr>
    <w:rPr>
      <w:sz w:val="36"/>
      <w:szCs w:val="36"/>
    </w:rPr>
  </w:style>
  <w:style w:type="paragraph" w:styleId="5">
    <w:name w:val="heading 5"/>
    <w:basedOn w:val="a"/>
    <w:next w:val="a"/>
    <w:uiPriority w:val="1"/>
    <w:qFormat/>
    <w:rsid w:val="00C357BF"/>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357BF"/>
    <w:pPr>
      <w:suppressLineNumbers/>
      <w:spacing w:before="120" w:after="120"/>
    </w:pPr>
    <w:rPr>
      <w:i/>
      <w:iCs/>
      <w:sz w:val="24"/>
      <w:szCs w:val="24"/>
    </w:rPr>
  </w:style>
  <w:style w:type="paragraph" w:styleId="a4">
    <w:name w:val="Body Text"/>
    <w:basedOn w:val="a"/>
    <w:uiPriority w:val="1"/>
    <w:qFormat/>
    <w:rsid w:val="00C357BF"/>
    <w:rPr>
      <w:sz w:val="32"/>
      <w:szCs w:val="32"/>
    </w:rPr>
  </w:style>
  <w:style w:type="paragraph" w:styleId="a5">
    <w:name w:val="footer"/>
    <w:basedOn w:val="a"/>
    <w:qFormat/>
    <w:rsid w:val="00C357BF"/>
    <w:pPr>
      <w:tabs>
        <w:tab w:val="center" w:pos="4153"/>
        <w:tab w:val="right" w:pos="8306"/>
      </w:tabs>
      <w:snapToGrid w:val="0"/>
    </w:pPr>
    <w:rPr>
      <w:sz w:val="18"/>
      <w:szCs w:val="18"/>
    </w:rPr>
  </w:style>
  <w:style w:type="paragraph" w:styleId="a6">
    <w:name w:val="header"/>
    <w:basedOn w:val="a"/>
    <w:qFormat/>
    <w:rsid w:val="00C357BF"/>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C357BF"/>
  </w:style>
  <w:style w:type="table" w:styleId="a8">
    <w:name w:val="Table Grid"/>
    <w:basedOn w:val="a1"/>
    <w:qFormat/>
    <w:rsid w:val="00C357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C357BF"/>
  </w:style>
  <w:style w:type="character" w:customStyle="1" w:styleId="aa">
    <w:name w:val="页眉 字符"/>
    <w:basedOn w:val="a0"/>
    <w:qFormat/>
    <w:rsid w:val="00C357BF"/>
    <w:rPr>
      <w:rFonts w:ascii="Arial Unicode MS" w:eastAsia="Arial Unicode MS" w:hAnsi="Arial Unicode MS" w:cs="Arial Unicode MS"/>
      <w:sz w:val="18"/>
      <w:szCs w:val="18"/>
      <w:lang w:val="zh-CN" w:bidi="zh-CN"/>
    </w:rPr>
  </w:style>
  <w:style w:type="character" w:customStyle="1" w:styleId="ab">
    <w:name w:val="页脚 字符"/>
    <w:basedOn w:val="a0"/>
    <w:qFormat/>
    <w:rsid w:val="00C357BF"/>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C357BF"/>
    <w:pPr>
      <w:keepNext/>
      <w:spacing w:before="240" w:after="120"/>
    </w:pPr>
    <w:rPr>
      <w:rFonts w:ascii="Liberation Sans" w:hAnsi="Liberation Sans"/>
      <w:sz w:val="28"/>
      <w:szCs w:val="28"/>
    </w:rPr>
  </w:style>
  <w:style w:type="paragraph" w:customStyle="1" w:styleId="ad">
    <w:name w:val="索引"/>
    <w:basedOn w:val="a"/>
    <w:qFormat/>
    <w:rsid w:val="00C357BF"/>
    <w:pPr>
      <w:suppressLineNumbers/>
    </w:pPr>
  </w:style>
  <w:style w:type="paragraph" w:customStyle="1" w:styleId="ae">
    <w:name w:val="页眉与页脚"/>
    <w:basedOn w:val="a"/>
    <w:qFormat/>
    <w:rsid w:val="00C357BF"/>
  </w:style>
  <w:style w:type="paragraph" w:customStyle="1" w:styleId="10">
    <w:name w:val="列出段落1"/>
    <w:basedOn w:val="a"/>
    <w:uiPriority w:val="1"/>
    <w:qFormat/>
    <w:rsid w:val="00C357BF"/>
    <w:pPr>
      <w:ind w:left="2039" w:hanging="782"/>
    </w:pPr>
  </w:style>
  <w:style w:type="paragraph" w:customStyle="1" w:styleId="TableParagraph">
    <w:name w:val="Table Paragraph"/>
    <w:basedOn w:val="a"/>
    <w:uiPriority w:val="1"/>
    <w:qFormat/>
    <w:rsid w:val="00C357BF"/>
    <w:rPr>
      <w:rFonts w:ascii="宋体" w:eastAsia="宋体" w:hAnsi="宋体" w:cs="宋体"/>
    </w:rPr>
  </w:style>
  <w:style w:type="paragraph" w:customStyle="1" w:styleId="af">
    <w:name w:val="表格内容"/>
    <w:basedOn w:val="a"/>
    <w:qFormat/>
    <w:rsid w:val="00C357BF"/>
    <w:pPr>
      <w:suppressLineNumbers/>
    </w:pPr>
  </w:style>
  <w:style w:type="paragraph" w:customStyle="1" w:styleId="af0">
    <w:name w:val="表格标题"/>
    <w:basedOn w:val="af"/>
    <w:qFormat/>
    <w:rsid w:val="00C357BF"/>
    <w:pPr>
      <w:jc w:val="center"/>
    </w:pPr>
    <w:rPr>
      <w:b/>
      <w:bCs/>
    </w:rPr>
  </w:style>
  <w:style w:type="paragraph" w:customStyle="1" w:styleId="af1">
    <w:name w:val="预格式化的文本"/>
    <w:basedOn w:val="a"/>
    <w:qFormat/>
    <w:rsid w:val="00C357BF"/>
    <w:rPr>
      <w:rFonts w:ascii="Liberation Mono" w:eastAsia="新宋体" w:hAnsi="Liberation Mono" w:cs="Liberation Mono"/>
      <w:sz w:val="20"/>
      <w:szCs w:val="20"/>
    </w:rPr>
  </w:style>
  <w:style w:type="table" w:customStyle="1" w:styleId="TableNormal">
    <w:name w:val="Table Normal"/>
    <w:uiPriority w:val="2"/>
    <w:unhideWhenUsed/>
    <w:qFormat/>
    <w:rsid w:val="00C357BF"/>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46</Pages>
  <Words>3318</Words>
  <Characters>18914</Characters>
  <Application>Microsoft Office Word</Application>
  <DocSecurity>0</DocSecurity>
  <Lines>157</Lines>
  <Paragraphs>44</Paragraphs>
  <ScaleCrop>false</ScaleCrop>
  <Company>Microsoft</Company>
  <LinksUpToDate>false</LinksUpToDate>
  <CharactersWithSpaces>22188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AutoBVT</cp:lastModifiedBy>
  <cp:revision>176</cp:revision>
  <dcterms:created xsi:type="dcterms:W3CDTF">2021-04-16T03:22:00Z</dcterms:created>
  <dcterms:modified xsi:type="dcterms:W3CDTF">2025-04-28T06:54:00Z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2052-12.1.0.20305</vt:lpwstr>
  </property>
  <property fmtid="{D5CDD505-2E9C-101B-9397-08002B2CF9AE}" pid="6" name="LastSaved">
    <vt:filetime>2021-04-15T00:00:00Z</vt:filetime>
  </property>
  <property fmtid="{D5CDD505-2E9C-101B-9397-08002B2CF9AE}" pid="7" name="KSOTemplateDocerSaveRecord">
    <vt:lpwstr>eyJoZGlkIjoiMjBmODA2NDVhMWEwODkwZDExMzkyOWZhZTcyZGM3OTQiLCJ1c2VySWQiOiIyMDI2NTc4ODUifQ==</vt:lpwstr>
  </property>
</Properties>
</file>