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181B" w:rsidRDefault="00C75F4A">
      <w:pPr>
        <w:snapToGrid w:val="0"/>
        <w:spacing w:line="570" w:lineRule="exact"/>
        <w:jc w:val="center"/>
        <w:rPr>
          <w:rFonts w:ascii="宋体" w:hAnsi="宋体" w:cs="宋体"/>
          <w:b/>
          <w:bCs/>
          <w:color w:val="000000"/>
          <w:sz w:val="44"/>
          <w:szCs w:val="44"/>
        </w:rPr>
      </w:pPr>
      <w:r>
        <w:rPr>
          <w:rFonts w:ascii="宋体" w:hAnsi="宋体" w:cs="宋体" w:hint="eastAsia"/>
          <w:b/>
          <w:bCs/>
          <w:color w:val="000000"/>
          <w:sz w:val="44"/>
          <w:szCs w:val="44"/>
        </w:rPr>
        <w:t xml:space="preserve"> 建筑保温材料（冷库用隔热夹芯板、</w:t>
      </w:r>
    </w:p>
    <w:p w:rsidR="00C6181B" w:rsidRDefault="00C75F4A">
      <w:pPr>
        <w:snapToGrid w:val="0"/>
        <w:spacing w:line="570" w:lineRule="exact"/>
        <w:jc w:val="center"/>
        <w:rPr>
          <w:rFonts w:ascii="宋体" w:hAnsi="宋体" w:cs="宋体"/>
          <w:b/>
          <w:bCs/>
          <w:color w:val="000000"/>
          <w:sz w:val="44"/>
          <w:szCs w:val="44"/>
        </w:rPr>
      </w:pPr>
      <w:r>
        <w:rPr>
          <w:rFonts w:ascii="宋体" w:hAnsi="宋体" w:cs="宋体" w:hint="eastAsia"/>
          <w:b/>
          <w:bCs/>
          <w:color w:val="000000"/>
          <w:sz w:val="44"/>
          <w:szCs w:val="44"/>
        </w:rPr>
        <w:t>建筑用外墙保温材料）</w:t>
      </w:r>
      <w:r w:rsidR="00C6620A">
        <w:rPr>
          <w:rFonts w:ascii="宋体" w:hAnsi="宋体" w:cs="宋体" w:hint="eastAsia"/>
          <w:b/>
          <w:bCs/>
          <w:color w:val="000000"/>
          <w:sz w:val="44"/>
          <w:szCs w:val="44"/>
        </w:rPr>
        <w:t>产品质量</w:t>
      </w:r>
    </w:p>
    <w:p w:rsidR="00C6181B" w:rsidRDefault="00C75F4A">
      <w:pPr>
        <w:snapToGrid w:val="0"/>
        <w:spacing w:line="570" w:lineRule="exact"/>
        <w:jc w:val="center"/>
        <w:rPr>
          <w:rFonts w:ascii="宋体" w:hAnsi="宋体" w:cs="宋体"/>
          <w:b/>
          <w:bCs/>
          <w:color w:val="000000"/>
          <w:sz w:val="44"/>
          <w:szCs w:val="44"/>
        </w:rPr>
      </w:pPr>
      <w:r>
        <w:rPr>
          <w:rFonts w:ascii="宋体" w:hAnsi="宋体" w:cs="宋体" w:hint="eastAsia"/>
          <w:b/>
          <w:bCs/>
          <w:color w:val="000000"/>
          <w:sz w:val="44"/>
          <w:szCs w:val="44"/>
        </w:rPr>
        <w:t>监督抽查实施细则</w:t>
      </w:r>
    </w:p>
    <w:p w:rsidR="00C6181B" w:rsidRDefault="00C6181B">
      <w:pPr>
        <w:adjustRightInd w:val="0"/>
        <w:snapToGrid w:val="0"/>
        <w:spacing w:line="276" w:lineRule="auto"/>
        <w:jc w:val="center"/>
        <w:rPr>
          <w:rFonts w:ascii="Times New Roman" w:eastAsia="方正小标宋简体" w:hAnsi="Times New Roman"/>
          <w:sz w:val="44"/>
          <w:szCs w:val="44"/>
        </w:rPr>
      </w:pPr>
    </w:p>
    <w:p w:rsidR="00C6181B" w:rsidRDefault="00C75F4A">
      <w:pPr>
        <w:spacing w:line="570" w:lineRule="exact"/>
        <w:ind w:firstLineChars="196" w:firstLine="627"/>
        <w:rPr>
          <w:rFonts w:ascii="黑体" w:eastAsia="黑体" w:hAnsi="黑体"/>
          <w:sz w:val="32"/>
          <w:szCs w:val="32"/>
        </w:rPr>
      </w:pPr>
      <w:r>
        <w:rPr>
          <w:rFonts w:ascii="黑体" w:eastAsia="黑体" w:hAnsi="黑体"/>
          <w:sz w:val="32"/>
          <w:szCs w:val="32"/>
        </w:rPr>
        <w:t>1</w:t>
      </w:r>
      <w:r w:rsidR="00C6620A">
        <w:rPr>
          <w:rFonts w:ascii="黑体" w:eastAsia="黑体" w:hAnsi="黑体" w:hint="eastAsia"/>
          <w:sz w:val="32"/>
          <w:szCs w:val="32"/>
        </w:rPr>
        <w:t>.</w:t>
      </w:r>
      <w:r>
        <w:rPr>
          <w:rFonts w:ascii="黑体" w:eastAsia="黑体" w:hAnsi="黑体" w:hint="eastAsia"/>
          <w:sz w:val="32"/>
          <w:szCs w:val="32"/>
        </w:rPr>
        <w:t>范围</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本细则适用于常州市市场监督管理局组织的建筑保温材料产品质量监督抽查检验。本细则规定了此产品的抽样方法、检验依据、检验项目、检验方法、判定原则、异议处理及复检。</w:t>
      </w:r>
    </w:p>
    <w:p w:rsidR="00C6181B" w:rsidRDefault="00C75F4A">
      <w:pPr>
        <w:spacing w:line="570" w:lineRule="exact"/>
        <w:ind w:firstLineChars="196" w:firstLine="627"/>
        <w:rPr>
          <w:rFonts w:ascii="黑体" w:eastAsia="黑体" w:hAnsi="黑体"/>
          <w:sz w:val="32"/>
          <w:szCs w:val="32"/>
        </w:rPr>
      </w:pPr>
      <w:r>
        <w:rPr>
          <w:rFonts w:ascii="黑体" w:eastAsia="黑体" w:hAnsi="黑体"/>
          <w:sz w:val="32"/>
          <w:szCs w:val="32"/>
        </w:rPr>
        <w:t>2</w:t>
      </w:r>
      <w:r w:rsidR="00C6620A">
        <w:rPr>
          <w:rFonts w:ascii="黑体" w:eastAsia="黑体" w:hAnsi="黑体" w:hint="eastAsia"/>
          <w:sz w:val="32"/>
          <w:szCs w:val="32"/>
        </w:rPr>
        <w:t>.</w:t>
      </w:r>
      <w:r>
        <w:rPr>
          <w:rFonts w:ascii="黑体" w:eastAsia="黑体" w:hAnsi="黑体" w:hint="eastAsia"/>
          <w:sz w:val="32"/>
          <w:szCs w:val="32"/>
        </w:rPr>
        <w:t>抽样方法、基数及数量</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本次</w:t>
      </w:r>
      <w:r>
        <w:rPr>
          <w:rFonts w:ascii="仿宋_GB2312" w:eastAsia="仿宋_GB2312" w:hAnsi="Times New Roman" w:hint="eastAsia"/>
          <w:sz w:val="32"/>
          <w:szCs w:val="32"/>
        </w:rPr>
        <w:t>建筑保温材料</w:t>
      </w:r>
      <w:r>
        <w:rPr>
          <w:rFonts w:ascii="仿宋_GB2312" w:eastAsia="仿宋_GB2312" w:hAnsi="Times New Roman"/>
          <w:sz w:val="32"/>
          <w:szCs w:val="32"/>
        </w:rPr>
        <w:t>监督抽查抽样分布于生产企业抽样。</w:t>
      </w:r>
    </w:p>
    <w:p w:rsidR="00C6181B" w:rsidRPr="00C6620A" w:rsidRDefault="00C75F4A" w:rsidP="00C6620A">
      <w:pPr>
        <w:tabs>
          <w:tab w:val="left" w:pos="1032"/>
        </w:tabs>
        <w:spacing w:line="570" w:lineRule="exact"/>
        <w:ind w:firstLineChars="200" w:firstLine="643"/>
        <w:rPr>
          <w:rFonts w:ascii="楷体_GB2312" w:eastAsia="楷体_GB2312" w:hAnsi="Times New Roman"/>
          <w:b/>
          <w:sz w:val="32"/>
          <w:szCs w:val="32"/>
        </w:rPr>
      </w:pPr>
      <w:r w:rsidRPr="00C6620A">
        <w:rPr>
          <w:rFonts w:ascii="楷体_GB2312" w:eastAsia="楷体_GB2312" w:hAnsi="Times New Roman" w:hint="eastAsia"/>
          <w:b/>
          <w:sz w:val="32"/>
          <w:szCs w:val="32"/>
        </w:rPr>
        <w:t>2.1生产领域采样</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采用随机抽样法在生产企业的成品仓库内随机抽取同类别、同型号规格、同批次、有产品质量检验合格证明或者以其他形式表明合格的产品。抽样数量为30块,其中15块作为检测用样品，15块作为备样用样品，抽样基数满足抽样数量即可。</w:t>
      </w:r>
    </w:p>
    <w:p w:rsidR="00C6181B" w:rsidRPr="00C6620A" w:rsidRDefault="00C75F4A" w:rsidP="00C6620A">
      <w:pPr>
        <w:tabs>
          <w:tab w:val="left" w:pos="1032"/>
        </w:tabs>
        <w:spacing w:line="570" w:lineRule="exact"/>
        <w:ind w:firstLineChars="200" w:firstLine="643"/>
        <w:rPr>
          <w:rFonts w:ascii="楷体_GB2312" w:eastAsia="楷体_GB2312" w:hAnsi="Times New Roman"/>
          <w:b/>
          <w:sz w:val="32"/>
          <w:szCs w:val="32"/>
        </w:rPr>
      </w:pPr>
      <w:r w:rsidRPr="00C6620A">
        <w:rPr>
          <w:rFonts w:ascii="楷体_GB2312" w:eastAsia="楷体_GB2312" w:hAnsi="Times New Roman" w:hint="eastAsia"/>
          <w:b/>
          <w:sz w:val="32"/>
          <w:szCs w:val="32"/>
        </w:rPr>
        <w:t>2.2抽样要求</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抽样工作由抽样机构不少于2名抽样工作人员共同完成。所采样品应包括检验样品和备用样品。所有样品（包括检样和备样）应为同一批次。一经采样，立即封样，任何人不得调换。采样过程拍照留证。</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检样及备样应分别封样，并分别加贴相应标识，样品包装后加贴封条封样，抽样人员和受检单位人员在封条处签字确认。包</w:t>
      </w:r>
      <w:r>
        <w:rPr>
          <w:rFonts w:ascii="仿宋_GB2312" w:eastAsia="仿宋_GB2312" w:hAnsi="Times New Roman" w:hint="eastAsia"/>
          <w:sz w:val="32"/>
          <w:szCs w:val="32"/>
        </w:rPr>
        <w:lastRenderedPageBreak/>
        <w:t>装的方式应能防止样品在运送过程中损坏或被污染，封样的方式应能有效防止未经授权的拆封。采取摄像、拍照等形式记录样品封存过程。</w:t>
      </w:r>
    </w:p>
    <w:p w:rsidR="00C6181B" w:rsidRPr="00C6620A" w:rsidRDefault="00C75F4A" w:rsidP="00C6620A">
      <w:pPr>
        <w:tabs>
          <w:tab w:val="left" w:pos="1032"/>
        </w:tabs>
        <w:spacing w:line="570" w:lineRule="exact"/>
        <w:ind w:firstLineChars="200" w:firstLine="643"/>
        <w:rPr>
          <w:rFonts w:ascii="楷体_GB2312" w:eastAsia="楷体_GB2312" w:hAnsi="Times New Roman"/>
          <w:b/>
          <w:sz w:val="32"/>
          <w:szCs w:val="32"/>
        </w:rPr>
      </w:pPr>
      <w:r w:rsidRPr="00C6620A">
        <w:rPr>
          <w:rFonts w:ascii="楷体_GB2312" w:eastAsia="楷体_GB2312" w:hAnsi="Times New Roman" w:hint="eastAsia"/>
          <w:b/>
          <w:sz w:val="32"/>
          <w:szCs w:val="32"/>
        </w:rPr>
        <w:t>2.3样品运输与保存</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采样完成后，将样品（包括检样和备样）和抽样单送或寄至检测机构，样品在保存及运输过程中应妥善保管，保持样品状态良好。检测机构在接收样品时应当检查、记录样品的外观、状态、封条有无破损及其他可能对检验结果或者综合判定产生影响的情况，确认样品与抽样文书的记录是否相符。对检样和备样应分别加贴相应标识后入库。</w:t>
      </w:r>
    </w:p>
    <w:p w:rsidR="00C6181B" w:rsidRPr="00C6620A" w:rsidRDefault="00C75F4A">
      <w:pPr>
        <w:tabs>
          <w:tab w:val="left" w:pos="1032"/>
        </w:tabs>
        <w:spacing w:line="570" w:lineRule="exact"/>
        <w:ind w:firstLineChars="200" w:firstLine="640"/>
        <w:rPr>
          <w:rFonts w:ascii="黑体" w:eastAsia="黑体" w:hAnsi="黑体"/>
          <w:sz w:val="32"/>
          <w:szCs w:val="32"/>
        </w:rPr>
      </w:pPr>
      <w:r w:rsidRPr="00C6620A">
        <w:rPr>
          <w:rFonts w:ascii="黑体" w:eastAsia="黑体" w:hAnsi="黑体" w:hint="eastAsia"/>
          <w:sz w:val="32"/>
          <w:szCs w:val="32"/>
        </w:rPr>
        <w:t>3.检验依据</w:t>
      </w:r>
    </w:p>
    <w:p w:rsidR="00C6181B" w:rsidRDefault="00C75F4A">
      <w:pPr>
        <w:spacing w:before="68" w:line="219" w:lineRule="auto"/>
        <w:ind w:firstLineChars="1100" w:firstLine="2495"/>
        <w:rPr>
          <w:rFonts w:ascii="宋体" w:hAnsi="宋体" w:cs="宋体"/>
          <w:b/>
          <w:bCs/>
          <w:spacing w:val="8"/>
          <w:szCs w:val="21"/>
        </w:rPr>
      </w:pPr>
      <w:r>
        <w:rPr>
          <w:rFonts w:ascii="Times New Roman" w:hAnsi="Times New Roman"/>
          <w:b/>
          <w:bCs/>
          <w:spacing w:val="8"/>
          <w:szCs w:val="21"/>
        </w:rPr>
        <w:t>表</w:t>
      </w:r>
      <w:r>
        <w:rPr>
          <w:rFonts w:ascii="Times New Roman" w:hAnsi="Times New Roman" w:hint="eastAsia"/>
          <w:b/>
          <w:bCs/>
          <w:spacing w:val="8"/>
          <w:szCs w:val="21"/>
        </w:rPr>
        <w:t>1</w:t>
      </w:r>
      <w:r>
        <w:rPr>
          <w:rFonts w:ascii="宋体" w:hAnsi="宋体" w:cs="宋体" w:hint="eastAsia"/>
          <w:b/>
          <w:bCs/>
          <w:spacing w:val="8"/>
          <w:szCs w:val="21"/>
        </w:rPr>
        <w:t>冷库用隔热夹芯板检验项目</w:t>
      </w:r>
    </w:p>
    <w:tbl>
      <w:tblPr>
        <w:tblW w:w="97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hemeFill="background1"/>
        <w:tblLayout w:type="fixed"/>
        <w:tblCellMar>
          <w:left w:w="28" w:type="dxa"/>
          <w:right w:w="28" w:type="dxa"/>
        </w:tblCellMar>
        <w:tblLook w:val="04A0"/>
      </w:tblPr>
      <w:tblGrid>
        <w:gridCol w:w="893"/>
        <w:gridCol w:w="1842"/>
        <w:gridCol w:w="2410"/>
        <w:gridCol w:w="4633"/>
      </w:tblGrid>
      <w:tr w:rsidR="00C6181B" w:rsidTr="00C6620A">
        <w:trPr>
          <w:cantSplit/>
          <w:trHeight w:val="312"/>
          <w:tblHeader/>
          <w:jc w:val="center"/>
        </w:trPr>
        <w:tc>
          <w:tcPr>
            <w:tcW w:w="893" w:type="dxa"/>
            <w:vMerge w:val="restart"/>
            <w:tcBorders>
              <w:top w:val="single" w:sz="6" w:space="0" w:color="auto"/>
              <w:left w:val="single" w:sz="6" w:space="0" w:color="auto"/>
            </w:tcBorders>
            <w:shd w:val="clear" w:color="auto" w:fill="FFFFFF" w:themeFill="background1"/>
            <w:noWrap/>
            <w:vAlign w:val="center"/>
          </w:tcPr>
          <w:p w:rsidR="00C6181B" w:rsidRDefault="00C75F4A">
            <w:pPr>
              <w:pStyle w:val="TableText"/>
              <w:spacing w:before="123"/>
              <w:ind w:left="97"/>
              <w:jc w:val="center"/>
              <w:rPr>
                <w:b/>
                <w:bCs/>
                <w:sz w:val="24"/>
                <w:szCs w:val="24"/>
                <w:lang w:eastAsia="zh-CN"/>
              </w:rPr>
            </w:pPr>
            <w:r>
              <w:rPr>
                <w:rFonts w:hint="eastAsia"/>
                <w:b/>
                <w:bCs/>
                <w:sz w:val="24"/>
                <w:szCs w:val="24"/>
                <w:lang w:eastAsia="zh-CN"/>
              </w:rPr>
              <w:t>序号</w:t>
            </w:r>
          </w:p>
        </w:tc>
        <w:tc>
          <w:tcPr>
            <w:tcW w:w="1842" w:type="dxa"/>
            <w:vMerge w:val="restart"/>
            <w:tcBorders>
              <w:top w:val="single" w:sz="6" w:space="0" w:color="auto"/>
            </w:tcBorders>
            <w:shd w:val="clear" w:color="auto" w:fill="FFFFFF" w:themeFill="background1"/>
            <w:noWrap/>
            <w:vAlign w:val="center"/>
          </w:tcPr>
          <w:p w:rsidR="00C6181B" w:rsidRDefault="00C75F4A">
            <w:pPr>
              <w:pStyle w:val="TableText"/>
              <w:spacing w:before="123"/>
              <w:ind w:left="97"/>
              <w:jc w:val="center"/>
              <w:rPr>
                <w:b/>
                <w:bCs/>
                <w:sz w:val="24"/>
                <w:szCs w:val="24"/>
                <w:lang w:eastAsia="zh-CN"/>
              </w:rPr>
            </w:pPr>
            <w:r>
              <w:rPr>
                <w:rFonts w:hint="eastAsia"/>
                <w:b/>
                <w:bCs/>
                <w:sz w:val="24"/>
                <w:szCs w:val="24"/>
                <w:lang w:eastAsia="zh-CN"/>
              </w:rPr>
              <w:t>检验项目</w:t>
            </w:r>
          </w:p>
        </w:tc>
        <w:tc>
          <w:tcPr>
            <w:tcW w:w="2410" w:type="dxa"/>
            <w:vMerge w:val="restart"/>
            <w:tcBorders>
              <w:top w:val="single" w:sz="6" w:space="0" w:color="auto"/>
            </w:tcBorders>
            <w:shd w:val="clear" w:color="auto" w:fill="FFFFFF" w:themeFill="background1"/>
            <w:noWrap/>
            <w:vAlign w:val="center"/>
          </w:tcPr>
          <w:p w:rsidR="00C6181B" w:rsidRDefault="00C75F4A">
            <w:pPr>
              <w:pStyle w:val="TableText"/>
              <w:spacing w:before="123"/>
              <w:ind w:left="97"/>
              <w:jc w:val="center"/>
              <w:rPr>
                <w:b/>
                <w:bCs/>
                <w:sz w:val="24"/>
                <w:szCs w:val="24"/>
                <w:lang w:eastAsia="zh-CN"/>
              </w:rPr>
            </w:pPr>
            <w:r>
              <w:rPr>
                <w:rFonts w:hint="eastAsia"/>
                <w:b/>
                <w:bCs/>
                <w:sz w:val="24"/>
                <w:szCs w:val="24"/>
                <w:lang w:eastAsia="zh-CN"/>
              </w:rPr>
              <w:t>检验依据</w:t>
            </w:r>
          </w:p>
        </w:tc>
        <w:tc>
          <w:tcPr>
            <w:tcW w:w="4633"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b/>
                <w:bCs/>
                <w:sz w:val="24"/>
                <w:szCs w:val="24"/>
                <w:lang w:eastAsia="zh-CN"/>
              </w:rPr>
            </w:pPr>
            <w:r>
              <w:rPr>
                <w:rFonts w:hint="eastAsia"/>
                <w:b/>
                <w:bCs/>
                <w:sz w:val="24"/>
                <w:szCs w:val="24"/>
                <w:lang w:eastAsia="zh-CN"/>
              </w:rPr>
              <w:t>检验检测方法</w:t>
            </w:r>
          </w:p>
        </w:tc>
      </w:tr>
      <w:tr w:rsidR="00C6181B" w:rsidTr="00C6620A">
        <w:trPr>
          <w:cantSplit/>
          <w:trHeight w:val="435"/>
          <w:tblHeader/>
          <w:jc w:val="center"/>
        </w:trPr>
        <w:tc>
          <w:tcPr>
            <w:tcW w:w="893" w:type="dxa"/>
            <w:vMerge/>
            <w:tcBorders>
              <w:left w:val="single" w:sz="6" w:space="0" w:color="auto"/>
              <w:bottom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1842" w:type="dxa"/>
            <w:vMerge/>
            <w:tcBorders>
              <w:bottom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2410" w:type="dxa"/>
            <w:vMerge/>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4633"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r>
      <w:tr w:rsidR="00C6181B" w:rsidTr="00C6620A">
        <w:trPr>
          <w:cantSplit/>
          <w:trHeight w:val="555"/>
          <w:jc w:val="center"/>
        </w:trPr>
        <w:tc>
          <w:tcPr>
            <w:tcW w:w="893" w:type="dxa"/>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rPr>
                <w:sz w:val="24"/>
                <w:szCs w:val="24"/>
              </w:rPr>
            </w:pPr>
            <w:r>
              <w:rPr>
                <w:rFonts w:hint="eastAsia"/>
                <w:sz w:val="24"/>
                <w:szCs w:val="24"/>
                <w:lang w:eastAsia="zh-CN"/>
              </w:rPr>
              <w:t>1</w:t>
            </w:r>
          </w:p>
        </w:tc>
        <w:tc>
          <w:tcPr>
            <w:tcW w:w="1842" w:type="dxa"/>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rPr>
            </w:pPr>
            <w:r>
              <w:rPr>
                <w:rFonts w:hint="eastAsia"/>
                <w:sz w:val="24"/>
                <w:szCs w:val="24"/>
                <w:lang w:eastAsia="zh-CN"/>
              </w:rPr>
              <w:t>密度</w:t>
            </w:r>
          </w:p>
        </w:tc>
        <w:tc>
          <w:tcPr>
            <w:tcW w:w="2410" w:type="dxa"/>
            <w:tcBorders>
              <w:top w:val="single" w:sz="6"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rPr>
              <w:t>GB/T 6343-2009</w:t>
            </w:r>
          </w:p>
        </w:tc>
        <w:tc>
          <w:tcPr>
            <w:tcW w:w="46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《泡沫塑料及橡胶 表观密度的测定》</w:t>
            </w:r>
          </w:p>
        </w:tc>
      </w:tr>
      <w:tr w:rsidR="00C6181B" w:rsidTr="00C6620A">
        <w:trPr>
          <w:cantSplit/>
          <w:trHeight w:val="549"/>
          <w:jc w:val="center"/>
        </w:trPr>
        <w:tc>
          <w:tcPr>
            <w:tcW w:w="893" w:type="dxa"/>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rPr>
                <w:sz w:val="24"/>
                <w:szCs w:val="24"/>
              </w:rPr>
            </w:pPr>
            <w:r>
              <w:rPr>
                <w:rFonts w:hint="eastAsia"/>
                <w:sz w:val="24"/>
                <w:szCs w:val="24"/>
                <w:lang w:eastAsia="zh-CN"/>
              </w:rPr>
              <w:t>2</w:t>
            </w:r>
          </w:p>
        </w:tc>
        <w:tc>
          <w:tcPr>
            <w:tcW w:w="1842" w:type="dxa"/>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rPr>
            </w:pPr>
            <w:r>
              <w:rPr>
                <w:rFonts w:hint="eastAsia"/>
                <w:sz w:val="24"/>
                <w:szCs w:val="24"/>
                <w:lang w:eastAsia="zh-CN"/>
              </w:rPr>
              <w:t>导热系数</w:t>
            </w:r>
          </w:p>
        </w:tc>
        <w:tc>
          <w:tcPr>
            <w:tcW w:w="2410" w:type="dxa"/>
            <w:tcBorders>
              <w:top w:val="single" w:sz="6" w:space="0" w:color="auto"/>
              <w:left w:val="single" w:sz="4" w:space="0" w:color="auto"/>
              <w:right w:val="single" w:sz="4" w:space="0" w:color="auto"/>
            </w:tcBorders>
            <w:shd w:val="clear" w:color="auto" w:fill="FFFFFF" w:themeFill="background1"/>
            <w:noWrap/>
            <w:vAlign w:val="center"/>
          </w:tcPr>
          <w:p w:rsidR="00C6181B" w:rsidRDefault="00C75F4A">
            <w:pPr>
              <w:spacing w:before="155" w:line="192" w:lineRule="auto"/>
              <w:jc w:val="center"/>
              <w:rPr>
                <w:rFonts w:ascii="宋体" w:hAnsi="宋体" w:cs="宋体"/>
                <w:sz w:val="24"/>
              </w:rPr>
            </w:pPr>
            <w:r>
              <w:rPr>
                <w:rFonts w:ascii="宋体" w:hAnsi="宋体" w:cs="宋体" w:hint="eastAsia"/>
                <w:sz w:val="24"/>
              </w:rPr>
              <w:t>GB/T10297—2015</w:t>
            </w:r>
          </w:p>
        </w:tc>
        <w:tc>
          <w:tcPr>
            <w:tcW w:w="46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C6181B" w:rsidRDefault="00C75F4A">
            <w:pPr>
              <w:widowControl/>
              <w:jc w:val="left"/>
              <w:rPr>
                <w:rFonts w:ascii="宋体" w:hAnsi="宋体" w:cs="宋体"/>
                <w:sz w:val="24"/>
              </w:rPr>
            </w:pPr>
            <w:r>
              <w:rPr>
                <w:rFonts w:ascii="宋体" w:hAnsi="宋体" w:cs="宋体" w:hint="eastAsia"/>
                <w:sz w:val="24"/>
              </w:rPr>
              <w:t>《</w:t>
            </w:r>
            <w:r>
              <w:rPr>
                <w:rFonts w:ascii="宋体" w:hAnsi="宋体" w:cs="宋体" w:hint="eastAsia"/>
                <w:color w:val="000000"/>
                <w:kern w:val="0"/>
                <w:sz w:val="24"/>
              </w:rPr>
              <w:t>非金属固体材料导热系数的测定热线法</w:t>
            </w:r>
            <w:r>
              <w:rPr>
                <w:rFonts w:ascii="宋体" w:hAnsi="宋体" w:cs="宋体" w:hint="eastAsia"/>
                <w:sz w:val="24"/>
              </w:rPr>
              <w:t>》</w:t>
            </w:r>
          </w:p>
        </w:tc>
      </w:tr>
      <w:tr w:rsidR="00C6181B" w:rsidTr="00C6620A">
        <w:trPr>
          <w:cantSplit/>
          <w:trHeight w:val="543"/>
          <w:jc w:val="center"/>
        </w:trPr>
        <w:tc>
          <w:tcPr>
            <w:tcW w:w="893" w:type="dxa"/>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rPr>
                <w:sz w:val="24"/>
                <w:szCs w:val="24"/>
              </w:rPr>
            </w:pPr>
            <w:r>
              <w:rPr>
                <w:rFonts w:hint="eastAsia"/>
                <w:sz w:val="24"/>
                <w:szCs w:val="24"/>
                <w:lang w:eastAsia="zh-CN"/>
              </w:rPr>
              <w:t>3</w:t>
            </w:r>
          </w:p>
        </w:tc>
        <w:tc>
          <w:tcPr>
            <w:tcW w:w="1842" w:type="dxa"/>
            <w:tcBorders>
              <w:top w:val="single" w:sz="4" w:space="0" w:color="auto"/>
              <w:left w:val="single" w:sz="4" w:space="0" w:color="auto"/>
              <w:right w:val="single" w:sz="4" w:space="0" w:color="auto"/>
            </w:tcBorders>
            <w:shd w:val="clear" w:color="auto" w:fill="FFFFFF" w:themeFill="background1"/>
            <w:noWrap/>
            <w:vAlign w:val="center"/>
          </w:tcPr>
          <w:p w:rsidR="00C6181B" w:rsidRDefault="00CC7D73">
            <w:pPr>
              <w:pStyle w:val="TableText"/>
              <w:spacing w:before="123"/>
              <w:ind w:left="97"/>
              <w:jc w:val="center"/>
              <w:rPr>
                <w:sz w:val="24"/>
                <w:szCs w:val="24"/>
                <w:lang w:eastAsia="zh-CN"/>
              </w:rPr>
            </w:pPr>
            <w:r>
              <w:rPr>
                <w:rFonts w:hint="eastAsia"/>
                <w:sz w:val="24"/>
                <w:szCs w:val="24"/>
                <w:lang w:eastAsia="zh-CN"/>
              </w:rPr>
              <w:t>抗压</w:t>
            </w:r>
            <w:r w:rsidR="00C75F4A">
              <w:rPr>
                <w:rFonts w:hint="eastAsia"/>
                <w:sz w:val="24"/>
                <w:szCs w:val="24"/>
                <w:lang w:eastAsia="zh-CN"/>
              </w:rPr>
              <w:t>强度</w:t>
            </w:r>
          </w:p>
        </w:tc>
        <w:tc>
          <w:tcPr>
            <w:tcW w:w="2410" w:type="dxa"/>
            <w:tcBorders>
              <w:top w:val="single" w:sz="6" w:space="0" w:color="auto"/>
              <w:left w:val="single" w:sz="4" w:space="0" w:color="auto"/>
              <w:right w:val="single" w:sz="4" w:space="0" w:color="auto"/>
            </w:tcBorders>
            <w:shd w:val="clear" w:color="auto" w:fill="FFFFFF" w:themeFill="background1"/>
            <w:noWrap/>
            <w:vAlign w:val="center"/>
          </w:tcPr>
          <w:p w:rsidR="00C6181B" w:rsidRDefault="00C75F4A">
            <w:pPr>
              <w:spacing w:before="162" w:line="192" w:lineRule="auto"/>
              <w:jc w:val="center"/>
              <w:rPr>
                <w:rFonts w:ascii="宋体" w:hAnsi="宋体" w:cs="宋体"/>
                <w:sz w:val="24"/>
              </w:rPr>
            </w:pPr>
            <w:r>
              <w:rPr>
                <w:rFonts w:ascii="宋体" w:hAnsi="宋体" w:cs="宋体" w:hint="eastAsia"/>
                <w:sz w:val="24"/>
              </w:rPr>
              <w:t>GB/T 8813-2020</w:t>
            </w:r>
          </w:p>
        </w:tc>
        <w:tc>
          <w:tcPr>
            <w:tcW w:w="4633" w:type="dxa"/>
            <w:tcBorders>
              <w:top w:val="single" w:sz="4"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《硬质泡沫塑料压缩性能的测定》</w:t>
            </w:r>
          </w:p>
        </w:tc>
      </w:tr>
      <w:tr w:rsidR="00C6181B" w:rsidTr="00C6620A">
        <w:trPr>
          <w:cantSplit/>
          <w:trHeight w:val="692"/>
          <w:jc w:val="center"/>
        </w:trPr>
        <w:tc>
          <w:tcPr>
            <w:tcW w:w="893" w:type="dxa"/>
            <w:vMerge w:val="restart"/>
            <w:tcBorders>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4</w:t>
            </w:r>
          </w:p>
        </w:tc>
        <w:tc>
          <w:tcPr>
            <w:tcW w:w="1842" w:type="dxa"/>
            <w:vMerge w:val="restart"/>
            <w:tcBorders>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燃烧性能等级</w:t>
            </w:r>
          </w:p>
        </w:tc>
        <w:tc>
          <w:tcPr>
            <w:tcW w:w="2410"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bookmarkStart w:id="0" w:name="_GoBack"/>
            <w:bookmarkEnd w:id="0"/>
            <w:r>
              <w:rPr>
                <w:rFonts w:hint="eastAsia"/>
                <w:sz w:val="24"/>
                <w:szCs w:val="24"/>
              </w:rPr>
              <w:t>GB/T 2406.2-2009</w:t>
            </w:r>
          </w:p>
        </w:tc>
        <w:tc>
          <w:tcPr>
            <w:tcW w:w="4633"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《塑料 用氧指数法测定燃烧行为 第2部分：室温试验》</w:t>
            </w:r>
          </w:p>
        </w:tc>
      </w:tr>
      <w:tr w:rsidR="00C6181B" w:rsidTr="00C6620A">
        <w:trPr>
          <w:cantSplit/>
          <w:trHeight w:val="379"/>
          <w:jc w:val="center"/>
        </w:trPr>
        <w:tc>
          <w:tcPr>
            <w:tcW w:w="893"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1842"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2410"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rPr>
              <w:t>GB/T 20284-2006</w:t>
            </w:r>
          </w:p>
        </w:tc>
        <w:tc>
          <w:tcPr>
            <w:tcW w:w="4633"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《建筑材料或制品的单体燃烧试验》</w:t>
            </w:r>
          </w:p>
        </w:tc>
      </w:tr>
      <w:tr w:rsidR="00C6181B" w:rsidTr="00C6620A">
        <w:trPr>
          <w:cantSplit/>
          <w:trHeight w:val="327"/>
          <w:jc w:val="center"/>
        </w:trPr>
        <w:tc>
          <w:tcPr>
            <w:tcW w:w="893"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1842"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2410"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rPr>
              <w:t>GB/T 8626-2007</w:t>
            </w:r>
          </w:p>
        </w:tc>
        <w:tc>
          <w:tcPr>
            <w:tcW w:w="4633"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《建筑材料可燃性试验方法》</w:t>
            </w:r>
          </w:p>
        </w:tc>
      </w:tr>
      <w:tr w:rsidR="00C6181B" w:rsidTr="00C6620A">
        <w:trPr>
          <w:cantSplit/>
          <w:trHeight w:val="304"/>
          <w:jc w:val="center"/>
        </w:trPr>
        <w:tc>
          <w:tcPr>
            <w:tcW w:w="893"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1842"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2410"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rPr>
              <w:t>GB/T 5464-2010</w:t>
            </w:r>
          </w:p>
        </w:tc>
        <w:tc>
          <w:tcPr>
            <w:tcW w:w="4633"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《建筑材料不燃性试验方法》</w:t>
            </w:r>
          </w:p>
        </w:tc>
      </w:tr>
      <w:tr w:rsidR="00C6181B" w:rsidTr="00C6620A">
        <w:trPr>
          <w:cantSplit/>
          <w:trHeight w:val="786"/>
          <w:jc w:val="center"/>
        </w:trPr>
        <w:tc>
          <w:tcPr>
            <w:tcW w:w="893"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1842"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sz w:val="24"/>
                <w:szCs w:val="24"/>
                <w:lang w:eastAsia="zh-CN"/>
              </w:rPr>
            </w:pPr>
          </w:p>
        </w:tc>
        <w:tc>
          <w:tcPr>
            <w:tcW w:w="2410" w:type="dxa"/>
            <w:tcBorders>
              <w:top w:val="single" w:sz="4" w:space="0" w:color="000000"/>
              <w:left w:val="single" w:sz="4" w:space="0" w:color="auto"/>
              <w:bottom w:val="single" w:sz="6"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rPr>
              <w:t>GB/T 14402-2007</w:t>
            </w:r>
          </w:p>
        </w:tc>
        <w:tc>
          <w:tcPr>
            <w:tcW w:w="4633" w:type="dxa"/>
            <w:tcBorders>
              <w:top w:val="single" w:sz="4" w:space="0" w:color="000000"/>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sz w:val="24"/>
                <w:szCs w:val="24"/>
                <w:lang w:eastAsia="zh-CN"/>
              </w:rPr>
            </w:pPr>
            <w:r>
              <w:rPr>
                <w:rFonts w:hint="eastAsia"/>
                <w:sz w:val="24"/>
                <w:szCs w:val="24"/>
                <w:lang w:eastAsia="zh-CN"/>
              </w:rPr>
              <w:t>《建筑材料及制品的燃烧性能燃烧热值的测定》</w:t>
            </w:r>
          </w:p>
        </w:tc>
      </w:tr>
    </w:tbl>
    <w:p w:rsidR="00C6620A" w:rsidRDefault="00C6620A">
      <w:pPr>
        <w:spacing w:before="68" w:line="219" w:lineRule="auto"/>
        <w:ind w:firstLineChars="1100" w:firstLine="2495"/>
        <w:rPr>
          <w:rFonts w:ascii="Times New Roman" w:hAnsi="Times New Roman"/>
          <w:b/>
          <w:bCs/>
          <w:spacing w:val="8"/>
          <w:szCs w:val="21"/>
        </w:rPr>
      </w:pPr>
    </w:p>
    <w:p w:rsidR="00C6620A" w:rsidRDefault="00C6620A">
      <w:pPr>
        <w:spacing w:before="68" w:line="219" w:lineRule="auto"/>
        <w:ind w:firstLineChars="1100" w:firstLine="2495"/>
        <w:rPr>
          <w:rFonts w:ascii="Times New Roman" w:hAnsi="Times New Roman"/>
          <w:b/>
          <w:bCs/>
          <w:spacing w:val="8"/>
          <w:szCs w:val="21"/>
        </w:rPr>
      </w:pPr>
    </w:p>
    <w:p w:rsidR="00C6181B" w:rsidRDefault="00C75F4A">
      <w:pPr>
        <w:spacing w:before="68" w:line="219" w:lineRule="auto"/>
        <w:ind w:firstLineChars="1100" w:firstLine="2495"/>
        <w:rPr>
          <w:rFonts w:ascii="宋体" w:hAnsi="宋体" w:cs="宋体"/>
          <w:b/>
          <w:bCs/>
          <w:spacing w:val="8"/>
          <w:szCs w:val="21"/>
        </w:rPr>
      </w:pPr>
      <w:r>
        <w:rPr>
          <w:rFonts w:ascii="Times New Roman" w:hAnsi="Times New Roman"/>
          <w:b/>
          <w:bCs/>
          <w:spacing w:val="8"/>
          <w:szCs w:val="21"/>
        </w:rPr>
        <w:t>表</w:t>
      </w:r>
      <w:r>
        <w:rPr>
          <w:rFonts w:ascii="Times New Roman" w:hAnsi="Times New Roman" w:hint="eastAsia"/>
          <w:b/>
          <w:bCs/>
          <w:spacing w:val="8"/>
          <w:szCs w:val="21"/>
        </w:rPr>
        <w:t>2</w:t>
      </w:r>
      <w:r>
        <w:rPr>
          <w:rFonts w:ascii="宋体" w:hAnsi="宋体" w:cs="宋体" w:hint="eastAsia"/>
          <w:b/>
          <w:bCs/>
          <w:spacing w:val="8"/>
          <w:szCs w:val="21"/>
        </w:rPr>
        <w:t>建筑用外墙保温材料检验项目</w:t>
      </w:r>
    </w:p>
    <w:tbl>
      <w:tblPr>
        <w:tblW w:w="98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hemeFill="background1"/>
        <w:tblLayout w:type="fixed"/>
        <w:tblCellMar>
          <w:left w:w="28" w:type="dxa"/>
          <w:right w:w="28" w:type="dxa"/>
        </w:tblCellMar>
        <w:tblLook w:val="04A0"/>
      </w:tblPr>
      <w:tblGrid>
        <w:gridCol w:w="782"/>
        <w:gridCol w:w="1417"/>
        <w:gridCol w:w="2268"/>
        <w:gridCol w:w="5372"/>
      </w:tblGrid>
      <w:tr w:rsidR="00C6181B" w:rsidTr="000F2742">
        <w:trPr>
          <w:cantSplit/>
          <w:trHeight w:val="400"/>
          <w:tblHeader/>
          <w:jc w:val="center"/>
        </w:trPr>
        <w:tc>
          <w:tcPr>
            <w:tcW w:w="782" w:type="dxa"/>
            <w:vMerge w:val="restart"/>
            <w:tcBorders>
              <w:top w:val="single" w:sz="6" w:space="0" w:color="auto"/>
              <w:left w:val="single" w:sz="6" w:space="0" w:color="auto"/>
            </w:tcBorders>
            <w:shd w:val="clear" w:color="auto" w:fill="FFFFFF" w:themeFill="background1"/>
            <w:noWrap/>
            <w:vAlign w:val="center"/>
          </w:tcPr>
          <w:p w:rsidR="00C6181B" w:rsidRDefault="00C75F4A">
            <w:pPr>
              <w:overflowPunct w:val="0"/>
              <w:autoSpaceDE w:val="0"/>
              <w:autoSpaceDN w:val="0"/>
              <w:adjustRightInd w:val="0"/>
              <w:snapToGrid w:val="0"/>
              <w:spacing w:line="400" w:lineRule="atLeast"/>
              <w:jc w:val="center"/>
              <w:rPr>
                <w:rFonts w:ascii="宋体" w:hAnsi="宋体" w:cs="宋体"/>
                <w:b/>
                <w:bCs/>
                <w:sz w:val="18"/>
                <w:szCs w:val="18"/>
              </w:rPr>
            </w:pPr>
            <w:r>
              <w:rPr>
                <w:rFonts w:ascii="宋体" w:hAnsi="宋体" w:cs="宋体" w:hint="eastAsia"/>
                <w:b/>
                <w:bCs/>
                <w:sz w:val="18"/>
                <w:szCs w:val="18"/>
              </w:rPr>
              <w:t>序号</w:t>
            </w:r>
          </w:p>
        </w:tc>
        <w:tc>
          <w:tcPr>
            <w:tcW w:w="1417" w:type="dxa"/>
            <w:vMerge w:val="restart"/>
            <w:tcBorders>
              <w:top w:val="single" w:sz="6" w:space="0" w:color="auto"/>
            </w:tcBorders>
            <w:shd w:val="clear" w:color="auto" w:fill="FFFFFF" w:themeFill="background1"/>
            <w:noWrap/>
            <w:vAlign w:val="center"/>
          </w:tcPr>
          <w:p w:rsidR="00C6181B" w:rsidRDefault="00C75F4A">
            <w:pPr>
              <w:overflowPunct w:val="0"/>
              <w:autoSpaceDE w:val="0"/>
              <w:autoSpaceDN w:val="0"/>
              <w:adjustRightInd w:val="0"/>
              <w:snapToGrid w:val="0"/>
              <w:spacing w:line="400" w:lineRule="atLeast"/>
              <w:jc w:val="center"/>
              <w:rPr>
                <w:rFonts w:ascii="宋体" w:hAnsi="宋体" w:cs="宋体"/>
                <w:b/>
                <w:bCs/>
                <w:sz w:val="18"/>
                <w:szCs w:val="18"/>
              </w:rPr>
            </w:pPr>
            <w:r>
              <w:rPr>
                <w:rFonts w:ascii="宋体" w:hAnsi="宋体" w:cs="宋体" w:hint="eastAsia"/>
                <w:b/>
                <w:bCs/>
                <w:sz w:val="18"/>
                <w:szCs w:val="18"/>
              </w:rPr>
              <w:t>检验项目</w:t>
            </w:r>
          </w:p>
        </w:tc>
        <w:tc>
          <w:tcPr>
            <w:tcW w:w="2268" w:type="dxa"/>
            <w:vMerge w:val="restart"/>
            <w:tcBorders>
              <w:top w:val="single" w:sz="6" w:space="0" w:color="auto"/>
            </w:tcBorders>
            <w:shd w:val="clear" w:color="auto" w:fill="FFFFFF" w:themeFill="background1"/>
            <w:noWrap/>
            <w:vAlign w:val="center"/>
          </w:tcPr>
          <w:p w:rsidR="00C6181B" w:rsidRDefault="00C75F4A">
            <w:pPr>
              <w:overflowPunct w:val="0"/>
              <w:autoSpaceDE w:val="0"/>
              <w:autoSpaceDN w:val="0"/>
              <w:adjustRightInd w:val="0"/>
              <w:snapToGrid w:val="0"/>
              <w:spacing w:line="400" w:lineRule="atLeast"/>
              <w:jc w:val="center"/>
              <w:rPr>
                <w:rFonts w:ascii="宋体" w:hAnsi="宋体" w:cs="宋体"/>
                <w:b/>
                <w:bCs/>
                <w:sz w:val="18"/>
                <w:szCs w:val="18"/>
              </w:rPr>
            </w:pPr>
            <w:r>
              <w:rPr>
                <w:rFonts w:ascii="宋体" w:hAnsi="宋体" w:cs="宋体" w:hint="eastAsia"/>
                <w:b/>
                <w:bCs/>
                <w:sz w:val="18"/>
                <w:szCs w:val="18"/>
              </w:rPr>
              <w:t>检验依据</w:t>
            </w:r>
          </w:p>
        </w:tc>
        <w:tc>
          <w:tcPr>
            <w:tcW w:w="5372"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overflowPunct w:val="0"/>
              <w:autoSpaceDE w:val="0"/>
              <w:autoSpaceDN w:val="0"/>
              <w:adjustRightInd w:val="0"/>
              <w:snapToGrid w:val="0"/>
              <w:spacing w:line="400" w:lineRule="atLeast"/>
              <w:jc w:val="center"/>
              <w:rPr>
                <w:rFonts w:ascii="宋体" w:hAnsi="宋体" w:cs="宋体"/>
                <w:b/>
                <w:bCs/>
                <w:sz w:val="18"/>
                <w:szCs w:val="18"/>
              </w:rPr>
            </w:pPr>
            <w:r>
              <w:rPr>
                <w:rFonts w:ascii="宋体" w:hAnsi="宋体" w:cs="宋体" w:hint="eastAsia"/>
                <w:b/>
                <w:bCs/>
                <w:sz w:val="18"/>
                <w:szCs w:val="18"/>
              </w:rPr>
              <w:t>检验检测方法</w:t>
            </w:r>
          </w:p>
        </w:tc>
      </w:tr>
      <w:tr w:rsidR="00C6181B" w:rsidTr="000F2742">
        <w:trPr>
          <w:cantSplit/>
          <w:trHeight w:val="400"/>
          <w:tblHeader/>
          <w:jc w:val="center"/>
        </w:trPr>
        <w:tc>
          <w:tcPr>
            <w:tcW w:w="782" w:type="dxa"/>
            <w:vMerge/>
            <w:tcBorders>
              <w:left w:val="single" w:sz="6" w:space="0" w:color="auto"/>
              <w:bottom w:val="single" w:sz="6" w:space="0" w:color="auto"/>
            </w:tcBorders>
            <w:shd w:val="clear" w:color="auto" w:fill="FFFFFF" w:themeFill="background1"/>
            <w:noWrap/>
            <w:vAlign w:val="center"/>
          </w:tcPr>
          <w:p w:rsidR="00C6181B" w:rsidRDefault="00C6181B">
            <w:pPr>
              <w:overflowPunct w:val="0"/>
              <w:autoSpaceDE w:val="0"/>
              <w:autoSpaceDN w:val="0"/>
              <w:adjustRightInd w:val="0"/>
              <w:snapToGrid w:val="0"/>
              <w:spacing w:line="400" w:lineRule="atLeast"/>
              <w:rPr>
                <w:rFonts w:ascii="宋体" w:hAnsi="宋体" w:cs="宋体"/>
                <w:sz w:val="18"/>
                <w:szCs w:val="18"/>
              </w:rPr>
            </w:pPr>
          </w:p>
        </w:tc>
        <w:tc>
          <w:tcPr>
            <w:tcW w:w="1417" w:type="dxa"/>
            <w:vMerge/>
            <w:tcBorders>
              <w:bottom w:val="single" w:sz="6" w:space="0" w:color="auto"/>
            </w:tcBorders>
            <w:shd w:val="clear" w:color="auto" w:fill="FFFFFF" w:themeFill="background1"/>
            <w:noWrap/>
            <w:vAlign w:val="center"/>
          </w:tcPr>
          <w:p w:rsidR="00C6181B" w:rsidRDefault="00C6181B">
            <w:pPr>
              <w:overflowPunct w:val="0"/>
              <w:autoSpaceDE w:val="0"/>
              <w:autoSpaceDN w:val="0"/>
              <w:adjustRightInd w:val="0"/>
              <w:snapToGrid w:val="0"/>
              <w:spacing w:line="400" w:lineRule="atLeast"/>
              <w:rPr>
                <w:rFonts w:ascii="宋体" w:hAnsi="宋体" w:cs="宋体"/>
                <w:sz w:val="18"/>
                <w:szCs w:val="18"/>
              </w:rPr>
            </w:pPr>
          </w:p>
        </w:tc>
        <w:tc>
          <w:tcPr>
            <w:tcW w:w="2268" w:type="dxa"/>
            <w:vMerge/>
            <w:shd w:val="clear" w:color="auto" w:fill="FFFFFF" w:themeFill="background1"/>
            <w:noWrap/>
            <w:vAlign w:val="center"/>
          </w:tcPr>
          <w:p w:rsidR="00C6181B" w:rsidRDefault="00C6181B">
            <w:pPr>
              <w:overflowPunct w:val="0"/>
              <w:autoSpaceDE w:val="0"/>
              <w:autoSpaceDN w:val="0"/>
              <w:adjustRightInd w:val="0"/>
              <w:snapToGrid w:val="0"/>
              <w:spacing w:line="400" w:lineRule="atLeast"/>
              <w:rPr>
                <w:rFonts w:ascii="宋体" w:hAnsi="宋体" w:cs="宋体"/>
                <w:sz w:val="18"/>
                <w:szCs w:val="18"/>
              </w:rPr>
            </w:pPr>
          </w:p>
        </w:tc>
        <w:tc>
          <w:tcPr>
            <w:tcW w:w="5372"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overflowPunct w:val="0"/>
              <w:autoSpaceDE w:val="0"/>
              <w:autoSpaceDN w:val="0"/>
              <w:adjustRightInd w:val="0"/>
              <w:snapToGrid w:val="0"/>
              <w:spacing w:line="400" w:lineRule="atLeast"/>
              <w:rPr>
                <w:rFonts w:ascii="宋体" w:hAnsi="宋体" w:cs="宋体"/>
                <w:sz w:val="18"/>
                <w:szCs w:val="18"/>
              </w:rPr>
            </w:pPr>
          </w:p>
        </w:tc>
      </w:tr>
      <w:tr w:rsidR="00C6181B" w:rsidTr="000F2742">
        <w:trPr>
          <w:cantSplit/>
          <w:trHeight w:val="410"/>
          <w:jc w:val="center"/>
        </w:trPr>
        <w:tc>
          <w:tcPr>
            <w:tcW w:w="782" w:type="dxa"/>
            <w:vMerge w:val="restart"/>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1</w:t>
            </w:r>
          </w:p>
        </w:tc>
        <w:tc>
          <w:tcPr>
            <w:tcW w:w="1417"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表观密度</w:t>
            </w:r>
          </w:p>
        </w:tc>
        <w:tc>
          <w:tcPr>
            <w:tcW w:w="2268" w:type="dxa"/>
            <w:tcBorders>
              <w:top w:val="single" w:sz="6"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6343-2009</w:t>
            </w:r>
          </w:p>
        </w:tc>
        <w:tc>
          <w:tcPr>
            <w:tcW w:w="5372" w:type="dxa"/>
            <w:tcBorders>
              <w:top w:val="single" w:sz="4"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《泡沫塑料及橡胶 表观密度的测定》</w:t>
            </w:r>
          </w:p>
        </w:tc>
      </w:tr>
      <w:tr w:rsidR="00C6181B" w:rsidTr="000F2742">
        <w:trPr>
          <w:cantSplit/>
          <w:trHeight w:val="387"/>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GB/T 5480-2017</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《矿物棉及其制品试验方法》</w:t>
            </w:r>
          </w:p>
        </w:tc>
      </w:tr>
      <w:tr w:rsidR="00C6181B" w:rsidTr="000F2742">
        <w:trPr>
          <w:cantSplit/>
          <w:trHeight w:val="224"/>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6"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5486-2008</w:t>
            </w:r>
          </w:p>
        </w:tc>
        <w:tc>
          <w:tcPr>
            <w:tcW w:w="5372" w:type="dxa"/>
            <w:tcBorders>
              <w:top w:val="single" w:sz="4" w:space="0" w:color="000000"/>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《无机硬质绝热制品试验方法》</w:t>
            </w:r>
          </w:p>
        </w:tc>
      </w:tr>
      <w:tr w:rsidR="00C6181B" w:rsidTr="000F2742">
        <w:trPr>
          <w:cantSplit/>
          <w:trHeight w:val="485"/>
          <w:jc w:val="center"/>
        </w:trPr>
        <w:tc>
          <w:tcPr>
            <w:tcW w:w="782" w:type="dxa"/>
            <w:vMerge w:val="restart"/>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2</w:t>
            </w:r>
          </w:p>
        </w:tc>
        <w:tc>
          <w:tcPr>
            <w:tcW w:w="1417"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导热系数</w:t>
            </w:r>
          </w:p>
        </w:tc>
        <w:tc>
          <w:tcPr>
            <w:tcW w:w="2268" w:type="dxa"/>
            <w:tcBorders>
              <w:top w:val="single" w:sz="6"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10294-2008</w:t>
            </w:r>
          </w:p>
        </w:tc>
        <w:tc>
          <w:tcPr>
            <w:tcW w:w="5372" w:type="dxa"/>
            <w:tcBorders>
              <w:top w:val="single" w:sz="4"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《绝热材料稳态热阻及有关特性的测定 防护热板法》</w:t>
            </w:r>
          </w:p>
        </w:tc>
      </w:tr>
      <w:tr w:rsidR="00C6181B" w:rsidTr="000F2742">
        <w:trPr>
          <w:cantSplit/>
          <w:trHeight w:val="407"/>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6"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10295-2008</w:t>
            </w:r>
          </w:p>
        </w:tc>
        <w:tc>
          <w:tcPr>
            <w:tcW w:w="5372" w:type="dxa"/>
            <w:tcBorders>
              <w:top w:val="single" w:sz="4" w:space="0" w:color="000000"/>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《绝热材料稳态热阻及有关特性的测定 热流计法》</w:t>
            </w:r>
          </w:p>
        </w:tc>
      </w:tr>
      <w:tr w:rsidR="00C6181B" w:rsidTr="000F2742">
        <w:trPr>
          <w:cantSplit/>
          <w:trHeight w:val="385"/>
          <w:jc w:val="center"/>
        </w:trPr>
        <w:tc>
          <w:tcPr>
            <w:tcW w:w="782" w:type="dxa"/>
            <w:vMerge w:val="restart"/>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3</w:t>
            </w:r>
          </w:p>
        </w:tc>
        <w:tc>
          <w:tcPr>
            <w:tcW w:w="1417"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抗拉强度</w:t>
            </w:r>
          </w:p>
        </w:tc>
        <w:tc>
          <w:tcPr>
            <w:tcW w:w="2268" w:type="dxa"/>
            <w:tcBorders>
              <w:top w:val="single" w:sz="6"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JGJ 144-2019</w:t>
            </w:r>
          </w:p>
        </w:tc>
        <w:tc>
          <w:tcPr>
            <w:tcW w:w="5372" w:type="dxa"/>
            <w:tcBorders>
              <w:top w:val="single" w:sz="4"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《外墙外保温工程技术标准》</w:t>
            </w:r>
          </w:p>
        </w:tc>
      </w:tr>
      <w:tr w:rsidR="00C6181B" w:rsidTr="000F2742">
        <w:trPr>
          <w:cantSplit/>
          <w:trHeight w:val="362"/>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6"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GB/T29906-2013</w:t>
            </w:r>
          </w:p>
        </w:tc>
        <w:tc>
          <w:tcPr>
            <w:tcW w:w="5372" w:type="dxa"/>
            <w:tcBorders>
              <w:top w:val="single" w:sz="4" w:space="0" w:color="000000"/>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《模塑聚苯板薄抹灰外墙外保温系统材料》</w:t>
            </w:r>
          </w:p>
        </w:tc>
      </w:tr>
      <w:tr w:rsidR="00C6181B" w:rsidTr="000F2742">
        <w:trPr>
          <w:cantSplit/>
          <w:trHeight w:val="482"/>
          <w:jc w:val="center"/>
        </w:trPr>
        <w:tc>
          <w:tcPr>
            <w:tcW w:w="782" w:type="dxa"/>
            <w:vMerge w:val="restart"/>
            <w:tcBorders>
              <w:top w:val="single" w:sz="6" w:space="0" w:color="auto"/>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pPr>
            <w:r>
              <w:rPr>
                <w:rFonts w:hint="eastAsia"/>
                <w:lang w:eastAsia="zh-CN"/>
              </w:rPr>
              <w:t>4</w:t>
            </w:r>
          </w:p>
        </w:tc>
        <w:tc>
          <w:tcPr>
            <w:tcW w:w="1417" w:type="dxa"/>
            <w:vMerge w:val="restart"/>
            <w:tcBorders>
              <w:top w:val="single" w:sz="4" w:space="0" w:color="auto"/>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抗压（压缩）强度</w:t>
            </w:r>
          </w:p>
        </w:tc>
        <w:tc>
          <w:tcPr>
            <w:tcW w:w="2268" w:type="dxa"/>
            <w:tcBorders>
              <w:top w:val="single" w:sz="6"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8813-2020</w:t>
            </w:r>
          </w:p>
        </w:tc>
        <w:tc>
          <w:tcPr>
            <w:tcW w:w="5372" w:type="dxa"/>
            <w:tcBorders>
              <w:top w:val="single" w:sz="4" w:space="0" w:color="auto"/>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《硬质泡沫塑料压缩性能的测定》</w:t>
            </w:r>
          </w:p>
        </w:tc>
      </w:tr>
      <w:tr w:rsidR="00C6181B" w:rsidTr="000F2742">
        <w:trPr>
          <w:cantSplit/>
          <w:trHeight w:val="263"/>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13480-2014</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《建筑用绝热制品 压缩性能的测定》</w:t>
            </w:r>
          </w:p>
        </w:tc>
      </w:tr>
      <w:tr w:rsidR="00C6181B" w:rsidTr="000F2742">
        <w:trPr>
          <w:cantSplit/>
          <w:trHeight w:val="383"/>
          <w:jc w:val="center"/>
        </w:trPr>
        <w:tc>
          <w:tcPr>
            <w:tcW w:w="782"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5486-2008</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《无机硬质绝热制品试验方法》</w:t>
            </w:r>
          </w:p>
        </w:tc>
      </w:tr>
      <w:tr w:rsidR="00C6181B" w:rsidTr="000F2742">
        <w:trPr>
          <w:cantSplit/>
          <w:trHeight w:val="361"/>
          <w:jc w:val="center"/>
        </w:trPr>
        <w:tc>
          <w:tcPr>
            <w:tcW w:w="782" w:type="dxa"/>
            <w:vMerge w:val="restart"/>
            <w:tcBorders>
              <w:left w:val="single" w:sz="6" w:space="0" w:color="auto"/>
              <w:right w:val="single" w:sz="6"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5</w:t>
            </w:r>
          </w:p>
        </w:tc>
        <w:tc>
          <w:tcPr>
            <w:tcW w:w="1417" w:type="dxa"/>
            <w:vMerge w:val="restart"/>
            <w:tcBorders>
              <w:left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燃烧性能等级</w:t>
            </w: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2406.2-2009</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《塑料 用氧指数法测定燃烧行为 第2部分：室温试验》</w:t>
            </w:r>
          </w:p>
        </w:tc>
      </w:tr>
      <w:tr w:rsidR="00C6181B" w:rsidTr="000F2742">
        <w:trPr>
          <w:cantSplit/>
          <w:trHeight w:val="338"/>
          <w:jc w:val="center"/>
        </w:trPr>
        <w:tc>
          <w:tcPr>
            <w:tcW w:w="782"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20284-2006</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《建筑材料或制品的单体燃烧试验》</w:t>
            </w:r>
          </w:p>
        </w:tc>
      </w:tr>
      <w:tr w:rsidR="00C6181B" w:rsidTr="000F2742">
        <w:trPr>
          <w:cantSplit/>
          <w:trHeight w:val="302"/>
          <w:jc w:val="center"/>
        </w:trPr>
        <w:tc>
          <w:tcPr>
            <w:tcW w:w="782"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8626-2007</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《建筑材料可燃性试验方法》</w:t>
            </w:r>
          </w:p>
        </w:tc>
      </w:tr>
      <w:tr w:rsidR="00C6181B" w:rsidTr="000F2742">
        <w:trPr>
          <w:cantSplit/>
          <w:trHeight w:val="422"/>
          <w:jc w:val="center"/>
        </w:trPr>
        <w:tc>
          <w:tcPr>
            <w:tcW w:w="782" w:type="dxa"/>
            <w:vMerge/>
            <w:tcBorders>
              <w:left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5464-2010</w:t>
            </w:r>
          </w:p>
        </w:tc>
        <w:tc>
          <w:tcPr>
            <w:tcW w:w="5372" w:type="dxa"/>
            <w:tcBorders>
              <w:top w:val="single" w:sz="4" w:space="0" w:color="000000"/>
              <w:left w:val="single" w:sz="4" w:space="0" w:color="auto"/>
              <w:bottom w:val="single" w:sz="4" w:space="0" w:color="000000"/>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《建筑材料不燃性试验方法》</w:t>
            </w:r>
          </w:p>
        </w:tc>
      </w:tr>
      <w:tr w:rsidR="00C6181B" w:rsidTr="000F2742">
        <w:trPr>
          <w:cantSplit/>
          <w:trHeight w:val="401"/>
          <w:jc w:val="center"/>
        </w:trPr>
        <w:tc>
          <w:tcPr>
            <w:tcW w:w="782" w:type="dxa"/>
            <w:vMerge/>
            <w:tcBorders>
              <w:left w:val="single" w:sz="6" w:space="0" w:color="auto"/>
              <w:bottom w:val="single" w:sz="6" w:space="0" w:color="auto"/>
              <w:right w:val="single" w:sz="6"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1417" w:type="dxa"/>
            <w:vMerge/>
            <w:tcBorders>
              <w:left w:val="single" w:sz="4" w:space="0" w:color="auto"/>
              <w:bottom w:val="single" w:sz="4" w:space="0" w:color="auto"/>
              <w:right w:val="single" w:sz="4" w:space="0" w:color="auto"/>
            </w:tcBorders>
            <w:shd w:val="clear" w:color="auto" w:fill="FFFFFF" w:themeFill="background1"/>
            <w:noWrap/>
            <w:vAlign w:val="center"/>
          </w:tcPr>
          <w:p w:rsidR="00C6181B" w:rsidRDefault="00C6181B">
            <w:pPr>
              <w:pStyle w:val="TableText"/>
              <w:spacing w:before="123"/>
              <w:ind w:left="97"/>
              <w:jc w:val="center"/>
              <w:rPr>
                <w:lang w:eastAsia="zh-CN"/>
              </w:rPr>
            </w:pPr>
          </w:p>
        </w:tc>
        <w:tc>
          <w:tcPr>
            <w:tcW w:w="2268" w:type="dxa"/>
            <w:tcBorders>
              <w:top w:val="single" w:sz="4" w:space="0" w:color="000000"/>
              <w:left w:val="single" w:sz="4" w:space="0" w:color="auto"/>
              <w:bottom w:val="single" w:sz="6"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GB/T 14402-2007</w:t>
            </w:r>
          </w:p>
        </w:tc>
        <w:tc>
          <w:tcPr>
            <w:tcW w:w="5372" w:type="dxa"/>
            <w:tcBorders>
              <w:top w:val="single" w:sz="4" w:space="0" w:color="000000"/>
              <w:left w:val="single" w:sz="4" w:space="0" w:color="auto"/>
              <w:bottom w:val="single" w:sz="4" w:space="0" w:color="auto"/>
              <w:right w:val="single" w:sz="4" w:space="0" w:color="auto"/>
            </w:tcBorders>
            <w:shd w:val="clear" w:color="auto" w:fill="FFFFFF" w:themeFill="background1"/>
            <w:noWrap/>
            <w:vAlign w:val="center"/>
          </w:tcPr>
          <w:p w:rsidR="00C6181B" w:rsidRDefault="00C75F4A">
            <w:pPr>
              <w:pStyle w:val="TableText"/>
              <w:spacing w:before="123"/>
              <w:ind w:left="97"/>
              <w:jc w:val="center"/>
              <w:rPr>
                <w:lang w:eastAsia="zh-CN"/>
              </w:rPr>
            </w:pPr>
            <w:r>
              <w:rPr>
                <w:rFonts w:hint="eastAsia"/>
                <w:lang w:eastAsia="zh-CN"/>
              </w:rPr>
              <w:t>《建筑材料及制品的燃烧性能燃烧热值的测定》</w:t>
            </w:r>
          </w:p>
        </w:tc>
      </w:tr>
    </w:tbl>
    <w:p w:rsidR="00C6181B" w:rsidRDefault="00C75F4A">
      <w:pPr>
        <w:tabs>
          <w:tab w:val="left" w:pos="1032"/>
        </w:tabs>
        <w:spacing w:line="570" w:lineRule="exact"/>
        <w:rPr>
          <w:rFonts w:ascii="仿宋_GB2312" w:eastAsia="仿宋_GB2312" w:hAnsi="Times New Roman"/>
          <w:sz w:val="32"/>
          <w:szCs w:val="32"/>
        </w:rPr>
      </w:pPr>
      <w:r>
        <w:rPr>
          <w:rFonts w:ascii="仿宋_GB2312" w:eastAsia="仿宋_GB2312" w:hAnsi="Times New Roman" w:hint="eastAsia"/>
          <w:sz w:val="32"/>
          <w:szCs w:val="32"/>
        </w:rPr>
        <w:t>检验方法包括相关产品标准及试验方法标准。</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凡是注日期的文件，其随后所有的修改单（不包括勘误的内容）或修订版不适用于本细则。凡是不注日期的文件，其最新版本适用于本细则。</w:t>
      </w:r>
    </w:p>
    <w:p w:rsidR="00C6181B" w:rsidRPr="00C6620A" w:rsidRDefault="00C75F4A">
      <w:pPr>
        <w:tabs>
          <w:tab w:val="left" w:pos="1032"/>
        </w:tabs>
        <w:spacing w:line="570" w:lineRule="exact"/>
        <w:ind w:firstLineChars="200" w:firstLine="640"/>
        <w:rPr>
          <w:rFonts w:ascii="黑体" w:eastAsia="黑体" w:hAnsi="黑体"/>
          <w:sz w:val="32"/>
          <w:szCs w:val="32"/>
        </w:rPr>
      </w:pPr>
      <w:r w:rsidRPr="00C6620A">
        <w:rPr>
          <w:rFonts w:ascii="黑体" w:eastAsia="黑体" w:hAnsi="黑体" w:hint="eastAsia"/>
          <w:sz w:val="32"/>
          <w:szCs w:val="32"/>
        </w:rPr>
        <w:t>4.判定规则</w:t>
      </w:r>
    </w:p>
    <w:p w:rsidR="00C6181B" w:rsidRPr="00C6620A" w:rsidRDefault="00C75F4A" w:rsidP="00C6620A">
      <w:pPr>
        <w:tabs>
          <w:tab w:val="left" w:pos="1032"/>
        </w:tabs>
        <w:spacing w:line="570" w:lineRule="exact"/>
        <w:ind w:firstLineChars="200" w:firstLine="643"/>
        <w:rPr>
          <w:rFonts w:ascii="楷体_GB2312" w:eastAsia="楷体_GB2312" w:hAnsi="Times New Roman"/>
          <w:b/>
          <w:sz w:val="32"/>
          <w:szCs w:val="32"/>
        </w:rPr>
      </w:pPr>
      <w:r w:rsidRPr="00C6620A">
        <w:rPr>
          <w:rFonts w:ascii="楷体_GB2312" w:eastAsia="楷体_GB2312" w:hAnsi="Times New Roman" w:hint="eastAsia"/>
          <w:b/>
          <w:sz w:val="32"/>
          <w:szCs w:val="32"/>
        </w:rPr>
        <w:t>4.1依据标准</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JB/T6527-2006《组合冷库用隔热夹芯板》</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lastRenderedPageBreak/>
        <w:t>GB/T 10801.1-2021《绝热用模塑聚苯乙烯泡沫塑料（EPS）》</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GB/T 21558《建筑绝热用硬质聚氨酯泡沫塑料》</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GB/T 30595 - 2024《建筑保温用挤塑聚苯板（XPS）系统材料》</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GB/T 10801.2-2018《绝热用挤塑聚苯乙烯泡沫塑料（XPS）》</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sz w:val="32"/>
          <w:szCs w:val="32"/>
        </w:rPr>
        <w:t>JG/T 536-2017 《热固复合聚苯乙烯泡沫保温板》</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GB 8624-2012《建筑材料及制品燃烧性能分级》</w:t>
      </w:r>
    </w:p>
    <w:p w:rsidR="00C6181B" w:rsidRDefault="00C75F4A">
      <w:pPr>
        <w:tabs>
          <w:tab w:val="left" w:pos="1032"/>
        </w:tabs>
        <w:spacing w:line="57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现行有效的企业标准、团体标准、地方标准及产品明示质量要求</w:t>
      </w:r>
    </w:p>
    <w:p w:rsidR="007F691F" w:rsidRPr="005017AD" w:rsidRDefault="007F691F" w:rsidP="007F691F">
      <w:pPr>
        <w:spacing w:line="570" w:lineRule="exact"/>
        <w:ind w:firstLineChars="200" w:firstLine="643"/>
        <w:rPr>
          <w:rFonts w:ascii="楷体_GB2312" w:eastAsia="楷体_GB2312"/>
          <w:b/>
          <w:sz w:val="32"/>
          <w:szCs w:val="32"/>
        </w:rPr>
      </w:pPr>
      <w:r w:rsidRPr="005017AD">
        <w:rPr>
          <w:rFonts w:ascii="楷体_GB2312" w:eastAsia="楷体_GB2312"/>
          <w:b/>
          <w:sz w:val="32"/>
          <w:szCs w:val="32"/>
        </w:rPr>
        <w:t>4</w:t>
      </w:r>
      <w:r w:rsidRPr="005017AD">
        <w:rPr>
          <w:rFonts w:ascii="楷体_GB2312" w:eastAsia="楷体_GB2312" w:hint="eastAsia"/>
          <w:b/>
          <w:sz w:val="32"/>
          <w:szCs w:val="32"/>
        </w:rPr>
        <w:t>.</w:t>
      </w:r>
      <w:r w:rsidRPr="005017AD">
        <w:rPr>
          <w:rFonts w:ascii="楷体_GB2312" w:eastAsia="楷体_GB2312"/>
          <w:b/>
          <w:sz w:val="32"/>
          <w:szCs w:val="32"/>
        </w:rPr>
        <w:t>2</w:t>
      </w:r>
      <w:r w:rsidRPr="005017AD">
        <w:rPr>
          <w:rFonts w:ascii="楷体_GB2312" w:eastAsia="楷体_GB2312" w:hint="eastAsia"/>
          <w:b/>
          <w:sz w:val="32"/>
          <w:szCs w:val="32"/>
        </w:rPr>
        <w:t>判定原则</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经检验，检验项目全部合格，判定为被抽查产品所检项目未发现不合格；检验项目中任一项或一项以上不合格，判定为被抽查产品不合格。</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若被检产品明示的质量要求高于本细则中检验项目依据的标准要求时，应按被检产品明示的质量要求判定。</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若被检产品明示的质量要求低于本细则中检验项目依据的强制性标准要求时，应按照强制性标准要求判定。</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若被检产品明示的质量要求低于或包含本细则中检验项目依据的推荐性标准要求时，应以被检产品明示的质量要求判定。</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若被检产品明示的质量要求缺少本细则中检验项目依据的强制性标准要求时，应按照强制性标准要求判定。</w:t>
      </w:r>
    </w:p>
    <w:p w:rsidR="007F691F" w:rsidRPr="00B55165" w:rsidRDefault="007F691F" w:rsidP="007F691F">
      <w:pPr>
        <w:spacing w:line="570" w:lineRule="exact"/>
        <w:ind w:firstLineChars="200" w:firstLine="640"/>
        <w:rPr>
          <w:rFonts w:ascii="仿宋_GB2312" w:eastAsia="仿宋_GB2312" w:hAnsi="仿宋"/>
          <w:bCs/>
          <w:kern w:val="0"/>
          <w:sz w:val="32"/>
          <w:szCs w:val="32"/>
        </w:rPr>
      </w:pPr>
      <w:r w:rsidRPr="00B55165">
        <w:rPr>
          <w:rFonts w:ascii="仿宋_GB2312" w:eastAsia="仿宋_GB2312" w:hAnsi="仿宋" w:hint="eastAsia"/>
          <w:bCs/>
          <w:kern w:val="0"/>
          <w:sz w:val="32"/>
          <w:szCs w:val="32"/>
        </w:rPr>
        <w:t>若被检产品明示的质量要求缺少本细则中检验项目依据的</w:t>
      </w:r>
      <w:r w:rsidRPr="00B55165">
        <w:rPr>
          <w:rFonts w:ascii="仿宋_GB2312" w:eastAsia="仿宋_GB2312" w:hAnsi="仿宋" w:hint="eastAsia"/>
          <w:bCs/>
          <w:kern w:val="0"/>
          <w:sz w:val="32"/>
          <w:szCs w:val="32"/>
        </w:rPr>
        <w:lastRenderedPageBreak/>
        <w:t>推荐性标准要求时，该项目不参与判定。</w:t>
      </w:r>
    </w:p>
    <w:p w:rsidR="007F691F" w:rsidRDefault="007F691F" w:rsidP="007F691F">
      <w:pPr>
        <w:spacing w:line="570" w:lineRule="exact"/>
        <w:ind w:firstLineChars="200" w:firstLine="640"/>
        <w:rPr>
          <w:rFonts w:ascii="黑体" w:eastAsia="黑体" w:hAnsi="黑体"/>
          <w:sz w:val="32"/>
          <w:szCs w:val="32"/>
        </w:rPr>
      </w:pPr>
      <w:r>
        <w:rPr>
          <w:rFonts w:ascii="黑体" w:eastAsia="黑体" w:hAnsi="黑体" w:hint="eastAsia"/>
          <w:sz w:val="32"/>
          <w:szCs w:val="32"/>
        </w:rPr>
        <w:t>5.异议处理</w:t>
      </w:r>
    </w:p>
    <w:p w:rsidR="007F691F" w:rsidRPr="00B55165" w:rsidRDefault="007F691F" w:rsidP="007F691F">
      <w:pPr>
        <w:spacing w:line="570" w:lineRule="exact"/>
        <w:ind w:firstLineChars="200" w:firstLine="640"/>
        <w:rPr>
          <w:rFonts w:ascii="仿宋_GB2312" w:eastAsia="仿宋_GB2312"/>
          <w:bCs/>
          <w:color w:val="000000"/>
          <w:sz w:val="32"/>
          <w:szCs w:val="32"/>
        </w:rPr>
      </w:pPr>
      <w:r w:rsidRPr="00B55165">
        <w:rPr>
          <w:rFonts w:ascii="仿宋_GB2312" w:eastAsia="仿宋_GB2312" w:hint="eastAsia"/>
          <w:bCs/>
          <w:color w:val="000000"/>
          <w:sz w:val="32"/>
          <w:szCs w:val="32"/>
        </w:rPr>
        <w:t>5.1对监督抽查程序有异议的，由任务下达部门核查相关证据后维持或者撤销原检验结果。</w:t>
      </w:r>
    </w:p>
    <w:p w:rsidR="007F691F" w:rsidRPr="00B55165" w:rsidRDefault="007F691F" w:rsidP="007F691F">
      <w:pPr>
        <w:spacing w:line="570" w:lineRule="exact"/>
        <w:ind w:firstLineChars="200" w:firstLine="640"/>
        <w:rPr>
          <w:rFonts w:ascii="仿宋_GB2312" w:eastAsia="仿宋_GB2312"/>
          <w:bCs/>
          <w:color w:val="000000"/>
          <w:sz w:val="32"/>
          <w:szCs w:val="32"/>
        </w:rPr>
      </w:pPr>
      <w:r w:rsidRPr="00B55165">
        <w:rPr>
          <w:rFonts w:ascii="仿宋_GB2312" w:eastAsia="仿宋_GB2312" w:hint="eastAsia"/>
          <w:bCs/>
          <w:color w:val="000000"/>
          <w:sz w:val="32"/>
          <w:szCs w:val="32"/>
        </w:rPr>
        <w:t>5.2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rsidR="007F691F" w:rsidRPr="00B55165" w:rsidRDefault="007F691F" w:rsidP="007F691F">
      <w:pPr>
        <w:spacing w:line="520" w:lineRule="exact"/>
        <w:ind w:firstLine="560"/>
        <w:rPr>
          <w:rFonts w:ascii="仿宋_GB2312" w:eastAsia="仿宋_GB2312"/>
          <w:color w:val="000000"/>
          <w:sz w:val="32"/>
          <w:szCs w:val="32"/>
        </w:rPr>
      </w:pPr>
      <w:r w:rsidRPr="00B55165">
        <w:rPr>
          <w:rFonts w:ascii="仿宋_GB2312" w:eastAsia="仿宋_GB2312" w:hint="eastAsia"/>
          <w:bCs/>
          <w:color w:val="000000"/>
          <w:sz w:val="32"/>
          <w:szCs w:val="32"/>
        </w:rPr>
        <w:t>5.3对样品信息有异议的，任务下达部门核查样品确认情况和生产企业提交证明材料后，维持或者撤销原检验结果。</w:t>
      </w:r>
    </w:p>
    <w:p w:rsidR="00C6181B" w:rsidRDefault="00C6181B">
      <w:pPr>
        <w:tabs>
          <w:tab w:val="left" w:pos="1032"/>
        </w:tabs>
        <w:spacing w:line="570" w:lineRule="exact"/>
        <w:ind w:firstLineChars="200" w:firstLine="640"/>
        <w:rPr>
          <w:rFonts w:ascii="仿宋_GB2312" w:eastAsia="仿宋_GB2312" w:hAnsi="Times New Roman"/>
          <w:sz w:val="32"/>
          <w:szCs w:val="32"/>
        </w:rPr>
      </w:pPr>
    </w:p>
    <w:p w:rsidR="00C6181B" w:rsidRDefault="00C6181B">
      <w:pPr>
        <w:tabs>
          <w:tab w:val="left" w:pos="1032"/>
        </w:tabs>
        <w:spacing w:line="570" w:lineRule="exact"/>
        <w:ind w:firstLineChars="200" w:firstLine="640"/>
        <w:rPr>
          <w:rFonts w:ascii="仿宋_GB2312" w:eastAsia="仿宋_GB2312" w:hAnsi="Times New Roman"/>
          <w:sz w:val="32"/>
          <w:szCs w:val="32"/>
        </w:rPr>
      </w:pPr>
    </w:p>
    <w:sectPr w:rsidR="00C6181B" w:rsidSect="00C6181B">
      <w:footerReference w:type="default" r:id="rId6"/>
      <w:pgSz w:w="11906" w:h="16838"/>
      <w:pgMar w:top="2098" w:right="1531" w:bottom="1985" w:left="1531" w:header="709" w:footer="1361"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07D4" w:rsidRDefault="00FC07D4" w:rsidP="00C6181B">
      <w:r>
        <w:separator/>
      </w:r>
    </w:p>
  </w:endnote>
  <w:endnote w:type="continuationSeparator" w:id="1">
    <w:p w:rsidR="00FC07D4" w:rsidRDefault="00FC07D4" w:rsidP="00C618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0853835"/>
    </w:sdtPr>
    <w:sdtContent>
      <w:p w:rsidR="00C6181B" w:rsidRDefault="0085091A">
        <w:pPr>
          <w:pStyle w:val="a5"/>
          <w:jc w:val="center"/>
        </w:pPr>
        <w:r>
          <w:fldChar w:fldCharType="begin"/>
        </w:r>
        <w:r w:rsidR="00C75F4A">
          <w:instrText>PAGE   \* MERGEFORMAT</w:instrText>
        </w:r>
        <w:r>
          <w:fldChar w:fldCharType="separate"/>
        </w:r>
        <w:r w:rsidR="00CC7D73" w:rsidRPr="00CC7D73">
          <w:rPr>
            <w:noProof/>
            <w:lang w:val="zh-CN"/>
          </w:rPr>
          <w:t>2</w:t>
        </w:r>
        <w:r>
          <w:fldChar w:fldCharType="end"/>
        </w:r>
      </w:p>
    </w:sdtContent>
  </w:sdt>
  <w:p w:rsidR="00C6181B" w:rsidRDefault="00C6181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07D4" w:rsidRDefault="00FC07D4" w:rsidP="00C6181B">
      <w:r>
        <w:separator/>
      </w:r>
    </w:p>
  </w:footnote>
  <w:footnote w:type="continuationSeparator" w:id="1">
    <w:p w:rsidR="00FC07D4" w:rsidRDefault="00FC07D4" w:rsidP="00C618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
  <w:docVars>
    <w:docVar w:name="commondata" w:val="eyJoZGlkIjoiYjA2N2I5NjE3YTdiMWQwNjhmMjVmNWFmMGNlYmQwYWUifQ=="/>
  </w:docVars>
  <w:rsids>
    <w:rsidRoot w:val="00172A27"/>
    <w:rsid w:val="0001130B"/>
    <w:rsid w:val="000163A0"/>
    <w:rsid w:val="0001675C"/>
    <w:rsid w:val="0002244E"/>
    <w:rsid w:val="00030067"/>
    <w:rsid w:val="00030FC7"/>
    <w:rsid w:val="00041807"/>
    <w:rsid w:val="0004210C"/>
    <w:rsid w:val="00046ACB"/>
    <w:rsid w:val="00054A03"/>
    <w:rsid w:val="000577CA"/>
    <w:rsid w:val="000607FF"/>
    <w:rsid w:val="00062664"/>
    <w:rsid w:val="00063F1E"/>
    <w:rsid w:val="0006746D"/>
    <w:rsid w:val="00067F88"/>
    <w:rsid w:val="00072AAC"/>
    <w:rsid w:val="00076376"/>
    <w:rsid w:val="00086D33"/>
    <w:rsid w:val="00094AB9"/>
    <w:rsid w:val="000A01F1"/>
    <w:rsid w:val="000A22D6"/>
    <w:rsid w:val="000B45BF"/>
    <w:rsid w:val="000C46FA"/>
    <w:rsid w:val="000E28CD"/>
    <w:rsid w:val="000F0C7B"/>
    <w:rsid w:val="000F2742"/>
    <w:rsid w:val="00115E24"/>
    <w:rsid w:val="00127D80"/>
    <w:rsid w:val="00127E6B"/>
    <w:rsid w:val="00131787"/>
    <w:rsid w:val="001331D2"/>
    <w:rsid w:val="00134B9F"/>
    <w:rsid w:val="001361E2"/>
    <w:rsid w:val="00136A71"/>
    <w:rsid w:val="00136EFA"/>
    <w:rsid w:val="00145921"/>
    <w:rsid w:val="00150892"/>
    <w:rsid w:val="00152358"/>
    <w:rsid w:val="00157459"/>
    <w:rsid w:val="0017102F"/>
    <w:rsid w:val="00172A27"/>
    <w:rsid w:val="00172F78"/>
    <w:rsid w:val="00176623"/>
    <w:rsid w:val="001766DC"/>
    <w:rsid w:val="0018019D"/>
    <w:rsid w:val="00184632"/>
    <w:rsid w:val="0019108D"/>
    <w:rsid w:val="00191944"/>
    <w:rsid w:val="00192377"/>
    <w:rsid w:val="001B5BAA"/>
    <w:rsid w:val="001B5C4F"/>
    <w:rsid w:val="001D341B"/>
    <w:rsid w:val="001D4265"/>
    <w:rsid w:val="001D573A"/>
    <w:rsid w:val="001E0CBE"/>
    <w:rsid w:val="001E2538"/>
    <w:rsid w:val="001E2957"/>
    <w:rsid w:val="00202098"/>
    <w:rsid w:val="002056B0"/>
    <w:rsid w:val="00210E02"/>
    <w:rsid w:val="00211183"/>
    <w:rsid w:val="0021479A"/>
    <w:rsid w:val="00214889"/>
    <w:rsid w:val="00216153"/>
    <w:rsid w:val="002216BE"/>
    <w:rsid w:val="002316AD"/>
    <w:rsid w:val="002328AB"/>
    <w:rsid w:val="00237C85"/>
    <w:rsid w:val="002426A3"/>
    <w:rsid w:val="002473D8"/>
    <w:rsid w:val="0025037B"/>
    <w:rsid w:val="00252341"/>
    <w:rsid w:val="0026236F"/>
    <w:rsid w:val="0026368E"/>
    <w:rsid w:val="00270494"/>
    <w:rsid w:val="00274263"/>
    <w:rsid w:val="00282FA6"/>
    <w:rsid w:val="0028328A"/>
    <w:rsid w:val="002B2BE0"/>
    <w:rsid w:val="002B6690"/>
    <w:rsid w:val="002C194B"/>
    <w:rsid w:val="002C1983"/>
    <w:rsid w:val="002C3DEC"/>
    <w:rsid w:val="002D171E"/>
    <w:rsid w:val="002D1E2B"/>
    <w:rsid w:val="002D4B27"/>
    <w:rsid w:val="00301169"/>
    <w:rsid w:val="00303844"/>
    <w:rsid w:val="0031024B"/>
    <w:rsid w:val="0031094B"/>
    <w:rsid w:val="00310D0A"/>
    <w:rsid w:val="00323B78"/>
    <w:rsid w:val="00330047"/>
    <w:rsid w:val="00335B99"/>
    <w:rsid w:val="00341E80"/>
    <w:rsid w:val="0035079C"/>
    <w:rsid w:val="00351E23"/>
    <w:rsid w:val="003575C3"/>
    <w:rsid w:val="003656B5"/>
    <w:rsid w:val="0036666C"/>
    <w:rsid w:val="00384FD0"/>
    <w:rsid w:val="00391F14"/>
    <w:rsid w:val="003926A1"/>
    <w:rsid w:val="003936D8"/>
    <w:rsid w:val="003978DB"/>
    <w:rsid w:val="003A2DF8"/>
    <w:rsid w:val="003A351C"/>
    <w:rsid w:val="003A3567"/>
    <w:rsid w:val="003B3F6B"/>
    <w:rsid w:val="003C1F18"/>
    <w:rsid w:val="003D28D3"/>
    <w:rsid w:val="003D5EAC"/>
    <w:rsid w:val="003F3213"/>
    <w:rsid w:val="003F7F67"/>
    <w:rsid w:val="004170CD"/>
    <w:rsid w:val="004240B2"/>
    <w:rsid w:val="00434879"/>
    <w:rsid w:val="00436027"/>
    <w:rsid w:val="0044098A"/>
    <w:rsid w:val="00446525"/>
    <w:rsid w:val="00451B41"/>
    <w:rsid w:val="0045292F"/>
    <w:rsid w:val="00452A6F"/>
    <w:rsid w:val="004550E4"/>
    <w:rsid w:val="004574F0"/>
    <w:rsid w:val="00457CB9"/>
    <w:rsid w:val="00460692"/>
    <w:rsid w:val="004638DB"/>
    <w:rsid w:val="00466033"/>
    <w:rsid w:val="004749F4"/>
    <w:rsid w:val="00482674"/>
    <w:rsid w:val="00486BD9"/>
    <w:rsid w:val="00486F04"/>
    <w:rsid w:val="004906B9"/>
    <w:rsid w:val="004907A3"/>
    <w:rsid w:val="004A3289"/>
    <w:rsid w:val="004A3C29"/>
    <w:rsid w:val="004C1FB2"/>
    <w:rsid w:val="004D2E64"/>
    <w:rsid w:val="004E6936"/>
    <w:rsid w:val="00521A71"/>
    <w:rsid w:val="00525B6D"/>
    <w:rsid w:val="00537C80"/>
    <w:rsid w:val="00552CE9"/>
    <w:rsid w:val="00553599"/>
    <w:rsid w:val="00557E0B"/>
    <w:rsid w:val="00567E85"/>
    <w:rsid w:val="005758F0"/>
    <w:rsid w:val="00580258"/>
    <w:rsid w:val="00581383"/>
    <w:rsid w:val="00592F1E"/>
    <w:rsid w:val="005953F6"/>
    <w:rsid w:val="005A3987"/>
    <w:rsid w:val="005A3B63"/>
    <w:rsid w:val="005B4050"/>
    <w:rsid w:val="005B735F"/>
    <w:rsid w:val="005C0BFD"/>
    <w:rsid w:val="005C36FE"/>
    <w:rsid w:val="005D255B"/>
    <w:rsid w:val="005D38CC"/>
    <w:rsid w:val="005D4806"/>
    <w:rsid w:val="005E06BA"/>
    <w:rsid w:val="005E3523"/>
    <w:rsid w:val="005E4D8D"/>
    <w:rsid w:val="00602BFE"/>
    <w:rsid w:val="00610A6A"/>
    <w:rsid w:val="0061344B"/>
    <w:rsid w:val="00626AD4"/>
    <w:rsid w:val="006361EE"/>
    <w:rsid w:val="00640709"/>
    <w:rsid w:val="00650E20"/>
    <w:rsid w:val="00651C73"/>
    <w:rsid w:val="00653472"/>
    <w:rsid w:val="006538E9"/>
    <w:rsid w:val="006666F5"/>
    <w:rsid w:val="0067557E"/>
    <w:rsid w:val="00677691"/>
    <w:rsid w:val="006812CD"/>
    <w:rsid w:val="00685DA2"/>
    <w:rsid w:val="00686938"/>
    <w:rsid w:val="0068716B"/>
    <w:rsid w:val="006A2161"/>
    <w:rsid w:val="006A6E27"/>
    <w:rsid w:val="006A7525"/>
    <w:rsid w:val="006B7F21"/>
    <w:rsid w:val="006C019C"/>
    <w:rsid w:val="006D4694"/>
    <w:rsid w:val="006D60CF"/>
    <w:rsid w:val="006E1245"/>
    <w:rsid w:val="006F4768"/>
    <w:rsid w:val="006F6A29"/>
    <w:rsid w:val="006F77D9"/>
    <w:rsid w:val="006F7E16"/>
    <w:rsid w:val="0070590B"/>
    <w:rsid w:val="0070673A"/>
    <w:rsid w:val="00706D33"/>
    <w:rsid w:val="0071192F"/>
    <w:rsid w:val="00713152"/>
    <w:rsid w:val="00713D13"/>
    <w:rsid w:val="00714032"/>
    <w:rsid w:val="007225D8"/>
    <w:rsid w:val="00723405"/>
    <w:rsid w:val="00723BDE"/>
    <w:rsid w:val="00737577"/>
    <w:rsid w:val="00747916"/>
    <w:rsid w:val="00756B78"/>
    <w:rsid w:val="00776B75"/>
    <w:rsid w:val="007812FC"/>
    <w:rsid w:val="00781A96"/>
    <w:rsid w:val="007833F0"/>
    <w:rsid w:val="007916D5"/>
    <w:rsid w:val="00791FF2"/>
    <w:rsid w:val="0079209E"/>
    <w:rsid w:val="007A2F04"/>
    <w:rsid w:val="007A3D31"/>
    <w:rsid w:val="007C2D64"/>
    <w:rsid w:val="007D0F61"/>
    <w:rsid w:val="007D59FD"/>
    <w:rsid w:val="007D6664"/>
    <w:rsid w:val="007E30C2"/>
    <w:rsid w:val="007E60D0"/>
    <w:rsid w:val="007F544A"/>
    <w:rsid w:val="007F691F"/>
    <w:rsid w:val="00812035"/>
    <w:rsid w:val="008175E3"/>
    <w:rsid w:val="00825D64"/>
    <w:rsid w:val="00827D95"/>
    <w:rsid w:val="00833DD5"/>
    <w:rsid w:val="00836118"/>
    <w:rsid w:val="00837AFB"/>
    <w:rsid w:val="00840347"/>
    <w:rsid w:val="00845D00"/>
    <w:rsid w:val="0085091A"/>
    <w:rsid w:val="00850BDA"/>
    <w:rsid w:val="0085178A"/>
    <w:rsid w:val="008736D7"/>
    <w:rsid w:val="00873CEB"/>
    <w:rsid w:val="008767BE"/>
    <w:rsid w:val="00885003"/>
    <w:rsid w:val="00887355"/>
    <w:rsid w:val="00894EC2"/>
    <w:rsid w:val="0089545E"/>
    <w:rsid w:val="00896A03"/>
    <w:rsid w:val="008976ED"/>
    <w:rsid w:val="008A0F80"/>
    <w:rsid w:val="008C62D3"/>
    <w:rsid w:val="008D0104"/>
    <w:rsid w:val="008D774D"/>
    <w:rsid w:val="008E0704"/>
    <w:rsid w:val="008E788F"/>
    <w:rsid w:val="0090547C"/>
    <w:rsid w:val="00906501"/>
    <w:rsid w:val="00911B05"/>
    <w:rsid w:val="009309F7"/>
    <w:rsid w:val="009327B9"/>
    <w:rsid w:val="0093321E"/>
    <w:rsid w:val="00941390"/>
    <w:rsid w:val="0094619E"/>
    <w:rsid w:val="00946DA2"/>
    <w:rsid w:val="00950A37"/>
    <w:rsid w:val="00956C7E"/>
    <w:rsid w:val="0095704C"/>
    <w:rsid w:val="00960C2C"/>
    <w:rsid w:val="00961FB4"/>
    <w:rsid w:val="009622EA"/>
    <w:rsid w:val="009700DE"/>
    <w:rsid w:val="00971D5E"/>
    <w:rsid w:val="00977FA6"/>
    <w:rsid w:val="009803A1"/>
    <w:rsid w:val="00981501"/>
    <w:rsid w:val="0098489E"/>
    <w:rsid w:val="00984F4E"/>
    <w:rsid w:val="00986116"/>
    <w:rsid w:val="009945AB"/>
    <w:rsid w:val="00996C6C"/>
    <w:rsid w:val="009A4B42"/>
    <w:rsid w:val="009A51EE"/>
    <w:rsid w:val="009B0DE4"/>
    <w:rsid w:val="009B281B"/>
    <w:rsid w:val="009B30EB"/>
    <w:rsid w:val="009B58D3"/>
    <w:rsid w:val="009D04F0"/>
    <w:rsid w:val="009D1F66"/>
    <w:rsid w:val="009D4C29"/>
    <w:rsid w:val="009E13EF"/>
    <w:rsid w:val="009E1442"/>
    <w:rsid w:val="009F570E"/>
    <w:rsid w:val="00A00C69"/>
    <w:rsid w:val="00A23E55"/>
    <w:rsid w:val="00A40F2C"/>
    <w:rsid w:val="00A5051A"/>
    <w:rsid w:val="00A81E4D"/>
    <w:rsid w:val="00A85146"/>
    <w:rsid w:val="00A91BE3"/>
    <w:rsid w:val="00AA61A4"/>
    <w:rsid w:val="00AB2A2A"/>
    <w:rsid w:val="00AB4E2D"/>
    <w:rsid w:val="00AB75DF"/>
    <w:rsid w:val="00AD05AC"/>
    <w:rsid w:val="00AD76F5"/>
    <w:rsid w:val="00AE1EFC"/>
    <w:rsid w:val="00AE3000"/>
    <w:rsid w:val="00AE32F2"/>
    <w:rsid w:val="00AE514C"/>
    <w:rsid w:val="00AE77E0"/>
    <w:rsid w:val="00AF64D5"/>
    <w:rsid w:val="00B0097A"/>
    <w:rsid w:val="00B061D5"/>
    <w:rsid w:val="00B07DA2"/>
    <w:rsid w:val="00B11192"/>
    <w:rsid w:val="00B143B9"/>
    <w:rsid w:val="00B148B2"/>
    <w:rsid w:val="00B20E1F"/>
    <w:rsid w:val="00B23319"/>
    <w:rsid w:val="00B35AFF"/>
    <w:rsid w:val="00B41EE8"/>
    <w:rsid w:val="00B43E44"/>
    <w:rsid w:val="00B6292E"/>
    <w:rsid w:val="00B62D93"/>
    <w:rsid w:val="00B63EDE"/>
    <w:rsid w:val="00B75878"/>
    <w:rsid w:val="00B8300A"/>
    <w:rsid w:val="00B970C1"/>
    <w:rsid w:val="00B978B8"/>
    <w:rsid w:val="00BF6E4B"/>
    <w:rsid w:val="00C10D63"/>
    <w:rsid w:val="00C152A4"/>
    <w:rsid w:val="00C2380B"/>
    <w:rsid w:val="00C23A09"/>
    <w:rsid w:val="00C26DF9"/>
    <w:rsid w:val="00C32493"/>
    <w:rsid w:val="00C463E0"/>
    <w:rsid w:val="00C5064B"/>
    <w:rsid w:val="00C517BB"/>
    <w:rsid w:val="00C533CC"/>
    <w:rsid w:val="00C552A4"/>
    <w:rsid w:val="00C56445"/>
    <w:rsid w:val="00C606CA"/>
    <w:rsid w:val="00C6181B"/>
    <w:rsid w:val="00C62F8A"/>
    <w:rsid w:val="00C630B8"/>
    <w:rsid w:val="00C65F3B"/>
    <w:rsid w:val="00C6620A"/>
    <w:rsid w:val="00C6632F"/>
    <w:rsid w:val="00C66E77"/>
    <w:rsid w:val="00C729E0"/>
    <w:rsid w:val="00C75F4A"/>
    <w:rsid w:val="00C81BDA"/>
    <w:rsid w:val="00C86069"/>
    <w:rsid w:val="00C87AA0"/>
    <w:rsid w:val="00C93FFD"/>
    <w:rsid w:val="00C9481E"/>
    <w:rsid w:val="00CA2460"/>
    <w:rsid w:val="00CA5F16"/>
    <w:rsid w:val="00CB1737"/>
    <w:rsid w:val="00CB5F8E"/>
    <w:rsid w:val="00CC4233"/>
    <w:rsid w:val="00CC4784"/>
    <w:rsid w:val="00CC6522"/>
    <w:rsid w:val="00CC6B6D"/>
    <w:rsid w:val="00CC7D73"/>
    <w:rsid w:val="00CD6135"/>
    <w:rsid w:val="00CE391D"/>
    <w:rsid w:val="00CE6B54"/>
    <w:rsid w:val="00CE6DB4"/>
    <w:rsid w:val="00CF78C2"/>
    <w:rsid w:val="00D01FC2"/>
    <w:rsid w:val="00D06BC8"/>
    <w:rsid w:val="00D10F37"/>
    <w:rsid w:val="00D34E28"/>
    <w:rsid w:val="00D351FB"/>
    <w:rsid w:val="00D35ED2"/>
    <w:rsid w:val="00D367BD"/>
    <w:rsid w:val="00D43255"/>
    <w:rsid w:val="00D5292A"/>
    <w:rsid w:val="00D536EB"/>
    <w:rsid w:val="00D624F0"/>
    <w:rsid w:val="00D71785"/>
    <w:rsid w:val="00D74CD7"/>
    <w:rsid w:val="00D909A0"/>
    <w:rsid w:val="00D93D1E"/>
    <w:rsid w:val="00DA11D3"/>
    <w:rsid w:val="00DA6AE4"/>
    <w:rsid w:val="00DC0CDC"/>
    <w:rsid w:val="00E06042"/>
    <w:rsid w:val="00E20638"/>
    <w:rsid w:val="00E20692"/>
    <w:rsid w:val="00E23FB4"/>
    <w:rsid w:val="00E2560F"/>
    <w:rsid w:val="00E272CE"/>
    <w:rsid w:val="00E30472"/>
    <w:rsid w:val="00E35B57"/>
    <w:rsid w:val="00E3771B"/>
    <w:rsid w:val="00E50F18"/>
    <w:rsid w:val="00E518C3"/>
    <w:rsid w:val="00E53A97"/>
    <w:rsid w:val="00E54496"/>
    <w:rsid w:val="00E74E6E"/>
    <w:rsid w:val="00E8032B"/>
    <w:rsid w:val="00E83123"/>
    <w:rsid w:val="00E93A64"/>
    <w:rsid w:val="00E96E83"/>
    <w:rsid w:val="00EA13D3"/>
    <w:rsid w:val="00EB00C7"/>
    <w:rsid w:val="00EB1CE7"/>
    <w:rsid w:val="00EB78A8"/>
    <w:rsid w:val="00ED307D"/>
    <w:rsid w:val="00EE2AA1"/>
    <w:rsid w:val="00EE77F9"/>
    <w:rsid w:val="00EF5F33"/>
    <w:rsid w:val="00F06EB3"/>
    <w:rsid w:val="00F10DCD"/>
    <w:rsid w:val="00F1104F"/>
    <w:rsid w:val="00F12104"/>
    <w:rsid w:val="00F13B15"/>
    <w:rsid w:val="00F14299"/>
    <w:rsid w:val="00F14F1F"/>
    <w:rsid w:val="00F16DF8"/>
    <w:rsid w:val="00F20A60"/>
    <w:rsid w:val="00F21761"/>
    <w:rsid w:val="00F24352"/>
    <w:rsid w:val="00F269EA"/>
    <w:rsid w:val="00F30A92"/>
    <w:rsid w:val="00F71EF0"/>
    <w:rsid w:val="00F740FC"/>
    <w:rsid w:val="00F741FD"/>
    <w:rsid w:val="00F83F9F"/>
    <w:rsid w:val="00F964CB"/>
    <w:rsid w:val="00FA0A0E"/>
    <w:rsid w:val="00FA117B"/>
    <w:rsid w:val="00FA1644"/>
    <w:rsid w:val="00FA3D60"/>
    <w:rsid w:val="00FB3282"/>
    <w:rsid w:val="00FB4044"/>
    <w:rsid w:val="00FB491F"/>
    <w:rsid w:val="00FB4A92"/>
    <w:rsid w:val="00FB4C4B"/>
    <w:rsid w:val="00FB76A5"/>
    <w:rsid w:val="00FC07D4"/>
    <w:rsid w:val="00FC55FE"/>
    <w:rsid w:val="00FC5A64"/>
    <w:rsid w:val="00FD0060"/>
    <w:rsid w:val="00FE0C7B"/>
    <w:rsid w:val="00FE12A1"/>
    <w:rsid w:val="00FE659C"/>
    <w:rsid w:val="00FF0ECF"/>
    <w:rsid w:val="00FF2EF5"/>
    <w:rsid w:val="00FF6D5D"/>
    <w:rsid w:val="016533AB"/>
    <w:rsid w:val="017066A4"/>
    <w:rsid w:val="01AF66F5"/>
    <w:rsid w:val="01D733CC"/>
    <w:rsid w:val="01ED3C51"/>
    <w:rsid w:val="020A50C9"/>
    <w:rsid w:val="02693A80"/>
    <w:rsid w:val="02B37899"/>
    <w:rsid w:val="02BB77E4"/>
    <w:rsid w:val="02DE12F3"/>
    <w:rsid w:val="03776577"/>
    <w:rsid w:val="04205B7A"/>
    <w:rsid w:val="04C6640E"/>
    <w:rsid w:val="04E162DB"/>
    <w:rsid w:val="056836DC"/>
    <w:rsid w:val="056B55C9"/>
    <w:rsid w:val="057847EE"/>
    <w:rsid w:val="065C6843"/>
    <w:rsid w:val="06DA5E26"/>
    <w:rsid w:val="07103966"/>
    <w:rsid w:val="0806125E"/>
    <w:rsid w:val="08414162"/>
    <w:rsid w:val="095538B5"/>
    <w:rsid w:val="0A0D1476"/>
    <w:rsid w:val="0A721AE4"/>
    <w:rsid w:val="0AB55C23"/>
    <w:rsid w:val="0B0A0780"/>
    <w:rsid w:val="0B0D6838"/>
    <w:rsid w:val="0B7E733B"/>
    <w:rsid w:val="0BB258C6"/>
    <w:rsid w:val="0C300AF9"/>
    <w:rsid w:val="0CE07557"/>
    <w:rsid w:val="0E916078"/>
    <w:rsid w:val="0EDD5800"/>
    <w:rsid w:val="0FAA07F4"/>
    <w:rsid w:val="10356DF2"/>
    <w:rsid w:val="108D33E7"/>
    <w:rsid w:val="10EE044E"/>
    <w:rsid w:val="110A02F7"/>
    <w:rsid w:val="11A05BB5"/>
    <w:rsid w:val="11A9269F"/>
    <w:rsid w:val="11CA7BFF"/>
    <w:rsid w:val="12197CB0"/>
    <w:rsid w:val="121B5F5C"/>
    <w:rsid w:val="12480A15"/>
    <w:rsid w:val="12F93CA3"/>
    <w:rsid w:val="136A7FC7"/>
    <w:rsid w:val="137A6790"/>
    <w:rsid w:val="13BB0BE6"/>
    <w:rsid w:val="14987A16"/>
    <w:rsid w:val="149B6BF0"/>
    <w:rsid w:val="14E1570A"/>
    <w:rsid w:val="15705885"/>
    <w:rsid w:val="15A93B45"/>
    <w:rsid w:val="1670520E"/>
    <w:rsid w:val="16F11C88"/>
    <w:rsid w:val="183660B4"/>
    <w:rsid w:val="18856C25"/>
    <w:rsid w:val="18A9478C"/>
    <w:rsid w:val="19E21628"/>
    <w:rsid w:val="1A7A7A29"/>
    <w:rsid w:val="1A7B7DF9"/>
    <w:rsid w:val="1B7E5CCF"/>
    <w:rsid w:val="1B925356"/>
    <w:rsid w:val="1B9B174A"/>
    <w:rsid w:val="1BD20A61"/>
    <w:rsid w:val="1C0F7B0E"/>
    <w:rsid w:val="1C1E2CE1"/>
    <w:rsid w:val="1C2472F6"/>
    <w:rsid w:val="1C2B02C8"/>
    <w:rsid w:val="1C5965DD"/>
    <w:rsid w:val="1C980A44"/>
    <w:rsid w:val="1D4A5E1C"/>
    <w:rsid w:val="1DC51EE2"/>
    <w:rsid w:val="1DF42E4D"/>
    <w:rsid w:val="1E993A75"/>
    <w:rsid w:val="1EA76EE9"/>
    <w:rsid w:val="1EF062B0"/>
    <w:rsid w:val="1F62074F"/>
    <w:rsid w:val="1F9066AC"/>
    <w:rsid w:val="1FD1349E"/>
    <w:rsid w:val="20717A70"/>
    <w:rsid w:val="20D32E77"/>
    <w:rsid w:val="21014B41"/>
    <w:rsid w:val="2128584D"/>
    <w:rsid w:val="216270A9"/>
    <w:rsid w:val="21B324AE"/>
    <w:rsid w:val="21E41646"/>
    <w:rsid w:val="229175B6"/>
    <w:rsid w:val="22947508"/>
    <w:rsid w:val="22F96045"/>
    <w:rsid w:val="235B4756"/>
    <w:rsid w:val="23E95402"/>
    <w:rsid w:val="2419770F"/>
    <w:rsid w:val="2463402E"/>
    <w:rsid w:val="24676EE0"/>
    <w:rsid w:val="24850715"/>
    <w:rsid w:val="24CC3C09"/>
    <w:rsid w:val="25420AA1"/>
    <w:rsid w:val="256C7940"/>
    <w:rsid w:val="25D15342"/>
    <w:rsid w:val="26276F08"/>
    <w:rsid w:val="26556C3D"/>
    <w:rsid w:val="268C140C"/>
    <w:rsid w:val="26994EF2"/>
    <w:rsid w:val="26F04C32"/>
    <w:rsid w:val="27CB6FE1"/>
    <w:rsid w:val="27F67D1D"/>
    <w:rsid w:val="27FF7565"/>
    <w:rsid w:val="28727364"/>
    <w:rsid w:val="28FC6790"/>
    <w:rsid w:val="2900197C"/>
    <w:rsid w:val="29796611"/>
    <w:rsid w:val="2ADC0CAD"/>
    <w:rsid w:val="2B47788F"/>
    <w:rsid w:val="2BCB1A43"/>
    <w:rsid w:val="2CE10710"/>
    <w:rsid w:val="2CE85F5A"/>
    <w:rsid w:val="2D7E3D18"/>
    <w:rsid w:val="2DDD3326"/>
    <w:rsid w:val="2E307148"/>
    <w:rsid w:val="2F45627A"/>
    <w:rsid w:val="2F6949FE"/>
    <w:rsid w:val="2FB87DE1"/>
    <w:rsid w:val="2FEC59DE"/>
    <w:rsid w:val="303A6BC9"/>
    <w:rsid w:val="31607A94"/>
    <w:rsid w:val="31C50242"/>
    <w:rsid w:val="325469A5"/>
    <w:rsid w:val="326B5648"/>
    <w:rsid w:val="32975988"/>
    <w:rsid w:val="32F44C3D"/>
    <w:rsid w:val="34D668DD"/>
    <w:rsid w:val="354B0A39"/>
    <w:rsid w:val="35640483"/>
    <w:rsid w:val="3576772B"/>
    <w:rsid w:val="35CB55CA"/>
    <w:rsid w:val="35D858AF"/>
    <w:rsid w:val="35DF2F12"/>
    <w:rsid w:val="36536EAE"/>
    <w:rsid w:val="36543527"/>
    <w:rsid w:val="37DF02C6"/>
    <w:rsid w:val="383F0E1F"/>
    <w:rsid w:val="387D660E"/>
    <w:rsid w:val="388D05E7"/>
    <w:rsid w:val="38D32267"/>
    <w:rsid w:val="395A407B"/>
    <w:rsid w:val="39613CE9"/>
    <w:rsid w:val="398228F9"/>
    <w:rsid w:val="39B22BBF"/>
    <w:rsid w:val="39ED4E5D"/>
    <w:rsid w:val="3A00193B"/>
    <w:rsid w:val="3A572F2F"/>
    <w:rsid w:val="3A5D6FC0"/>
    <w:rsid w:val="3A6173C2"/>
    <w:rsid w:val="3AAC01AC"/>
    <w:rsid w:val="3B0A72A6"/>
    <w:rsid w:val="3B8B0275"/>
    <w:rsid w:val="3BAA1AEF"/>
    <w:rsid w:val="3C563907"/>
    <w:rsid w:val="3C927782"/>
    <w:rsid w:val="3CDB3B76"/>
    <w:rsid w:val="3CE339D8"/>
    <w:rsid w:val="3D18652D"/>
    <w:rsid w:val="3D994A3B"/>
    <w:rsid w:val="3DB84502"/>
    <w:rsid w:val="3E8D1E58"/>
    <w:rsid w:val="3EA7114B"/>
    <w:rsid w:val="3EFA3D39"/>
    <w:rsid w:val="3F2C269F"/>
    <w:rsid w:val="3F2D41C8"/>
    <w:rsid w:val="3F62719B"/>
    <w:rsid w:val="3FCD1079"/>
    <w:rsid w:val="3FE861CD"/>
    <w:rsid w:val="41007258"/>
    <w:rsid w:val="414016F7"/>
    <w:rsid w:val="416D009A"/>
    <w:rsid w:val="41C2308A"/>
    <w:rsid w:val="42AC12DF"/>
    <w:rsid w:val="4403385A"/>
    <w:rsid w:val="44867F32"/>
    <w:rsid w:val="4687279B"/>
    <w:rsid w:val="46C033AC"/>
    <w:rsid w:val="48863E0A"/>
    <w:rsid w:val="48C742DC"/>
    <w:rsid w:val="490833CF"/>
    <w:rsid w:val="492F12CB"/>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816145"/>
    <w:rsid w:val="528C7FEF"/>
    <w:rsid w:val="53354E63"/>
    <w:rsid w:val="53550E85"/>
    <w:rsid w:val="538F1A33"/>
    <w:rsid w:val="539861E6"/>
    <w:rsid w:val="53B31126"/>
    <w:rsid w:val="53DB5AB8"/>
    <w:rsid w:val="542D7F38"/>
    <w:rsid w:val="54633D11"/>
    <w:rsid w:val="54661FE4"/>
    <w:rsid w:val="55142EB5"/>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85683E"/>
    <w:rsid w:val="62563D7B"/>
    <w:rsid w:val="63021BA8"/>
    <w:rsid w:val="63074E55"/>
    <w:rsid w:val="630A243D"/>
    <w:rsid w:val="640E4E21"/>
    <w:rsid w:val="642D5E74"/>
    <w:rsid w:val="647C2EF6"/>
    <w:rsid w:val="648A7D50"/>
    <w:rsid w:val="648F40E9"/>
    <w:rsid w:val="64BB14E6"/>
    <w:rsid w:val="64C47C99"/>
    <w:rsid w:val="64D97F88"/>
    <w:rsid w:val="650F72D7"/>
    <w:rsid w:val="65682C45"/>
    <w:rsid w:val="65691019"/>
    <w:rsid w:val="65846AED"/>
    <w:rsid w:val="65E372CD"/>
    <w:rsid w:val="66277C26"/>
    <w:rsid w:val="66294AE5"/>
    <w:rsid w:val="68906B4E"/>
    <w:rsid w:val="68A9143F"/>
    <w:rsid w:val="698E36B9"/>
    <w:rsid w:val="69B707BE"/>
    <w:rsid w:val="69C51212"/>
    <w:rsid w:val="6A08309F"/>
    <w:rsid w:val="6A6B6D42"/>
    <w:rsid w:val="6AB447A0"/>
    <w:rsid w:val="6AC6674A"/>
    <w:rsid w:val="6B1D2762"/>
    <w:rsid w:val="6BF41341"/>
    <w:rsid w:val="6CC51FBB"/>
    <w:rsid w:val="6CF4451F"/>
    <w:rsid w:val="6D350EDC"/>
    <w:rsid w:val="6D4F6E06"/>
    <w:rsid w:val="6D7672B6"/>
    <w:rsid w:val="6DA325F9"/>
    <w:rsid w:val="6DCD6F07"/>
    <w:rsid w:val="6E2B0937"/>
    <w:rsid w:val="6F075254"/>
    <w:rsid w:val="6F554AEA"/>
    <w:rsid w:val="6F9540E9"/>
    <w:rsid w:val="6FF769AA"/>
    <w:rsid w:val="701B1493"/>
    <w:rsid w:val="705F69D3"/>
    <w:rsid w:val="7067206D"/>
    <w:rsid w:val="70CC631B"/>
    <w:rsid w:val="714535C5"/>
    <w:rsid w:val="715D2ACE"/>
    <w:rsid w:val="71E116BB"/>
    <w:rsid w:val="71FC0FB1"/>
    <w:rsid w:val="72616F80"/>
    <w:rsid w:val="72BD7A32"/>
    <w:rsid w:val="72F2089E"/>
    <w:rsid w:val="734350A8"/>
    <w:rsid w:val="734878F8"/>
    <w:rsid w:val="735B235F"/>
    <w:rsid w:val="73B44D96"/>
    <w:rsid w:val="745463AC"/>
    <w:rsid w:val="75430823"/>
    <w:rsid w:val="7567100D"/>
    <w:rsid w:val="760C033F"/>
    <w:rsid w:val="76131F66"/>
    <w:rsid w:val="76264BB4"/>
    <w:rsid w:val="762C03C6"/>
    <w:rsid w:val="77573C5D"/>
    <w:rsid w:val="77604877"/>
    <w:rsid w:val="778D6ACB"/>
    <w:rsid w:val="781F55FF"/>
    <w:rsid w:val="78760398"/>
    <w:rsid w:val="78A01947"/>
    <w:rsid w:val="79237CCE"/>
    <w:rsid w:val="79955B36"/>
    <w:rsid w:val="79AD038B"/>
    <w:rsid w:val="7A6A64EE"/>
    <w:rsid w:val="7B5A783B"/>
    <w:rsid w:val="7B932823"/>
    <w:rsid w:val="7B9A28A2"/>
    <w:rsid w:val="7BF02378"/>
    <w:rsid w:val="7C0D1FF9"/>
    <w:rsid w:val="7CC5504D"/>
    <w:rsid w:val="7D0E5AA8"/>
    <w:rsid w:val="7D395B88"/>
    <w:rsid w:val="7D527565"/>
    <w:rsid w:val="7E11763D"/>
    <w:rsid w:val="7E657E86"/>
    <w:rsid w:val="7E680112"/>
    <w:rsid w:val="7EDE3ED2"/>
    <w:rsid w:val="7F030C71"/>
    <w:rsid w:val="7F206281"/>
    <w:rsid w:val="7F3942E4"/>
    <w:rsid w:val="7FAF531C"/>
    <w:rsid w:val="7FEF24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181B"/>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6181B"/>
    <w:pPr>
      <w:jc w:val="left"/>
    </w:pPr>
  </w:style>
  <w:style w:type="paragraph" w:styleId="a4">
    <w:name w:val="Balloon Text"/>
    <w:basedOn w:val="a"/>
    <w:link w:val="Char"/>
    <w:qFormat/>
    <w:rsid w:val="00C6181B"/>
    <w:rPr>
      <w:sz w:val="18"/>
      <w:szCs w:val="18"/>
    </w:rPr>
  </w:style>
  <w:style w:type="paragraph" w:styleId="a5">
    <w:name w:val="footer"/>
    <w:basedOn w:val="a"/>
    <w:link w:val="Char0"/>
    <w:uiPriority w:val="99"/>
    <w:qFormat/>
    <w:rsid w:val="00C6181B"/>
    <w:pPr>
      <w:tabs>
        <w:tab w:val="center" w:pos="4153"/>
        <w:tab w:val="right" w:pos="8306"/>
      </w:tabs>
      <w:snapToGrid w:val="0"/>
      <w:jc w:val="left"/>
    </w:pPr>
    <w:rPr>
      <w:sz w:val="18"/>
      <w:szCs w:val="18"/>
    </w:rPr>
  </w:style>
  <w:style w:type="paragraph" w:styleId="a6">
    <w:name w:val="header"/>
    <w:basedOn w:val="a"/>
    <w:qFormat/>
    <w:rsid w:val="00C6181B"/>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C6181B"/>
    <w:pPr>
      <w:spacing w:before="100" w:beforeAutospacing="1" w:after="100" w:afterAutospacing="1"/>
      <w:jc w:val="left"/>
    </w:pPr>
    <w:rPr>
      <w:kern w:val="0"/>
      <w:sz w:val="24"/>
    </w:rPr>
  </w:style>
  <w:style w:type="table" w:styleId="a8">
    <w:name w:val="Table Grid"/>
    <w:basedOn w:val="a1"/>
    <w:qFormat/>
    <w:rsid w:val="00C6181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C6181B"/>
    <w:rPr>
      <w:b/>
      <w:bCs/>
    </w:rPr>
  </w:style>
  <w:style w:type="character" w:styleId="aa">
    <w:name w:val="page number"/>
    <w:basedOn w:val="a0"/>
    <w:autoRedefine/>
    <w:qFormat/>
    <w:rsid w:val="00C6181B"/>
  </w:style>
  <w:style w:type="character" w:styleId="ab">
    <w:name w:val="FollowedHyperlink"/>
    <w:basedOn w:val="a0"/>
    <w:qFormat/>
    <w:rsid w:val="00C6181B"/>
    <w:rPr>
      <w:color w:val="00A7D8"/>
      <w:u w:val="none"/>
    </w:rPr>
  </w:style>
  <w:style w:type="character" w:styleId="ac">
    <w:name w:val="Hyperlink"/>
    <w:basedOn w:val="a0"/>
    <w:autoRedefine/>
    <w:qFormat/>
    <w:rsid w:val="00C6181B"/>
    <w:rPr>
      <w:color w:val="444444"/>
      <w:u w:val="none"/>
    </w:rPr>
  </w:style>
  <w:style w:type="paragraph" w:styleId="ad">
    <w:name w:val="List Paragraph"/>
    <w:basedOn w:val="a"/>
    <w:uiPriority w:val="99"/>
    <w:qFormat/>
    <w:rsid w:val="00C6181B"/>
    <w:pPr>
      <w:ind w:firstLineChars="200" w:firstLine="420"/>
    </w:pPr>
  </w:style>
  <w:style w:type="character" w:customStyle="1" w:styleId="Char">
    <w:name w:val="批注框文本 Char"/>
    <w:link w:val="a4"/>
    <w:qFormat/>
    <w:rsid w:val="00C6181B"/>
    <w:rPr>
      <w:kern w:val="2"/>
      <w:sz w:val="18"/>
      <w:szCs w:val="18"/>
    </w:rPr>
  </w:style>
  <w:style w:type="paragraph" w:customStyle="1" w:styleId="ae">
    <w:name w:val="正文+宋体"/>
    <w:basedOn w:val="a"/>
    <w:autoRedefine/>
    <w:qFormat/>
    <w:rsid w:val="00C6181B"/>
  </w:style>
  <w:style w:type="paragraph" w:customStyle="1" w:styleId="Default">
    <w:name w:val="Default"/>
    <w:qFormat/>
    <w:rsid w:val="00C6181B"/>
    <w:pPr>
      <w:widowControl w:val="0"/>
      <w:autoSpaceDE w:val="0"/>
      <w:autoSpaceDN w:val="0"/>
      <w:adjustRightInd w:val="0"/>
    </w:pPr>
    <w:rPr>
      <w:rFonts w:ascii="宋体" w:hAnsi="Calibri" w:cs="宋体"/>
      <w:color w:val="000000"/>
      <w:sz w:val="24"/>
      <w:szCs w:val="24"/>
    </w:rPr>
  </w:style>
  <w:style w:type="paragraph" w:customStyle="1" w:styleId="Char1">
    <w:name w:val="Char"/>
    <w:basedOn w:val="a"/>
    <w:qFormat/>
    <w:rsid w:val="00C6181B"/>
    <w:pPr>
      <w:widowControl/>
      <w:spacing w:after="160" w:line="240" w:lineRule="exact"/>
      <w:jc w:val="left"/>
    </w:pPr>
    <w:rPr>
      <w:rFonts w:ascii="Verdana" w:hAnsi="Verdana"/>
      <w:kern w:val="0"/>
      <w:sz w:val="18"/>
      <w:szCs w:val="20"/>
      <w:lang w:eastAsia="en-US"/>
    </w:rPr>
  </w:style>
  <w:style w:type="paragraph" w:customStyle="1" w:styleId="TableParagraph">
    <w:name w:val="Table Paragraph"/>
    <w:basedOn w:val="a"/>
    <w:autoRedefine/>
    <w:uiPriority w:val="1"/>
    <w:qFormat/>
    <w:rsid w:val="00C6181B"/>
    <w:rPr>
      <w:rFonts w:ascii="宋体" w:hAnsi="宋体" w:cs="宋体"/>
      <w:lang w:val="zh-CN" w:bidi="zh-CN"/>
    </w:rPr>
  </w:style>
  <w:style w:type="paragraph" w:customStyle="1" w:styleId="af">
    <w:name w:val="段"/>
    <w:qFormat/>
    <w:rsid w:val="00C6181B"/>
    <w:pPr>
      <w:tabs>
        <w:tab w:val="center" w:pos="4201"/>
        <w:tab w:val="right" w:leader="dot" w:pos="9298"/>
      </w:tabs>
      <w:autoSpaceDE w:val="0"/>
      <w:autoSpaceDN w:val="0"/>
      <w:ind w:firstLineChars="200" w:firstLine="420"/>
      <w:jc w:val="both"/>
    </w:pPr>
    <w:rPr>
      <w:rFonts w:ascii="宋体" w:eastAsia="Times New Roman" w:hAnsi="Calibri"/>
      <w:sz w:val="21"/>
      <w:szCs w:val="22"/>
    </w:rPr>
  </w:style>
  <w:style w:type="paragraph" w:customStyle="1" w:styleId="1">
    <w:name w:val="列出段落1"/>
    <w:basedOn w:val="a"/>
    <w:uiPriority w:val="34"/>
    <w:qFormat/>
    <w:rsid w:val="00C6181B"/>
    <w:pPr>
      <w:ind w:firstLineChars="200" w:firstLine="420"/>
    </w:pPr>
    <w:rPr>
      <w:sz w:val="24"/>
    </w:rPr>
  </w:style>
  <w:style w:type="character" w:customStyle="1" w:styleId="Char0">
    <w:name w:val="页脚 Char"/>
    <w:basedOn w:val="a0"/>
    <w:link w:val="a5"/>
    <w:uiPriority w:val="99"/>
    <w:qFormat/>
    <w:rsid w:val="00C6181B"/>
    <w:rPr>
      <w:kern w:val="2"/>
      <w:sz w:val="18"/>
      <w:szCs w:val="18"/>
    </w:rPr>
  </w:style>
  <w:style w:type="paragraph" w:customStyle="1" w:styleId="TableText">
    <w:name w:val="Table Text"/>
    <w:basedOn w:val="a"/>
    <w:semiHidden/>
    <w:qFormat/>
    <w:rsid w:val="00C6181B"/>
    <w:rPr>
      <w:rFonts w:ascii="宋体" w:hAnsi="宋体" w:cs="宋体"/>
      <w:szCs w:val="21"/>
      <w:lang w:eastAsia="en-US"/>
    </w:rPr>
  </w:style>
  <w:style w:type="table" w:customStyle="1" w:styleId="TableNormal">
    <w:name w:val="Table Normal"/>
    <w:semiHidden/>
    <w:unhideWhenUsed/>
    <w:qFormat/>
    <w:rsid w:val="00C6181B"/>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5</Pages>
  <Words>375</Words>
  <Characters>2144</Characters>
  <Application>Microsoft Office Word</Application>
  <DocSecurity>0</DocSecurity>
  <Lines>17</Lines>
  <Paragraphs>5</Paragraphs>
  <ScaleCrop>false</ScaleCrop>
  <Company>Hewlett-Packard Company</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XXXX年第X批风险监测实施方案</dc:title>
  <dc:creator>cj_wong</dc:creator>
  <cp:lastModifiedBy>黄忠</cp:lastModifiedBy>
  <cp:revision>18</cp:revision>
  <cp:lastPrinted>2020-01-09T02:23:00Z</cp:lastPrinted>
  <dcterms:created xsi:type="dcterms:W3CDTF">2024-02-29T01:52:00Z</dcterms:created>
  <dcterms:modified xsi:type="dcterms:W3CDTF">2025-07-08T01:59:00Z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90EF7E567F654785A19FD270A065BBEA_13</vt:lpwstr>
  </property>
  <property fmtid="{D5CDD505-2E9C-101B-9397-08002B2CF9AE}" pid="4" name="KSOTemplateDocerSaveRecord">
    <vt:lpwstr>eyJoZGlkIjoiNDQ3YmUyMGEwZjcxMWFiOTAyZjNjMjM2YzlmNWI2NGUiLCJ1c2VySWQiOiIxMTc0Nzg2MTc1In0=</vt:lpwstr>
  </property>
</Properties>
</file>