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06B155" w14:textId="77777777" w:rsidR="00EE5EFD" w:rsidRDefault="00BA47DC">
      <w:pPr>
        <w:spacing w:line="560" w:lineRule="exact"/>
        <w:rPr>
          <w:rFonts w:ascii="Times New Roman" w:eastAsia="黑体" w:hAnsi="Times New Roman" w:cs="Times New Roman"/>
          <w:color w:val="000000" w:themeColor="text1"/>
          <w:sz w:val="32"/>
          <w:szCs w:val="32"/>
        </w:rPr>
      </w:pPr>
      <w:r>
        <w:rPr>
          <w:rFonts w:ascii="Times New Roman" w:eastAsia="黑体" w:hAnsi="Times New Roman" w:cs="Times New Roman"/>
          <w:color w:val="000000" w:themeColor="text1"/>
          <w:sz w:val="32"/>
          <w:szCs w:val="32"/>
        </w:rPr>
        <w:t>附件</w:t>
      </w:r>
    </w:p>
    <w:p w14:paraId="52CDD7BB" w14:textId="77777777" w:rsidR="00EE5EFD" w:rsidRDefault="00EE5EFD">
      <w:pPr>
        <w:spacing w:line="560" w:lineRule="exact"/>
        <w:rPr>
          <w:rFonts w:ascii="Times New Roman" w:eastAsia="黑体" w:hAnsi="Times New Roman" w:cs="Times New Roman"/>
          <w:color w:val="000000" w:themeColor="text1"/>
          <w:sz w:val="32"/>
          <w:szCs w:val="32"/>
        </w:rPr>
      </w:pPr>
    </w:p>
    <w:p w14:paraId="3DD9F035" w14:textId="77777777" w:rsidR="00EE5EFD" w:rsidRDefault="00BA47DC">
      <w:pPr>
        <w:pStyle w:val="1"/>
        <w:snapToGrid/>
        <w:spacing w:line="640" w:lineRule="exact"/>
        <w:jc w:val="center"/>
        <w:rPr>
          <w:rFonts w:ascii="Times New Roman" w:eastAsia="方正小标宋简体" w:hAnsi="Times New Roman" w:cs="Times New Roman"/>
          <w:b w:val="0"/>
          <w:bCs w:val="0"/>
          <w:color w:val="000000" w:themeColor="text1"/>
          <w:sz w:val="44"/>
          <w:szCs w:val="44"/>
        </w:rPr>
      </w:pPr>
      <w:bookmarkStart w:id="0" w:name="OLE_LINK4"/>
      <w:r>
        <w:rPr>
          <w:rFonts w:ascii="Times New Roman" w:eastAsia="方正小标宋简体" w:hAnsi="Times New Roman" w:cs="Times New Roman"/>
          <w:b w:val="0"/>
          <w:bCs w:val="0"/>
          <w:color w:val="000000" w:themeColor="text1"/>
          <w:sz w:val="44"/>
          <w:szCs w:val="44"/>
        </w:rPr>
        <w:t>常州市其他食品（</w:t>
      </w:r>
      <w:r>
        <w:rPr>
          <w:rFonts w:ascii="Times New Roman" w:eastAsia="方正小标宋简体" w:hAnsi="Times New Roman" w:cs="Times New Roman"/>
          <w:b w:val="0"/>
          <w:bCs w:val="0"/>
          <w:color w:val="000000" w:themeColor="text1"/>
          <w:sz w:val="44"/>
          <w:szCs w:val="44"/>
        </w:rPr>
        <w:t>N-</w:t>
      </w:r>
      <w:r>
        <w:rPr>
          <w:rFonts w:ascii="Times New Roman" w:eastAsia="方正小标宋简体" w:hAnsi="Times New Roman" w:cs="Times New Roman"/>
          <w:b w:val="0"/>
          <w:bCs w:val="0"/>
          <w:color w:val="000000" w:themeColor="text1"/>
          <w:sz w:val="44"/>
          <w:szCs w:val="44"/>
        </w:rPr>
        <w:t>乙酰神经氨酸）</w:t>
      </w:r>
    </w:p>
    <w:p w14:paraId="6CE101D6" w14:textId="77777777" w:rsidR="00EE5EFD" w:rsidRDefault="00BA47DC">
      <w:pPr>
        <w:pStyle w:val="1"/>
        <w:snapToGrid/>
        <w:spacing w:line="640" w:lineRule="exact"/>
        <w:jc w:val="center"/>
        <w:rPr>
          <w:rFonts w:ascii="Times New Roman" w:eastAsia="方正小标宋简体" w:hAnsi="Times New Roman" w:cs="Times New Roman"/>
          <w:b w:val="0"/>
          <w:bCs w:val="0"/>
          <w:color w:val="000000" w:themeColor="text1"/>
          <w:sz w:val="44"/>
          <w:szCs w:val="44"/>
        </w:rPr>
      </w:pPr>
      <w:r>
        <w:rPr>
          <w:rFonts w:ascii="Times New Roman" w:eastAsia="方正小标宋简体" w:hAnsi="Times New Roman" w:cs="Times New Roman"/>
          <w:b w:val="0"/>
          <w:bCs w:val="0"/>
          <w:color w:val="000000" w:themeColor="text1"/>
          <w:sz w:val="44"/>
          <w:szCs w:val="44"/>
        </w:rPr>
        <w:t>生产许可审查细则（征求意见稿）</w:t>
      </w:r>
    </w:p>
    <w:p w14:paraId="0F104DC1" w14:textId="77777777" w:rsidR="00EE5EFD" w:rsidRDefault="00EE5EFD">
      <w:pPr>
        <w:pStyle w:val="2"/>
        <w:snapToGrid/>
        <w:spacing w:before="140" w:line="560" w:lineRule="exact"/>
        <w:ind w:left="153" w:right="113"/>
        <w:jc w:val="center"/>
        <w:rPr>
          <w:rFonts w:ascii="Times New Roman" w:eastAsia="仿宋_GB2312" w:hAnsi="Times New Roman" w:cs="Times New Roman"/>
          <w:b w:val="0"/>
          <w:color w:val="000000" w:themeColor="text1"/>
        </w:rPr>
      </w:pPr>
      <w:bookmarkStart w:id="1" w:name="_Toc89845086"/>
    </w:p>
    <w:p w14:paraId="7F83A4E0" w14:textId="77777777" w:rsidR="00EE5EFD" w:rsidRDefault="00BA47DC">
      <w:pPr>
        <w:pStyle w:val="2"/>
        <w:snapToGrid/>
        <w:spacing w:before="140" w:line="560" w:lineRule="exact"/>
        <w:ind w:left="153" w:right="113"/>
        <w:jc w:val="center"/>
        <w:rPr>
          <w:rFonts w:ascii="Times New Roman" w:eastAsia="仿宋_GB2312" w:hAnsi="Times New Roman" w:cs="Times New Roman"/>
          <w:color w:val="000000" w:themeColor="text1"/>
        </w:rPr>
      </w:pPr>
      <w:r>
        <w:rPr>
          <w:rFonts w:ascii="Times New Roman" w:eastAsia="仿宋_GB2312" w:hAnsi="Times New Roman" w:cs="Times New Roman"/>
          <w:b w:val="0"/>
          <w:color w:val="000000" w:themeColor="text1"/>
        </w:rPr>
        <w:t>第一章</w:t>
      </w:r>
      <w:r>
        <w:rPr>
          <w:rFonts w:ascii="Times New Roman" w:eastAsia="仿宋_GB2312" w:hAnsi="Times New Roman" w:cs="Times New Roman"/>
          <w:b w:val="0"/>
          <w:color w:val="000000" w:themeColor="text1"/>
        </w:rPr>
        <w:t xml:space="preserve"> </w:t>
      </w:r>
      <w:r>
        <w:rPr>
          <w:rFonts w:ascii="Times New Roman" w:eastAsia="仿宋_GB2312" w:hAnsi="Times New Roman" w:cs="Times New Roman"/>
          <w:b w:val="0"/>
          <w:color w:val="000000" w:themeColor="text1"/>
        </w:rPr>
        <w:t>总则</w:t>
      </w:r>
      <w:bookmarkEnd w:id="1"/>
    </w:p>
    <w:p w14:paraId="78591551" w14:textId="77777777" w:rsidR="00EE5EFD" w:rsidRDefault="00BA47DC">
      <w:pPr>
        <w:pStyle w:val="ad"/>
        <w:tabs>
          <w:tab w:val="left" w:pos="1282"/>
        </w:tabs>
        <w:snapToGrid/>
        <w:spacing w:before="0" w:after="0" w:line="560" w:lineRule="exact"/>
        <w:ind w:right="113" w:firstLine="640"/>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第一条</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为了加强其他食品生产许可审查工作，依据《中华人民共和国食品安全法》《中华人民共和国食品安全法实施条例》《食品生产许可管理办法》及相关食品安全国家标准等规定，制定《其他食品生产许可审查细则》（以下简称《细则》）。</w:t>
      </w:r>
    </w:p>
    <w:p w14:paraId="0C93ACA8" w14:textId="77777777" w:rsidR="00EE5EFD" w:rsidRDefault="00BA47DC">
      <w:pPr>
        <w:pStyle w:val="ad"/>
        <w:tabs>
          <w:tab w:val="left" w:pos="1282"/>
        </w:tabs>
        <w:snapToGrid/>
        <w:spacing w:before="0" w:after="0" w:line="560" w:lineRule="exact"/>
        <w:ind w:right="113"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第二条</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本《细则》适用于其他食品生产许可审查工作，应当结合《食品生产许可审查通则》使用。</w:t>
      </w:r>
    </w:p>
    <w:p w14:paraId="18534F9F" w14:textId="77777777" w:rsidR="00EE5EFD" w:rsidRDefault="00BA47DC">
      <w:pPr>
        <w:pStyle w:val="ad"/>
        <w:tabs>
          <w:tab w:val="left" w:pos="1282"/>
        </w:tabs>
        <w:snapToGrid/>
        <w:spacing w:before="0" w:after="0" w:line="560" w:lineRule="exact"/>
        <w:ind w:right="113" w:firstLine="640"/>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第三条</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本《细则》所称其他食品，是指在《食品生产许可分类目录》中无法归属到具体食品类别的食品品种。其他食品的生产许可类别编号为</w:t>
      </w:r>
      <w:r>
        <w:rPr>
          <w:rFonts w:ascii="Times New Roman" w:eastAsia="仿宋_GB2312" w:hAnsi="Times New Roman" w:cs="Times New Roman"/>
          <w:color w:val="000000" w:themeColor="text1"/>
          <w:sz w:val="32"/>
        </w:rPr>
        <w:t>3101</w:t>
      </w:r>
      <w:r>
        <w:rPr>
          <w:rFonts w:ascii="Times New Roman" w:eastAsia="仿宋_GB2312" w:hAnsi="Times New Roman" w:cs="Times New Roman"/>
          <w:color w:val="000000" w:themeColor="text1"/>
          <w:sz w:val="32"/>
        </w:rPr>
        <w:t>，按其他食品申请生产许可时应当注明产品类别及产品品种，即其他食品（</w:t>
      </w:r>
      <w:r>
        <w:rPr>
          <w:rFonts w:ascii="Times New Roman" w:eastAsia="仿宋_GB2312" w:hAnsi="Times New Roman" w:cs="Times New Roman"/>
          <w:color w:val="000000" w:themeColor="text1"/>
          <w:sz w:val="32"/>
        </w:rPr>
        <w:t>N-</w:t>
      </w:r>
      <w:r>
        <w:rPr>
          <w:rFonts w:ascii="Times New Roman" w:eastAsia="仿宋_GB2312" w:hAnsi="Times New Roman" w:cs="Times New Roman"/>
          <w:color w:val="000000" w:themeColor="text1"/>
          <w:sz w:val="32"/>
        </w:rPr>
        <w:t>乙酰神</w:t>
      </w:r>
      <w:r>
        <w:rPr>
          <w:rFonts w:ascii="Times New Roman" w:eastAsia="仿宋_GB2312" w:hAnsi="Times New Roman" w:cs="Times New Roman"/>
          <w:color w:val="000000" w:themeColor="text1"/>
          <w:sz w:val="32"/>
        </w:rPr>
        <w:t>经氨酸）。</w:t>
      </w:r>
      <w:r>
        <w:rPr>
          <w:rFonts w:ascii="Times New Roman" w:eastAsia="仿宋_GB2312" w:hAnsi="Times New Roman" w:cs="Times New Roman"/>
          <w:color w:val="000000" w:themeColor="text1"/>
          <w:sz w:val="32"/>
        </w:rPr>
        <w:t>N-</w:t>
      </w:r>
      <w:r>
        <w:rPr>
          <w:rFonts w:ascii="Times New Roman" w:eastAsia="仿宋_GB2312" w:hAnsi="Times New Roman" w:cs="Times New Roman"/>
          <w:color w:val="000000" w:themeColor="text1"/>
          <w:sz w:val="32"/>
        </w:rPr>
        <w:t>乙酰神经氨酸是指以食用葡萄糖、玉米浆或玉米</w:t>
      </w:r>
      <w:proofErr w:type="gramStart"/>
      <w:r>
        <w:rPr>
          <w:rFonts w:ascii="Times New Roman" w:eastAsia="仿宋_GB2312" w:hAnsi="Times New Roman" w:cs="Times New Roman"/>
          <w:color w:val="000000" w:themeColor="text1"/>
          <w:sz w:val="32"/>
        </w:rPr>
        <w:t>浆</w:t>
      </w:r>
      <w:proofErr w:type="gramEnd"/>
      <w:r>
        <w:rPr>
          <w:rFonts w:ascii="Times New Roman" w:eastAsia="仿宋_GB2312" w:hAnsi="Times New Roman" w:cs="Times New Roman"/>
          <w:color w:val="000000" w:themeColor="text1"/>
          <w:sz w:val="32"/>
        </w:rPr>
        <w:t>干粉为原料，经大肠埃希氏菌发酵、过滤、灭菌、水解、提纯、结晶、离心、干燥等工艺制成的一种酸性氨基糖（以下简称产品）。</w:t>
      </w:r>
    </w:p>
    <w:p w14:paraId="4F224F24" w14:textId="77777777" w:rsidR="00EE5EFD" w:rsidRDefault="00BA47DC">
      <w:pPr>
        <w:pStyle w:val="ad"/>
        <w:tabs>
          <w:tab w:val="left" w:pos="1282"/>
        </w:tabs>
        <w:snapToGrid/>
        <w:spacing w:before="0" w:after="0" w:line="560" w:lineRule="exact"/>
        <w:ind w:right="113" w:firstLine="640"/>
        <w:jc w:val="both"/>
        <w:rPr>
          <w:rFonts w:ascii="Times New Roman" w:eastAsia="仿宋_GB2312" w:hAnsi="Times New Roman" w:cs="Times New Roman"/>
          <w:color w:val="000000" w:themeColor="text1"/>
        </w:rPr>
      </w:pPr>
      <w:r>
        <w:rPr>
          <w:rFonts w:ascii="Times New Roman" w:eastAsia="仿宋_GB2312" w:hAnsi="Times New Roman" w:cs="Times New Roman"/>
          <w:bCs/>
          <w:color w:val="000000" w:themeColor="text1"/>
          <w:sz w:val="32"/>
        </w:rPr>
        <w:t>第四条</w:t>
      </w:r>
      <w:r>
        <w:rPr>
          <w:rFonts w:ascii="Times New Roman" w:eastAsia="仿宋_GB2312" w:hAnsi="Times New Roman" w:cs="Times New Roman"/>
          <w:bCs/>
          <w:color w:val="000000" w:themeColor="text1"/>
          <w:sz w:val="32"/>
        </w:rPr>
        <w:t xml:space="preserve"> </w:t>
      </w:r>
      <w:r>
        <w:rPr>
          <w:rFonts w:ascii="Times New Roman" w:eastAsia="仿宋_GB2312" w:hAnsi="Times New Roman" w:cs="Times New Roman"/>
          <w:bCs/>
          <w:color w:val="000000" w:themeColor="text1"/>
          <w:sz w:val="32"/>
        </w:rPr>
        <w:t>本产品</w:t>
      </w:r>
      <w:r>
        <w:rPr>
          <w:rFonts w:ascii="Times New Roman" w:eastAsia="仿宋_GB2312" w:hAnsi="Times New Roman" w:cs="Times New Roman"/>
          <w:color w:val="000000" w:themeColor="text1"/>
          <w:sz w:val="32"/>
        </w:rPr>
        <w:t>不得以分装方式生产其他食品，其他食品生产企业必须具备与其生产食品品种和数量相适应的生产场所、厂房、生产设备和检验设备及设施、人员、设备布局和工艺流程。仅有包装场地、工序、设备，没有完整生产条件，不予生产许可。</w:t>
      </w:r>
    </w:p>
    <w:p w14:paraId="724303BF" w14:textId="77777777" w:rsidR="00EE5EFD" w:rsidRDefault="00BA47DC">
      <w:pPr>
        <w:pStyle w:val="ad"/>
        <w:tabs>
          <w:tab w:val="left" w:pos="1282"/>
        </w:tabs>
        <w:snapToGrid/>
        <w:spacing w:before="0" w:after="0" w:line="560" w:lineRule="exact"/>
        <w:ind w:right="113" w:firstLine="640"/>
        <w:jc w:val="both"/>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lastRenderedPageBreak/>
        <w:t>第五条</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本《细则》引用的标准、文件应当采用最新版本（包括标准修改单）。</w:t>
      </w:r>
    </w:p>
    <w:p w14:paraId="0FF3B744" w14:textId="77777777" w:rsidR="00EE5EFD" w:rsidRDefault="00BA47DC">
      <w:pPr>
        <w:pStyle w:val="2"/>
        <w:snapToGrid/>
        <w:spacing w:before="140" w:line="560" w:lineRule="exact"/>
        <w:ind w:left="153" w:right="113"/>
        <w:jc w:val="center"/>
        <w:rPr>
          <w:rFonts w:ascii="Times New Roman" w:eastAsia="仿宋_GB2312" w:hAnsi="Times New Roman" w:cs="Times New Roman"/>
          <w:b w:val="0"/>
          <w:color w:val="000000" w:themeColor="text1"/>
        </w:rPr>
      </w:pPr>
      <w:bookmarkStart w:id="2" w:name="_Toc89845087"/>
      <w:r>
        <w:rPr>
          <w:rFonts w:ascii="Times New Roman" w:eastAsia="仿宋_GB2312" w:hAnsi="Times New Roman" w:cs="Times New Roman"/>
          <w:b w:val="0"/>
          <w:color w:val="000000" w:themeColor="text1"/>
        </w:rPr>
        <w:t>第二章</w:t>
      </w:r>
      <w:r>
        <w:rPr>
          <w:rFonts w:ascii="Times New Roman" w:eastAsia="仿宋_GB2312" w:hAnsi="Times New Roman" w:cs="Times New Roman"/>
          <w:b w:val="0"/>
          <w:color w:val="000000" w:themeColor="text1"/>
        </w:rPr>
        <w:t xml:space="preserve"> </w:t>
      </w:r>
      <w:r>
        <w:rPr>
          <w:rFonts w:ascii="Times New Roman" w:eastAsia="仿宋_GB2312" w:hAnsi="Times New Roman" w:cs="Times New Roman"/>
          <w:b w:val="0"/>
          <w:color w:val="000000" w:themeColor="text1"/>
        </w:rPr>
        <w:t>生产场所</w:t>
      </w:r>
      <w:bookmarkEnd w:id="2"/>
    </w:p>
    <w:p w14:paraId="13CA6F5E"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shd w:val="clear" w:color="auto" w:fill="FFFFFF"/>
        </w:rPr>
        <w:t>第六条</w:t>
      </w:r>
      <w:r>
        <w:rPr>
          <w:rFonts w:ascii="Times New Roman" w:eastAsia="仿宋_GB2312" w:hAnsi="Times New Roman" w:cs="Times New Roman"/>
          <w:color w:val="000000" w:themeColor="text1"/>
          <w:sz w:val="32"/>
          <w:shd w:val="clear" w:color="auto" w:fill="FFFFFF"/>
        </w:rPr>
        <w:t xml:space="preserve"> </w:t>
      </w:r>
      <w:r>
        <w:rPr>
          <w:rFonts w:ascii="Times New Roman" w:eastAsia="仿宋_GB2312" w:hAnsi="Times New Roman" w:cs="Times New Roman"/>
          <w:color w:val="000000" w:themeColor="text1"/>
          <w:sz w:val="32"/>
          <w:shd w:val="clear" w:color="auto" w:fill="FFFFFF"/>
        </w:rPr>
        <w:t>生产企业不应建在地势低洼处。厂区应设绿化带，应有良好的排水系统，必须设有废水、废气处理系统。废水、废气的排放应符合国家排放标准。厂区、厂房和车间、库房要求应符合《食品安全国家标准</w:t>
      </w:r>
      <w:r>
        <w:rPr>
          <w:rFonts w:ascii="Times New Roman" w:eastAsia="仿宋_GB2312" w:hAnsi="Times New Roman" w:cs="Times New Roman"/>
          <w:color w:val="000000" w:themeColor="text1"/>
          <w:sz w:val="32"/>
          <w:shd w:val="clear" w:color="auto" w:fill="FFFFFF"/>
        </w:rPr>
        <w:t> </w:t>
      </w:r>
      <w:r>
        <w:rPr>
          <w:rFonts w:ascii="Times New Roman" w:eastAsia="仿宋_GB2312" w:hAnsi="Times New Roman" w:cs="Times New Roman"/>
          <w:color w:val="000000" w:themeColor="text1"/>
          <w:sz w:val="32"/>
          <w:shd w:val="clear" w:color="auto" w:fill="FFFFFF"/>
        </w:rPr>
        <w:t>食品生产通用卫生规范》（</w:t>
      </w:r>
      <w:r>
        <w:rPr>
          <w:rFonts w:ascii="Times New Roman" w:eastAsia="仿宋_GB2312" w:hAnsi="Times New Roman" w:cs="Times New Roman"/>
          <w:color w:val="000000" w:themeColor="text1"/>
          <w:sz w:val="32"/>
          <w:shd w:val="clear" w:color="auto" w:fill="FFFFFF"/>
        </w:rPr>
        <w:t>GB 14881</w:t>
      </w:r>
      <w:r>
        <w:rPr>
          <w:rFonts w:ascii="Times New Roman" w:eastAsia="仿宋_GB2312" w:hAnsi="Times New Roman" w:cs="Times New Roman"/>
          <w:color w:val="000000" w:themeColor="text1"/>
          <w:sz w:val="32"/>
          <w:shd w:val="clear" w:color="auto" w:fill="FFFFFF"/>
        </w:rPr>
        <w:t>）中生产场所相关规定</w:t>
      </w:r>
      <w:r>
        <w:rPr>
          <w:rFonts w:ascii="Times New Roman" w:eastAsia="仿宋_GB2312" w:hAnsi="Times New Roman" w:cs="Times New Roman"/>
          <w:color w:val="000000" w:themeColor="text1"/>
          <w:sz w:val="32"/>
        </w:rPr>
        <w:t>。</w:t>
      </w:r>
    </w:p>
    <w:p w14:paraId="581F1D72"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第七条</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企业应根据产品特点及工艺要求设置相应的生产场所。常规生产场所一般包括菌种培养区、配料投料区、加工区（发酵、过滤、灭菌、水解、提纯）、精制干燥区（结晶、离心、干燥）、包装区、制水区及仓库等。</w:t>
      </w:r>
    </w:p>
    <w:p w14:paraId="3CB99660"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第八条</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生产车间应具有足够空间和高度，满足设备设施安装与维修、生产作业、卫生清洁、物料转运、采光与通风及卫生检查的需要。</w:t>
      </w:r>
    </w:p>
    <w:p w14:paraId="36CAB34C" w14:textId="77777777" w:rsidR="00EE5EFD" w:rsidRDefault="00BA47DC">
      <w:pPr>
        <w:pStyle w:val="ad"/>
        <w:spacing w:after="0" w:line="560" w:lineRule="exact"/>
        <w:ind w:right="113"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第九条</w:t>
      </w:r>
      <w:r>
        <w:rPr>
          <w:rFonts w:ascii="Times New Roman" w:eastAsia="仿宋_GB2312" w:hAnsi="Times New Roman" w:cs="Times New Roman"/>
          <w:color w:val="000000" w:themeColor="text1"/>
          <w:sz w:val="32"/>
          <w:szCs w:val="32"/>
        </w:rPr>
        <w:t xml:space="preserve"> </w:t>
      </w:r>
      <w:r>
        <w:rPr>
          <w:rFonts w:ascii="Times New Roman" w:eastAsia="仿宋_GB2312" w:hAnsi="Times New Roman" w:cs="Times New Roman"/>
          <w:color w:val="000000" w:themeColor="text1"/>
          <w:sz w:val="32"/>
          <w:szCs w:val="32"/>
        </w:rPr>
        <w:t>生产车间应与厂区污水、污物处理设施分开并间隔适当距离。</w:t>
      </w:r>
    </w:p>
    <w:p w14:paraId="194D3CF5"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第十条</w:t>
      </w:r>
      <w:r>
        <w:rPr>
          <w:rFonts w:ascii="Times New Roman" w:eastAsia="仿宋_GB2312" w:hAnsi="Times New Roman" w:cs="Times New Roman"/>
          <w:color w:val="000000" w:themeColor="text1"/>
          <w:sz w:val="32"/>
          <w:szCs w:val="32"/>
        </w:rPr>
        <w:t xml:space="preserve"> </w:t>
      </w:r>
      <w:r>
        <w:rPr>
          <w:rFonts w:ascii="Times New Roman" w:eastAsia="仿宋_GB2312" w:hAnsi="Times New Roman" w:cs="Times New Roman"/>
          <w:color w:val="000000" w:themeColor="text1"/>
          <w:sz w:val="32"/>
          <w:szCs w:val="32"/>
        </w:rPr>
        <w:t>生产车间内应设置专门区域存放加工废弃物并定期清理。</w:t>
      </w:r>
    </w:p>
    <w:p w14:paraId="43284E62"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第十一条</w:t>
      </w:r>
      <w:r>
        <w:rPr>
          <w:rFonts w:ascii="Times New Roman" w:eastAsia="仿宋_GB2312" w:hAnsi="Times New Roman" w:cs="Times New Roman"/>
          <w:color w:val="000000" w:themeColor="text1"/>
          <w:sz w:val="32"/>
          <w:szCs w:val="32"/>
        </w:rPr>
        <w:t xml:space="preserve"> </w:t>
      </w:r>
      <w:r>
        <w:rPr>
          <w:rFonts w:ascii="Times New Roman" w:eastAsia="仿宋_GB2312" w:hAnsi="Times New Roman" w:cs="Times New Roman"/>
          <w:color w:val="000000" w:themeColor="text1"/>
          <w:sz w:val="32"/>
          <w:szCs w:val="32"/>
        </w:rPr>
        <w:t>生产车间应与易产生粉尘的场所（如锅炉房）间隔一定距离，难以避开时应采取必要的防范措施。</w:t>
      </w:r>
    </w:p>
    <w:p w14:paraId="7C53D519"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第十二条</w:t>
      </w:r>
      <w:r>
        <w:rPr>
          <w:rFonts w:ascii="Times New Roman" w:eastAsia="仿宋_GB2312" w:hAnsi="Times New Roman" w:cs="Times New Roman"/>
          <w:color w:val="000000" w:themeColor="text1"/>
          <w:sz w:val="32"/>
          <w:szCs w:val="32"/>
        </w:rPr>
        <w:t xml:space="preserve"> </w:t>
      </w:r>
      <w:r>
        <w:rPr>
          <w:rFonts w:ascii="Times New Roman" w:eastAsia="仿宋_GB2312" w:hAnsi="Times New Roman" w:cs="Times New Roman"/>
          <w:color w:val="000000" w:themeColor="text1"/>
          <w:sz w:val="32"/>
          <w:szCs w:val="32"/>
        </w:rPr>
        <w:t>生产车间应按生产工艺、卫生控制要求有序合理布局，根据生产流程、操作需要和清洁度要求进行分离或分隔，避免交叉污染。生产车间划分为清洁作业区、准清洁作业区和一般</w:t>
      </w:r>
      <w:r>
        <w:rPr>
          <w:rFonts w:ascii="Times New Roman" w:eastAsia="仿宋_GB2312" w:hAnsi="Times New Roman" w:cs="Times New Roman"/>
          <w:color w:val="000000" w:themeColor="text1"/>
          <w:sz w:val="32"/>
          <w:szCs w:val="32"/>
        </w:rPr>
        <w:lastRenderedPageBreak/>
        <w:t>作业区，不同生产作业区之间应采取有效分离或分隔。厂区各生产作业区域应当有显著标识加以区分，重要生产设施标志应当准确清晰，使用、贮存危险化学品的场所，应当有明显警示标志和警示说明。</w:t>
      </w:r>
    </w:p>
    <w:p w14:paraId="37231592"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一般作业区为原料仓库、包材仓库、成品仓库、外包装等区域，</w:t>
      </w:r>
      <w:r>
        <w:rPr>
          <w:rFonts w:ascii="Times New Roman" w:eastAsia="仿宋_GB2312" w:hAnsi="Times New Roman" w:cs="Times New Roman"/>
          <w:color w:val="000000" w:themeColor="text1"/>
          <w:sz w:val="32"/>
        </w:rPr>
        <w:t>准清洁作业区为配料投料</w:t>
      </w:r>
      <w:r>
        <w:rPr>
          <w:rFonts w:ascii="Times New Roman" w:eastAsia="仿宋_GB2312" w:hAnsi="Times New Roman" w:cs="Times New Roman"/>
          <w:color w:val="000000" w:themeColor="text1"/>
          <w:sz w:val="32"/>
        </w:rPr>
        <w:t>区、加工区及制水区，清洁作业区为精制干燥区、内包装区、菌种</w:t>
      </w:r>
      <w:proofErr w:type="gramStart"/>
      <w:r>
        <w:rPr>
          <w:rFonts w:ascii="Times New Roman" w:eastAsia="仿宋_GB2312" w:hAnsi="Times New Roman" w:cs="Times New Roman"/>
          <w:color w:val="000000" w:themeColor="text1"/>
          <w:sz w:val="32"/>
        </w:rPr>
        <w:t>培养区</w:t>
      </w:r>
      <w:proofErr w:type="gramEnd"/>
      <w:r>
        <w:rPr>
          <w:rFonts w:ascii="Times New Roman" w:eastAsia="仿宋_GB2312" w:hAnsi="Times New Roman" w:cs="Times New Roman"/>
          <w:color w:val="000000" w:themeColor="text1"/>
          <w:sz w:val="32"/>
        </w:rPr>
        <w:t>等区域</w:t>
      </w:r>
      <w:r>
        <w:rPr>
          <w:rFonts w:ascii="Times New Roman" w:eastAsia="仿宋_GB2312" w:hAnsi="Times New Roman" w:cs="Times New Roman"/>
          <w:color w:val="000000" w:themeColor="text1"/>
          <w:sz w:val="32"/>
          <w:szCs w:val="32"/>
        </w:rPr>
        <w:t>。</w:t>
      </w:r>
    </w:p>
    <w:p w14:paraId="57FF54AF"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第十三条</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清洁作业区空气洁净度应满足</w:t>
      </w:r>
      <w:r>
        <w:rPr>
          <w:rFonts w:ascii="Times New Roman" w:eastAsia="仿宋_GB2312" w:hAnsi="Times New Roman" w:cs="Times New Roman"/>
          <w:color w:val="000000" w:themeColor="text1"/>
          <w:sz w:val="32"/>
        </w:rPr>
        <w:t>GB 50687</w:t>
      </w:r>
      <w:r>
        <w:rPr>
          <w:rFonts w:ascii="Times New Roman" w:eastAsia="仿宋_GB2312" w:hAnsi="Times New Roman" w:cs="Times New Roman"/>
          <w:color w:val="000000" w:themeColor="text1"/>
          <w:sz w:val="32"/>
        </w:rPr>
        <w:t>《食品工业洁净用房建筑设计规范》中</w:t>
      </w:r>
      <w:r>
        <w:rPr>
          <w:rFonts w:ascii="Times New Roman" w:eastAsia="仿宋_GB2312" w:hAnsi="Times New Roman" w:cs="Times New Roman"/>
          <w:color w:val="000000" w:themeColor="text1"/>
          <w:sz w:val="32"/>
        </w:rPr>
        <w:t>Ⅲ</w:t>
      </w:r>
      <w:r>
        <w:rPr>
          <w:rFonts w:ascii="Times New Roman" w:eastAsia="仿宋_GB2312" w:hAnsi="Times New Roman" w:cs="Times New Roman"/>
          <w:color w:val="000000" w:themeColor="text1"/>
          <w:sz w:val="32"/>
        </w:rPr>
        <w:t>级相关要求。生产状态下定期对清洁作业区的空气洁净度进行空气质量检测。</w:t>
      </w:r>
    </w:p>
    <w:p w14:paraId="7960A4D2"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第十四条</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地面、墙面、门窗、顶棚等应当易于维护、清洁或消毒。应当采用适当的耐用材料建造。</w:t>
      </w:r>
    </w:p>
    <w:p w14:paraId="0BA01809"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第十五条</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原料、成品库房应当满足相应的温度、湿度等贮存要求，避免阳光直射，保持干燥，并设置有效的防尘、防腐、防蝇、防虫、防鼠设施，防护措施有效。</w:t>
      </w:r>
    </w:p>
    <w:p w14:paraId="17C6BB9B" w14:textId="77777777" w:rsidR="00EE5EFD" w:rsidRDefault="00BA47DC">
      <w:pPr>
        <w:pStyle w:val="2"/>
        <w:snapToGrid/>
        <w:spacing w:before="140" w:line="560" w:lineRule="exact"/>
        <w:ind w:left="153" w:right="113"/>
        <w:jc w:val="center"/>
        <w:rPr>
          <w:rFonts w:ascii="Times New Roman" w:eastAsia="仿宋_GB2312" w:hAnsi="Times New Roman" w:cs="Times New Roman"/>
          <w:color w:val="000000" w:themeColor="text1"/>
        </w:rPr>
      </w:pPr>
      <w:r>
        <w:rPr>
          <w:rFonts w:ascii="Times New Roman" w:eastAsia="仿宋_GB2312" w:hAnsi="Times New Roman" w:cs="Times New Roman"/>
          <w:b w:val="0"/>
          <w:color w:val="000000" w:themeColor="text1"/>
        </w:rPr>
        <w:t>第三章</w:t>
      </w:r>
      <w:r>
        <w:rPr>
          <w:rFonts w:ascii="Times New Roman" w:eastAsia="仿宋_GB2312" w:hAnsi="Times New Roman" w:cs="Times New Roman"/>
          <w:b w:val="0"/>
          <w:color w:val="000000" w:themeColor="text1"/>
        </w:rPr>
        <w:t xml:space="preserve"> </w:t>
      </w:r>
      <w:r>
        <w:rPr>
          <w:rFonts w:ascii="Times New Roman" w:eastAsia="仿宋_GB2312" w:hAnsi="Times New Roman" w:cs="Times New Roman"/>
          <w:b w:val="0"/>
          <w:color w:val="000000" w:themeColor="text1"/>
        </w:rPr>
        <w:t>设施设备</w:t>
      </w:r>
    </w:p>
    <w:p w14:paraId="3E17F4D6"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第十六条</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企业应当配备与生产产品品种、数量相适应的设施设备。</w:t>
      </w:r>
      <w:r>
        <w:rPr>
          <w:rFonts w:ascii="Times New Roman" w:eastAsia="仿宋_GB2312" w:hAnsi="Times New Roman" w:cs="Times New Roman"/>
          <w:color w:val="000000" w:themeColor="text1"/>
          <w:sz w:val="32"/>
        </w:rPr>
        <w:t>设施设备的</w:t>
      </w:r>
      <w:r>
        <w:rPr>
          <w:rFonts w:ascii="Times New Roman" w:eastAsia="仿宋_GB2312" w:hAnsi="Times New Roman" w:cs="Times New Roman"/>
          <w:color w:val="000000" w:themeColor="text1"/>
          <w:sz w:val="32"/>
        </w:rPr>
        <w:t>性能和精度应当满足生产要求</w:t>
      </w: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便于操作、清洁、维护。本产品生产设施设备一般包括菌种培养设备（冰箱、摇床、超净工作台、高压蒸汽灭菌锅、生化培养箱），配料投料设备（电子台秤、电子天平、配料罐），发酵设备（发酵罐、补糖罐、氨水罐及其辅助料罐），过滤设备（膜过滤系统、</w:t>
      </w:r>
      <w:r>
        <w:rPr>
          <w:rFonts w:ascii="Times New Roman" w:eastAsia="仿宋_GB2312" w:hAnsi="Times New Roman" w:cs="Times New Roman"/>
          <w:color w:val="000000" w:themeColor="text1"/>
          <w:sz w:val="32"/>
          <w:lang w:bidi="ar"/>
        </w:rPr>
        <w:t>微滤清液罐、菌体干燥进料罐</w:t>
      </w:r>
      <w:r>
        <w:rPr>
          <w:rFonts w:ascii="Times New Roman" w:eastAsia="仿宋_GB2312" w:hAnsi="Times New Roman" w:cs="Times New Roman"/>
          <w:color w:val="000000" w:themeColor="text1"/>
          <w:sz w:val="32"/>
        </w:rPr>
        <w:t>），灭菌设备（灭菌罐），水解设备（</w:t>
      </w:r>
      <w:r>
        <w:rPr>
          <w:rFonts w:ascii="Times New Roman" w:eastAsia="仿宋_GB2312" w:hAnsi="Times New Roman" w:cs="Times New Roman"/>
          <w:color w:val="000000" w:themeColor="text1"/>
          <w:sz w:val="32"/>
          <w:lang w:bidi="ar"/>
        </w:rPr>
        <w:t>水解罐</w:t>
      </w:r>
      <w:r>
        <w:rPr>
          <w:rFonts w:ascii="Times New Roman" w:eastAsia="仿宋_GB2312" w:hAnsi="Times New Roman" w:cs="Times New Roman"/>
          <w:color w:val="000000" w:themeColor="text1"/>
          <w:sz w:val="32"/>
        </w:rPr>
        <w:t>），提纯设备（离子交换柱、</w:t>
      </w:r>
      <w:r>
        <w:rPr>
          <w:rFonts w:ascii="Times New Roman" w:eastAsia="仿宋_GB2312" w:hAnsi="Times New Roman" w:cs="Times New Roman"/>
          <w:color w:val="000000" w:themeColor="text1"/>
          <w:sz w:val="32"/>
          <w:lang w:bidi="ar"/>
        </w:rPr>
        <w:t>过滤清液罐、解脱液罐、脱色</w:t>
      </w:r>
      <w:proofErr w:type="gramStart"/>
      <w:r>
        <w:rPr>
          <w:rFonts w:ascii="Times New Roman" w:eastAsia="仿宋_GB2312" w:hAnsi="Times New Roman" w:cs="Times New Roman"/>
          <w:color w:val="000000" w:themeColor="text1"/>
          <w:sz w:val="32"/>
          <w:lang w:bidi="ar"/>
        </w:rPr>
        <w:t>加碳</w:t>
      </w:r>
      <w:r>
        <w:rPr>
          <w:rFonts w:ascii="Times New Roman" w:eastAsia="仿宋_GB2312" w:hAnsi="Times New Roman" w:cs="Times New Roman"/>
          <w:color w:val="000000" w:themeColor="text1"/>
          <w:sz w:val="32"/>
          <w:lang w:bidi="ar"/>
        </w:rPr>
        <w:lastRenderedPageBreak/>
        <w:t>罐</w:t>
      </w:r>
      <w:proofErr w:type="gramEnd"/>
      <w:r>
        <w:rPr>
          <w:rFonts w:ascii="Times New Roman" w:eastAsia="仿宋_GB2312" w:hAnsi="Times New Roman" w:cs="Times New Roman"/>
          <w:color w:val="000000" w:themeColor="text1"/>
          <w:sz w:val="32"/>
          <w:lang w:bidi="ar"/>
        </w:rPr>
        <w:t>、</w:t>
      </w:r>
      <w:r>
        <w:rPr>
          <w:rFonts w:ascii="Times New Roman" w:eastAsia="仿宋_GB2312" w:hAnsi="Times New Roman" w:cs="Times New Roman"/>
          <w:color w:val="000000" w:themeColor="text1"/>
          <w:sz w:val="32"/>
        </w:rPr>
        <w:t>过滤罐），结晶设备（</w:t>
      </w:r>
      <w:r>
        <w:rPr>
          <w:rFonts w:ascii="Times New Roman" w:eastAsia="仿宋_GB2312" w:hAnsi="Times New Roman" w:cs="Times New Roman"/>
          <w:color w:val="000000" w:themeColor="text1"/>
          <w:sz w:val="32"/>
          <w:lang w:bidi="ar"/>
        </w:rPr>
        <w:t>单效中央循环管蒸发器、温控蒸发结晶罐）</w:t>
      </w:r>
      <w:r>
        <w:rPr>
          <w:rFonts w:ascii="Times New Roman" w:eastAsia="仿宋_GB2312" w:hAnsi="Times New Roman" w:cs="Times New Roman"/>
          <w:color w:val="000000" w:themeColor="text1"/>
          <w:sz w:val="32"/>
        </w:rPr>
        <w:t>、离心设备（</w:t>
      </w:r>
      <w:r>
        <w:rPr>
          <w:rFonts w:ascii="Times New Roman" w:eastAsia="仿宋_GB2312" w:hAnsi="Times New Roman" w:cs="Times New Roman"/>
          <w:color w:val="000000" w:themeColor="text1"/>
          <w:sz w:val="32"/>
          <w:lang w:bidi="ar"/>
        </w:rPr>
        <w:t>平板离心机</w:t>
      </w:r>
      <w:r>
        <w:rPr>
          <w:rFonts w:ascii="Times New Roman" w:eastAsia="仿宋_GB2312" w:hAnsi="Times New Roman" w:cs="Times New Roman"/>
          <w:color w:val="000000" w:themeColor="text1"/>
          <w:sz w:val="32"/>
        </w:rPr>
        <w:t>）、干燥设备（冻干机），内包装设备（定量包装机、封口机、电子秤）以及制水设备</w:t>
      </w:r>
      <w:r>
        <w:rPr>
          <w:rFonts w:ascii="Times New Roman" w:eastAsia="仿宋_GB2312" w:hAnsi="Times New Roman" w:cs="Times New Roman"/>
          <w:color w:val="000000" w:themeColor="text1"/>
          <w:sz w:val="32"/>
          <w:lang w:bidi="ar"/>
        </w:rPr>
        <w:t>（一级反渗透</w:t>
      </w:r>
      <w:r>
        <w:rPr>
          <w:rFonts w:ascii="Times New Roman" w:eastAsia="仿宋_GB2312" w:hAnsi="Times New Roman" w:cs="Times New Roman"/>
          <w:color w:val="000000" w:themeColor="text1"/>
          <w:sz w:val="32"/>
          <w:lang w:bidi="ar"/>
        </w:rPr>
        <w:t>RO</w:t>
      </w:r>
      <w:r>
        <w:rPr>
          <w:rFonts w:ascii="Times New Roman" w:eastAsia="仿宋_GB2312" w:hAnsi="Times New Roman" w:cs="Times New Roman"/>
          <w:color w:val="000000" w:themeColor="text1"/>
          <w:sz w:val="32"/>
          <w:lang w:bidi="ar"/>
        </w:rPr>
        <w:t>纯水制备系统、一级反渗透</w:t>
      </w:r>
      <w:r>
        <w:rPr>
          <w:rFonts w:ascii="Times New Roman" w:eastAsia="仿宋_GB2312" w:hAnsi="Times New Roman" w:cs="Times New Roman"/>
          <w:color w:val="000000" w:themeColor="text1"/>
          <w:sz w:val="32"/>
          <w:lang w:bidi="ar"/>
        </w:rPr>
        <w:t>RO</w:t>
      </w:r>
      <w:r>
        <w:rPr>
          <w:rFonts w:ascii="Times New Roman" w:eastAsia="仿宋_GB2312" w:hAnsi="Times New Roman" w:cs="Times New Roman"/>
          <w:color w:val="000000" w:themeColor="text1"/>
          <w:sz w:val="32"/>
          <w:lang w:bidi="ar"/>
        </w:rPr>
        <w:t>纯化水制备系统）</w:t>
      </w:r>
      <w:r>
        <w:rPr>
          <w:rFonts w:ascii="Times New Roman" w:eastAsia="仿宋_GB2312" w:hAnsi="Times New Roman" w:cs="Times New Roman"/>
          <w:color w:val="000000" w:themeColor="text1"/>
          <w:sz w:val="32"/>
        </w:rPr>
        <w:t>等。</w:t>
      </w:r>
    </w:p>
    <w:p w14:paraId="3818932E"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第十七条</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生产设备应当清洁卫生。直接接触原料、半成品、成品的设备、工器具材质应当无毒、无味、抗腐蚀、不易脱落、表面光滑、无吸收性、易于清洁保养和消毒。</w:t>
      </w:r>
    </w:p>
    <w:p w14:paraId="21D31298" w14:textId="77777777" w:rsidR="00EE5EFD" w:rsidRDefault="00BA47DC">
      <w:pPr>
        <w:pStyle w:val="ad"/>
        <w:spacing w:before="0" w:after="0" w:line="560" w:lineRule="exact"/>
        <w:ind w:right="113"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第十八条</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应当配备相应的工器具和设备等专用清洁设施，必要时应当配备相应的消毒设施。准清洁作业区、清洁作业区应分别设置工器具清洁消毒区域，防止交叉污染。清洁、消毒方式应当避免对产品造成交叉污染，使用的洗涤剂、消毒剂应当符合相关规定要求。清洗消毒工具和洗涤剂、消毒剂等物品应存放于独立隔间或区域，并有醒目标识。</w:t>
      </w:r>
    </w:p>
    <w:p w14:paraId="397D249D"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第十九条</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应当配备设计合理、防止渗漏、易于清洁的存放废弃物的专用设施，必要时可设置废弃物临时存放设施。车间内存放废弃物的设施和容器应当标识清晰，不得与盛装原料、半成品、成品的容器混用。</w:t>
      </w:r>
    </w:p>
    <w:p w14:paraId="10F27B3F" w14:textId="77777777" w:rsidR="00EE5EFD" w:rsidRDefault="00BA47DC">
      <w:pPr>
        <w:pStyle w:val="ad"/>
        <w:spacing w:after="0" w:line="560" w:lineRule="exact"/>
        <w:ind w:right="113"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第二十条</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准清洁作业区、清洁</w:t>
      </w:r>
      <w:r>
        <w:rPr>
          <w:rFonts w:ascii="Times New Roman" w:eastAsia="仿宋_GB2312" w:hAnsi="Times New Roman" w:cs="Times New Roman"/>
          <w:color w:val="000000" w:themeColor="text1"/>
          <w:sz w:val="32"/>
        </w:rPr>
        <w:t>作业区应设有单独的更衣室，更衣室应与生产车间相连接。</w:t>
      </w:r>
      <w:proofErr w:type="gramStart"/>
      <w:r>
        <w:rPr>
          <w:rFonts w:ascii="Times New Roman" w:eastAsia="仿宋_GB2312" w:hAnsi="Times New Roman" w:cs="Times New Roman"/>
          <w:color w:val="000000" w:themeColor="text1"/>
          <w:sz w:val="32"/>
        </w:rPr>
        <w:t>若设立</w:t>
      </w:r>
      <w:proofErr w:type="gramEnd"/>
      <w:r>
        <w:rPr>
          <w:rFonts w:ascii="Times New Roman" w:eastAsia="仿宋_GB2312" w:hAnsi="Times New Roman" w:cs="Times New Roman"/>
          <w:color w:val="000000" w:themeColor="text1"/>
          <w:sz w:val="32"/>
        </w:rPr>
        <w:t>与更衣室相连接的卫生间和淋浴室，应设立在更衣室之外，保持清洁卫生，其设施和布局不得对生产车间造成潜在的污染风险。不同清洁作业区应分别设置非手动式洗手、干手和消毒设施。如有需要，应当在作业区内适当位置加设洗手和消毒设施；与消毒设施配套的水龙头其开关应当为非手动式，必要时应当设置冷热水混合器。</w:t>
      </w:r>
    </w:p>
    <w:p w14:paraId="416EDC0E"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lastRenderedPageBreak/>
        <w:t>第二十一条</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应当具备供排水设施、通风设施、照明设施、温控设施以及仓储设施。设施应当符合《食品安全国家标准食品生产通用卫生规范》（</w:t>
      </w:r>
      <w:r>
        <w:rPr>
          <w:rFonts w:ascii="Times New Roman" w:eastAsia="仿宋_GB2312" w:hAnsi="Times New Roman" w:cs="Times New Roman"/>
          <w:color w:val="000000" w:themeColor="text1"/>
          <w:sz w:val="32"/>
        </w:rPr>
        <w:t>GB 14881</w:t>
      </w:r>
      <w:r>
        <w:rPr>
          <w:rFonts w:ascii="Times New Roman" w:eastAsia="仿宋_GB2312" w:hAnsi="Times New Roman" w:cs="Times New Roman"/>
          <w:color w:val="000000" w:themeColor="text1"/>
          <w:sz w:val="32"/>
        </w:rPr>
        <w:t>）中相关规定。</w:t>
      </w:r>
    </w:p>
    <w:p w14:paraId="54FCD974"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第</w:t>
      </w:r>
      <w:r>
        <w:rPr>
          <w:rFonts w:ascii="Times New Roman" w:eastAsia="仿宋_GB2312" w:hAnsi="Times New Roman" w:cs="Times New Roman"/>
          <w:color w:val="000000" w:themeColor="text1"/>
          <w:sz w:val="32"/>
        </w:rPr>
        <w:t>二十二条</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按照产品执行标准及检验管理制度中规定的检验项目进行检验。自行开展相关检验的企业应配备满足原料、半成品、成品检验所需的检验设备设施，并确保检验设备的性能、精度满足检验要求。检验设备设施的数量应与企业生产能力相适应。</w:t>
      </w:r>
      <w:bookmarkEnd w:id="0"/>
    </w:p>
    <w:p w14:paraId="032F2537"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常规检验项目及常用检验设备表</w:t>
      </w:r>
    </w:p>
    <w:tbl>
      <w:tblPr>
        <w:tblStyle w:val="ac"/>
        <w:tblW w:w="9462" w:type="dxa"/>
        <w:tblLayout w:type="fixed"/>
        <w:tblLook w:val="04A0" w:firstRow="1" w:lastRow="0" w:firstColumn="1" w:lastColumn="0" w:noHBand="0" w:noVBand="1"/>
      </w:tblPr>
      <w:tblGrid>
        <w:gridCol w:w="843"/>
        <w:gridCol w:w="2131"/>
        <w:gridCol w:w="6488"/>
      </w:tblGrid>
      <w:tr w:rsidR="00EE5EFD" w14:paraId="4F8BC69E" w14:textId="77777777">
        <w:tc>
          <w:tcPr>
            <w:tcW w:w="843" w:type="dxa"/>
          </w:tcPr>
          <w:p w14:paraId="42B35BF0"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序号</w:t>
            </w:r>
          </w:p>
        </w:tc>
        <w:tc>
          <w:tcPr>
            <w:tcW w:w="2131" w:type="dxa"/>
          </w:tcPr>
          <w:p w14:paraId="75DADF6D"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检验项目</w:t>
            </w:r>
          </w:p>
        </w:tc>
        <w:tc>
          <w:tcPr>
            <w:tcW w:w="6488" w:type="dxa"/>
          </w:tcPr>
          <w:p w14:paraId="68BA5640"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检验设备设施</w:t>
            </w:r>
          </w:p>
        </w:tc>
      </w:tr>
      <w:tr w:rsidR="00EE5EFD" w14:paraId="7C78AB56" w14:textId="77777777">
        <w:tc>
          <w:tcPr>
            <w:tcW w:w="843" w:type="dxa"/>
          </w:tcPr>
          <w:p w14:paraId="404F6E6B"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w:t>
            </w:r>
          </w:p>
        </w:tc>
        <w:tc>
          <w:tcPr>
            <w:tcW w:w="2131" w:type="dxa"/>
          </w:tcPr>
          <w:p w14:paraId="424BE29A" w14:textId="77777777" w:rsidR="00EE5EFD" w:rsidRDefault="00BA47DC">
            <w:pPr>
              <w:snapToGrid/>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水分</w:t>
            </w:r>
          </w:p>
        </w:tc>
        <w:tc>
          <w:tcPr>
            <w:tcW w:w="6488" w:type="dxa"/>
          </w:tcPr>
          <w:p w14:paraId="7440FEB7" w14:textId="77777777" w:rsidR="00EE5EFD" w:rsidRDefault="00BA47DC">
            <w:pPr>
              <w:snapToGrid/>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分析天平（</w:t>
            </w:r>
            <w:r>
              <w:rPr>
                <w:rFonts w:ascii="Times New Roman" w:eastAsia="仿宋_GB2312" w:hAnsi="Times New Roman" w:cs="Times New Roman"/>
                <w:color w:val="000000" w:themeColor="text1"/>
                <w:sz w:val="30"/>
                <w:szCs w:val="30"/>
              </w:rPr>
              <w:t>0.01mg</w:t>
            </w:r>
            <w:r>
              <w:rPr>
                <w:rFonts w:ascii="Times New Roman" w:eastAsia="仿宋_GB2312" w:hAnsi="Times New Roman" w:cs="Times New Roman"/>
                <w:color w:val="000000" w:themeColor="text1"/>
                <w:sz w:val="30"/>
                <w:szCs w:val="30"/>
              </w:rPr>
              <w:t>）、真空干燥箱。</w:t>
            </w:r>
          </w:p>
        </w:tc>
      </w:tr>
      <w:tr w:rsidR="00EE5EFD" w14:paraId="4C22E080" w14:textId="77777777">
        <w:tc>
          <w:tcPr>
            <w:tcW w:w="843" w:type="dxa"/>
          </w:tcPr>
          <w:p w14:paraId="3C5201FF"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2</w:t>
            </w:r>
          </w:p>
        </w:tc>
        <w:tc>
          <w:tcPr>
            <w:tcW w:w="2131" w:type="dxa"/>
          </w:tcPr>
          <w:p w14:paraId="312361F0" w14:textId="77777777" w:rsidR="00EE5EFD" w:rsidRDefault="00BA47DC">
            <w:pPr>
              <w:snapToGrid/>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灰分</w:t>
            </w:r>
          </w:p>
        </w:tc>
        <w:tc>
          <w:tcPr>
            <w:tcW w:w="6488" w:type="dxa"/>
          </w:tcPr>
          <w:p w14:paraId="357106E9" w14:textId="77777777" w:rsidR="00EE5EFD" w:rsidRDefault="00BA47DC">
            <w:pPr>
              <w:snapToGrid/>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马弗炉、分析天平（</w:t>
            </w:r>
            <w:r>
              <w:rPr>
                <w:rFonts w:ascii="Times New Roman" w:eastAsia="仿宋_GB2312" w:hAnsi="Times New Roman" w:cs="Times New Roman"/>
                <w:color w:val="000000" w:themeColor="text1"/>
                <w:sz w:val="30"/>
                <w:szCs w:val="30"/>
              </w:rPr>
              <w:t>0.01mg</w:t>
            </w:r>
            <w:r>
              <w:rPr>
                <w:rFonts w:ascii="Times New Roman" w:eastAsia="仿宋_GB2312" w:hAnsi="Times New Roman" w:cs="Times New Roman"/>
                <w:color w:val="000000" w:themeColor="text1"/>
                <w:sz w:val="30"/>
                <w:szCs w:val="30"/>
              </w:rPr>
              <w:t>）、瓷坩埚、干燥器。</w:t>
            </w:r>
          </w:p>
        </w:tc>
      </w:tr>
      <w:tr w:rsidR="00EE5EFD" w14:paraId="4F25213E" w14:textId="77777777">
        <w:tc>
          <w:tcPr>
            <w:tcW w:w="843" w:type="dxa"/>
          </w:tcPr>
          <w:p w14:paraId="710B6FC1"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3</w:t>
            </w:r>
          </w:p>
        </w:tc>
        <w:tc>
          <w:tcPr>
            <w:tcW w:w="2131" w:type="dxa"/>
          </w:tcPr>
          <w:p w14:paraId="5ECB3679" w14:textId="77777777" w:rsidR="00EE5EFD" w:rsidRDefault="00BA47DC">
            <w:pPr>
              <w:snapToGrid/>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pH</w:t>
            </w:r>
            <w:r>
              <w:rPr>
                <w:rFonts w:ascii="Times New Roman" w:eastAsia="仿宋_GB2312" w:hAnsi="Times New Roman" w:cs="Times New Roman"/>
                <w:color w:val="000000" w:themeColor="text1"/>
                <w:sz w:val="30"/>
                <w:szCs w:val="30"/>
              </w:rPr>
              <w:t>值</w:t>
            </w:r>
          </w:p>
        </w:tc>
        <w:tc>
          <w:tcPr>
            <w:tcW w:w="6488" w:type="dxa"/>
          </w:tcPr>
          <w:p w14:paraId="34F5A76F" w14:textId="77777777" w:rsidR="00EE5EFD" w:rsidRDefault="00BA47DC">
            <w:pPr>
              <w:snapToGrid/>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pH</w:t>
            </w:r>
            <w:r>
              <w:rPr>
                <w:rFonts w:ascii="Times New Roman" w:eastAsia="仿宋_GB2312" w:hAnsi="Times New Roman" w:cs="Times New Roman"/>
                <w:color w:val="000000" w:themeColor="text1"/>
                <w:sz w:val="30"/>
                <w:szCs w:val="30"/>
              </w:rPr>
              <w:t>计、电子天平（</w:t>
            </w:r>
            <w:r>
              <w:rPr>
                <w:rFonts w:ascii="Times New Roman" w:eastAsia="仿宋_GB2312" w:hAnsi="Times New Roman" w:cs="Times New Roman"/>
                <w:color w:val="000000" w:themeColor="text1"/>
                <w:sz w:val="30"/>
                <w:szCs w:val="30"/>
              </w:rPr>
              <w:t>0.001g</w:t>
            </w:r>
            <w:r>
              <w:rPr>
                <w:rFonts w:ascii="Times New Roman" w:eastAsia="仿宋_GB2312" w:hAnsi="Times New Roman" w:cs="Times New Roman"/>
                <w:color w:val="000000" w:themeColor="text1"/>
                <w:sz w:val="30"/>
                <w:szCs w:val="30"/>
              </w:rPr>
              <w:t>）</w:t>
            </w:r>
          </w:p>
        </w:tc>
      </w:tr>
      <w:tr w:rsidR="00EE5EFD" w14:paraId="0F08B7D7" w14:textId="77777777">
        <w:tc>
          <w:tcPr>
            <w:tcW w:w="843" w:type="dxa"/>
          </w:tcPr>
          <w:p w14:paraId="5E793225"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4</w:t>
            </w:r>
          </w:p>
        </w:tc>
        <w:tc>
          <w:tcPr>
            <w:tcW w:w="2131" w:type="dxa"/>
          </w:tcPr>
          <w:p w14:paraId="6A85A17C" w14:textId="77777777" w:rsidR="00EE5EFD" w:rsidRDefault="00BA47DC">
            <w:pPr>
              <w:snapToGrid/>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N-</w:t>
            </w:r>
            <w:r>
              <w:rPr>
                <w:rFonts w:ascii="Times New Roman" w:eastAsia="仿宋_GB2312" w:hAnsi="Times New Roman" w:cs="Times New Roman"/>
                <w:color w:val="000000" w:themeColor="text1"/>
                <w:sz w:val="30"/>
                <w:szCs w:val="30"/>
              </w:rPr>
              <w:t>乙酰神经氨酸含量</w:t>
            </w:r>
          </w:p>
        </w:tc>
        <w:tc>
          <w:tcPr>
            <w:tcW w:w="6488" w:type="dxa"/>
          </w:tcPr>
          <w:p w14:paraId="23910F67" w14:textId="77777777" w:rsidR="00EE5EFD" w:rsidRDefault="00BA47DC">
            <w:pPr>
              <w:snapToGrid/>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分析天平（</w:t>
            </w:r>
            <w:r>
              <w:rPr>
                <w:rFonts w:ascii="Times New Roman" w:eastAsia="仿宋_GB2312" w:hAnsi="Times New Roman" w:cs="Times New Roman"/>
                <w:color w:val="000000" w:themeColor="text1"/>
                <w:sz w:val="30"/>
                <w:szCs w:val="30"/>
              </w:rPr>
              <w:t xml:space="preserve">0.01 </w:t>
            </w:r>
            <w:r>
              <w:rPr>
                <w:rFonts w:ascii="Times New Roman" w:eastAsia="仿宋_GB2312" w:hAnsi="Times New Roman" w:cs="Times New Roman"/>
                <w:color w:val="000000" w:themeColor="text1"/>
                <w:sz w:val="30"/>
                <w:szCs w:val="30"/>
              </w:rPr>
              <w:t>mg</w:t>
            </w:r>
            <w:r>
              <w:rPr>
                <w:rFonts w:ascii="Times New Roman" w:eastAsia="仿宋_GB2312" w:hAnsi="Times New Roman" w:cs="Times New Roman"/>
                <w:color w:val="000000" w:themeColor="text1"/>
                <w:sz w:val="30"/>
                <w:szCs w:val="30"/>
              </w:rPr>
              <w:t>）、液相色谱仪、恒温水浴锅、涡旋混合器、电热恒温干燥箱、高速离心机。</w:t>
            </w:r>
          </w:p>
        </w:tc>
      </w:tr>
      <w:tr w:rsidR="00EE5EFD" w14:paraId="3C62EBE3" w14:textId="77777777">
        <w:tc>
          <w:tcPr>
            <w:tcW w:w="843" w:type="dxa"/>
          </w:tcPr>
          <w:p w14:paraId="5C816947"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5</w:t>
            </w:r>
          </w:p>
        </w:tc>
        <w:tc>
          <w:tcPr>
            <w:tcW w:w="2131" w:type="dxa"/>
          </w:tcPr>
          <w:p w14:paraId="6BB0AF25" w14:textId="77777777" w:rsidR="00EE5EFD" w:rsidRDefault="00BA47DC">
            <w:pPr>
              <w:snapToGrid/>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菌落总数</w:t>
            </w:r>
          </w:p>
        </w:tc>
        <w:tc>
          <w:tcPr>
            <w:tcW w:w="6488" w:type="dxa"/>
          </w:tcPr>
          <w:p w14:paraId="743BFCEC" w14:textId="77777777" w:rsidR="00EE5EFD" w:rsidRDefault="00BA47DC">
            <w:pPr>
              <w:snapToGrid/>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超净工作台（无菌室）、灭菌锅、电子天平（</w:t>
            </w:r>
            <w:r>
              <w:rPr>
                <w:rFonts w:ascii="Times New Roman" w:eastAsia="仿宋_GB2312" w:hAnsi="Times New Roman" w:cs="Times New Roman"/>
                <w:color w:val="000000" w:themeColor="text1"/>
                <w:sz w:val="30"/>
                <w:szCs w:val="30"/>
              </w:rPr>
              <w:t>0.01 g</w:t>
            </w:r>
            <w:r>
              <w:rPr>
                <w:rFonts w:ascii="Times New Roman" w:eastAsia="仿宋_GB2312" w:hAnsi="Times New Roman" w:cs="Times New Roman"/>
                <w:color w:val="000000" w:themeColor="text1"/>
                <w:sz w:val="30"/>
                <w:szCs w:val="30"/>
              </w:rPr>
              <w:t>）、恒温培养箱、恒温水浴锅、涡旋混合器、拍打式均质器等。</w:t>
            </w:r>
          </w:p>
        </w:tc>
      </w:tr>
      <w:tr w:rsidR="00EE5EFD" w14:paraId="1ED70B6F" w14:textId="77777777">
        <w:tc>
          <w:tcPr>
            <w:tcW w:w="843" w:type="dxa"/>
          </w:tcPr>
          <w:p w14:paraId="3A002A93"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6</w:t>
            </w:r>
          </w:p>
        </w:tc>
        <w:tc>
          <w:tcPr>
            <w:tcW w:w="2131" w:type="dxa"/>
          </w:tcPr>
          <w:p w14:paraId="336E0B57" w14:textId="77777777" w:rsidR="00EE5EFD" w:rsidRDefault="00BA47DC">
            <w:pPr>
              <w:snapToGrid/>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大肠菌群</w:t>
            </w:r>
          </w:p>
        </w:tc>
        <w:tc>
          <w:tcPr>
            <w:tcW w:w="6488" w:type="dxa"/>
          </w:tcPr>
          <w:p w14:paraId="1FB5DC74" w14:textId="77777777" w:rsidR="00EE5EFD" w:rsidRDefault="00BA47DC">
            <w:pPr>
              <w:snapToGrid/>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超净工作台（无菌室）、灭菌锅、电子天平（</w:t>
            </w:r>
            <w:r>
              <w:rPr>
                <w:rFonts w:ascii="Times New Roman" w:eastAsia="仿宋_GB2312" w:hAnsi="Times New Roman" w:cs="Times New Roman"/>
                <w:color w:val="000000" w:themeColor="text1"/>
                <w:sz w:val="30"/>
                <w:szCs w:val="30"/>
              </w:rPr>
              <w:t>0.01 g</w:t>
            </w:r>
            <w:r>
              <w:rPr>
                <w:rFonts w:ascii="Times New Roman" w:eastAsia="仿宋_GB2312" w:hAnsi="Times New Roman" w:cs="Times New Roman"/>
                <w:color w:val="000000" w:themeColor="text1"/>
                <w:sz w:val="30"/>
                <w:szCs w:val="30"/>
              </w:rPr>
              <w:t>）、恒温培养箱、恒温水浴锅、涡旋混合器、拍打式均质器等。</w:t>
            </w:r>
          </w:p>
        </w:tc>
      </w:tr>
      <w:tr w:rsidR="00EE5EFD" w14:paraId="06916809" w14:textId="77777777">
        <w:tc>
          <w:tcPr>
            <w:tcW w:w="843" w:type="dxa"/>
          </w:tcPr>
          <w:p w14:paraId="3ADE6B21"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lastRenderedPageBreak/>
              <w:t>7</w:t>
            </w:r>
          </w:p>
        </w:tc>
        <w:tc>
          <w:tcPr>
            <w:tcW w:w="2131" w:type="dxa"/>
          </w:tcPr>
          <w:p w14:paraId="01C0A79C" w14:textId="77777777" w:rsidR="00EE5EFD" w:rsidRDefault="00BA47DC">
            <w:pPr>
              <w:snapToGrid/>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净含量</w:t>
            </w:r>
          </w:p>
        </w:tc>
        <w:tc>
          <w:tcPr>
            <w:tcW w:w="6488" w:type="dxa"/>
          </w:tcPr>
          <w:p w14:paraId="56EABE3F" w14:textId="77777777" w:rsidR="00EE5EFD" w:rsidRDefault="00BA47DC">
            <w:pPr>
              <w:snapToGrid/>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电子天平（</w:t>
            </w:r>
            <w:r>
              <w:rPr>
                <w:rFonts w:ascii="Times New Roman" w:eastAsia="仿宋_GB2312" w:hAnsi="Times New Roman" w:cs="Times New Roman"/>
                <w:color w:val="000000" w:themeColor="text1"/>
                <w:sz w:val="30"/>
                <w:szCs w:val="30"/>
              </w:rPr>
              <w:t>0.01g</w:t>
            </w:r>
            <w:r>
              <w:rPr>
                <w:rFonts w:ascii="Times New Roman" w:eastAsia="仿宋_GB2312" w:hAnsi="Times New Roman" w:cs="Times New Roman"/>
                <w:color w:val="000000" w:themeColor="text1"/>
                <w:sz w:val="30"/>
                <w:szCs w:val="30"/>
              </w:rPr>
              <w:t>）。</w:t>
            </w:r>
          </w:p>
        </w:tc>
      </w:tr>
      <w:tr w:rsidR="00EE5EFD" w14:paraId="5A9BDE8E" w14:textId="77777777">
        <w:tc>
          <w:tcPr>
            <w:tcW w:w="843" w:type="dxa"/>
          </w:tcPr>
          <w:p w14:paraId="1350D007"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8</w:t>
            </w:r>
          </w:p>
        </w:tc>
        <w:tc>
          <w:tcPr>
            <w:tcW w:w="2131" w:type="dxa"/>
          </w:tcPr>
          <w:p w14:paraId="1E495D35" w14:textId="77777777" w:rsidR="00EE5EFD" w:rsidRDefault="00BA47DC">
            <w:pPr>
              <w:snapToGrid/>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菌体浓度</w:t>
            </w:r>
          </w:p>
        </w:tc>
        <w:tc>
          <w:tcPr>
            <w:tcW w:w="6488" w:type="dxa"/>
          </w:tcPr>
          <w:p w14:paraId="7F898AB9" w14:textId="77777777" w:rsidR="00EE5EFD" w:rsidRDefault="00BA47DC">
            <w:pPr>
              <w:snapToGrid/>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可见分光光度计</w:t>
            </w:r>
          </w:p>
        </w:tc>
      </w:tr>
    </w:tbl>
    <w:p w14:paraId="28B5D776" w14:textId="77777777" w:rsidR="00EE5EFD" w:rsidRDefault="00BA47DC">
      <w:pPr>
        <w:pStyle w:val="2"/>
        <w:snapToGrid/>
        <w:spacing w:before="140" w:line="560" w:lineRule="exact"/>
        <w:ind w:right="113"/>
        <w:jc w:val="center"/>
        <w:rPr>
          <w:rFonts w:ascii="Times New Roman" w:eastAsia="仿宋_GB2312" w:hAnsi="Times New Roman" w:cs="Times New Roman"/>
          <w:color w:val="000000" w:themeColor="text1"/>
        </w:rPr>
      </w:pPr>
      <w:bookmarkStart w:id="3" w:name="_Toc89845089"/>
      <w:bookmarkStart w:id="4" w:name="OLE_LINK5"/>
      <w:r>
        <w:rPr>
          <w:rFonts w:ascii="Times New Roman" w:eastAsia="仿宋_GB2312" w:hAnsi="Times New Roman" w:cs="Times New Roman"/>
          <w:b w:val="0"/>
          <w:color w:val="000000" w:themeColor="text1"/>
        </w:rPr>
        <w:t>第四章</w:t>
      </w:r>
      <w:r>
        <w:rPr>
          <w:rFonts w:ascii="Times New Roman" w:eastAsia="仿宋_GB2312" w:hAnsi="Times New Roman" w:cs="Times New Roman"/>
          <w:b w:val="0"/>
          <w:color w:val="000000" w:themeColor="text1"/>
        </w:rPr>
        <w:t xml:space="preserve"> </w:t>
      </w:r>
      <w:r>
        <w:rPr>
          <w:rFonts w:ascii="Times New Roman" w:eastAsia="仿宋_GB2312" w:hAnsi="Times New Roman" w:cs="Times New Roman"/>
          <w:b w:val="0"/>
          <w:color w:val="000000" w:themeColor="text1"/>
        </w:rPr>
        <w:t>设备布局和工艺流程</w:t>
      </w:r>
      <w:bookmarkEnd w:id="3"/>
    </w:p>
    <w:p w14:paraId="63179698" w14:textId="77777777" w:rsidR="00EE5EFD" w:rsidRDefault="00BA47DC">
      <w:pPr>
        <w:pStyle w:val="ad"/>
        <w:snapToGrid/>
        <w:spacing w:after="0" w:line="560" w:lineRule="exact"/>
        <w:ind w:right="113" w:firstLine="640"/>
        <w:rPr>
          <w:rFonts w:ascii="Times New Roman" w:eastAsia="仿宋_GB2312" w:hAnsi="Times New Roman" w:cs="Times New Roman"/>
          <w:color w:val="000000" w:themeColor="text1"/>
          <w:sz w:val="32"/>
        </w:rPr>
      </w:pPr>
      <w:r>
        <w:rPr>
          <w:rFonts w:ascii="Times New Roman" w:eastAsia="仿宋_GB2312" w:hAnsi="Times New Roman" w:cs="Times New Roman" w:hint="eastAsia"/>
          <w:color w:val="000000" w:themeColor="text1"/>
          <w:sz w:val="32"/>
        </w:rPr>
        <w:t>第二十三条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应当具备合理的生产设备布局和工艺流程，并应与产品执行的标准相适应，避免交叉污染。</w:t>
      </w:r>
      <w:r>
        <w:rPr>
          <w:rFonts w:ascii="Times New Roman" w:eastAsia="仿宋_GB2312" w:hAnsi="Times New Roman" w:cs="Times New Roman"/>
          <w:color w:val="000000" w:themeColor="text1"/>
          <w:sz w:val="32"/>
        </w:rPr>
        <w:t>N-</w:t>
      </w:r>
      <w:r>
        <w:rPr>
          <w:rFonts w:ascii="Times New Roman" w:eastAsia="仿宋_GB2312" w:hAnsi="Times New Roman" w:cs="Times New Roman"/>
          <w:color w:val="000000" w:themeColor="text1"/>
          <w:sz w:val="32"/>
        </w:rPr>
        <w:t>乙酰神经氨酸生产设备设施和工艺流程见附件</w:t>
      </w:r>
      <w:r>
        <w:rPr>
          <w:rFonts w:ascii="Times New Roman" w:eastAsia="仿宋_GB2312" w:hAnsi="Times New Roman" w:cs="Times New Roman"/>
          <w:color w:val="000000" w:themeColor="text1"/>
          <w:sz w:val="32"/>
        </w:rPr>
        <w:t>1</w:t>
      </w:r>
      <w:r>
        <w:rPr>
          <w:rFonts w:ascii="Times New Roman" w:eastAsia="仿宋_GB2312" w:hAnsi="Times New Roman" w:cs="Times New Roman"/>
          <w:color w:val="000000" w:themeColor="text1"/>
          <w:sz w:val="32"/>
        </w:rPr>
        <w:t>。</w:t>
      </w:r>
    </w:p>
    <w:p w14:paraId="1AF91F0F" w14:textId="77777777" w:rsidR="00EE5EFD" w:rsidRDefault="00BA47DC">
      <w:pPr>
        <w:pStyle w:val="ad"/>
        <w:snapToGrid/>
        <w:spacing w:after="0" w:line="560" w:lineRule="exact"/>
        <w:ind w:right="113" w:firstLine="640"/>
        <w:rPr>
          <w:rFonts w:ascii="Times New Roman" w:eastAsia="仿宋_GB2312" w:hAnsi="Times New Roman" w:cs="Times New Roman"/>
          <w:color w:val="000000" w:themeColor="text1"/>
          <w:sz w:val="32"/>
        </w:rPr>
      </w:pPr>
      <w:r>
        <w:rPr>
          <w:rFonts w:ascii="Times New Roman" w:eastAsia="仿宋_GB2312" w:hAnsi="Times New Roman" w:cs="Times New Roman" w:hint="eastAsia"/>
          <w:color w:val="000000" w:themeColor="text1"/>
          <w:sz w:val="32"/>
        </w:rPr>
        <w:t>第二十四条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应当制定所需的产品配方、工艺规程等工艺文件，明确生产过程中的食品安全关键环节和控制措施。</w:t>
      </w:r>
    </w:p>
    <w:p w14:paraId="6229541F" w14:textId="77777777" w:rsidR="00EE5EFD" w:rsidRDefault="00BA47DC">
      <w:pPr>
        <w:snapToGrid/>
        <w:spacing w:after="0" w:line="560" w:lineRule="exact"/>
        <w:ind w:left="153"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N-</w:t>
      </w:r>
      <w:r>
        <w:rPr>
          <w:rFonts w:ascii="Times New Roman" w:eastAsia="仿宋_GB2312" w:hAnsi="Times New Roman" w:cs="Times New Roman"/>
          <w:color w:val="000000" w:themeColor="text1"/>
          <w:sz w:val="32"/>
        </w:rPr>
        <w:t>乙酰神经氨酸生产工艺流程：配料投料、发酵、过滤、灭菌、水解、提纯、结晶、离心、干燥、内包装、外包装等。</w:t>
      </w:r>
    </w:p>
    <w:p w14:paraId="668D02A6" w14:textId="77777777" w:rsidR="00EE5EFD" w:rsidRDefault="00BA47DC">
      <w:pPr>
        <w:snapToGrid/>
        <w:spacing w:after="0" w:line="560" w:lineRule="exact"/>
        <w:ind w:left="153"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配料投料：按工艺配方称量原料，投入</w:t>
      </w:r>
      <w:proofErr w:type="gramStart"/>
      <w:r>
        <w:rPr>
          <w:rFonts w:ascii="Times New Roman" w:eastAsia="仿宋_GB2312" w:hAnsi="Times New Roman" w:cs="Times New Roman"/>
          <w:color w:val="000000" w:themeColor="text1"/>
          <w:sz w:val="32"/>
        </w:rPr>
        <w:t>配料罐定容</w:t>
      </w:r>
      <w:proofErr w:type="gramEnd"/>
      <w:r>
        <w:rPr>
          <w:rFonts w:ascii="Times New Roman" w:eastAsia="仿宋_GB2312" w:hAnsi="Times New Roman" w:cs="Times New Roman"/>
          <w:color w:val="000000" w:themeColor="text1"/>
          <w:sz w:val="32"/>
        </w:rPr>
        <w:t>、搅拌、溶解。</w:t>
      </w:r>
    </w:p>
    <w:p w14:paraId="4AAB8EE5" w14:textId="77777777" w:rsidR="00EE5EFD" w:rsidRDefault="00BA47DC">
      <w:pPr>
        <w:snapToGrid/>
        <w:spacing w:after="0" w:line="560" w:lineRule="exact"/>
        <w:ind w:left="153"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发酵：在无菌培养基中接入生产菌种，应控制发酵温度和时间、料液</w:t>
      </w:r>
      <w:r>
        <w:rPr>
          <w:rFonts w:ascii="Times New Roman" w:eastAsia="仿宋_GB2312" w:hAnsi="Times New Roman" w:cs="Times New Roman"/>
          <w:color w:val="000000" w:themeColor="text1"/>
          <w:sz w:val="32"/>
        </w:rPr>
        <w:t>pH</w:t>
      </w:r>
      <w:r>
        <w:rPr>
          <w:rFonts w:ascii="Times New Roman" w:eastAsia="仿宋_GB2312" w:hAnsi="Times New Roman" w:cs="Times New Roman"/>
          <w:color w:val="000000" w:themeColor="text1"/>
          <w:sz w:val="32"/>
        </w:rPr>
        <w:t>值以及溶氧浓度，确保充分发酵。</w:t>
      </w:r>
    </w:p>
    <w:p w14:paraId="3295B2F2" w14:textId="77777777" w:rsidR="00EE5EFD" w:rsidRDefault="00BA47DC">
      <w:pPr>
        <w:pStyle w:val="11"/>
        <w:spacing w:before="0" w:after="0" w:line="560" w:lineRule="exact"/>
        <w:ind w:left="153" w:right="113" w:firstLine="640"/>
        <w:rPr>
          <w:rFonts w:ascii="Times New Roman" w:eastAsia="仿宋_GB2312" w:hAnsi="Times New Roman"/>
          <w:color w:val="000000" w:themeColor="text1"/>
        </w:rPr>
      </w:pPr>
      <w:r>
        <w:rPr>
          <w:rFonts w:ascii="Times New Roman" w:eastAsia="仿宋_GB2312" w:hAnsi="Times New Roman"/>
          <w:color w:val="000000" w:themeColor="text1"/>
          <w:sz w:val="32"/>
          <w:szCs w:val="32"/>
        </w:rPr>
        <w:t>过滤：采用膜设备</w:t>
      </w:r>
      <w:r>
        <w:rPr>
          <w:rFonts w:ascii="Times New Roman" w:eastAsia="仿宋_GB2312" w:hAnsi="Times New Roman"/>
          <w:color w:val="000000" w:themeColor="text1"/>
          <w:sz w:val="32"/>
          <w:szCs w:val="32"/>
        </w:rPr>
        <w:t>对发酵液进行过滤，控制好压力、温度，完成固液分离，除去菌体及大分子杂质获得澄清滤液。</w:t>
      </w:r>
    </w:p>
    <w:p w14:paraId="33FEB9E4" w14:textId="77777777" w:rsidR="00EE5EFD" w:rsidRDefault="00BA47DC">
      <w:pPr>
        <w:pStyle w:val="11"/>
        <w:spacing w:before="0" w:after="0" w:line="560" w:lineRule="exact"/>
        <w:ind w:left="153" w:right="113" w:firstLine="640"/>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t>灭菌：使用蒸汽对料液进行高温灭菌，对灭菌温度和时间加以控制。</w:t>
      </w:r>
    </w:p>
    <w:p w14:paraId="4E2E40B6" w14:textId="77777777" w:rsidR="00EE5EFD" w:rsidRDefault="00BA47DC">
      <w:pPr>
        <w:tabs>
          <w:tab w:val="left" w:pos="1282"/>
        </w:tabs>
        <w:spacing w:before="0" w:after="0" w:line="560" w:lineRule="exact"/>
        <w:ind w:left="153" w:right="113" w:firstLineChars="200" w:firstLine="600"/>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0"/>
          <w:szCs w:val="30"/>
        </w:rPr>
        <w:t>水解：对发酵液进行加酸调</w:t>
      </w:r>
      <w:r>
        <w:rPr>
          <w:rFonts w:ascii="Times New Roman" w:eastAsia="仿宋_GB2312" w:hAnsi="Times New Roman" w:cs="Times New Roman"/>
          <w:color w:val="000000" w:themeColor="text1"/>
          <w:sz w:val="30"/>
          <w:szCs w:val="30"/>
        </w:rPr>
        <w:t>pH</w:t>
      </w:r>
      <w:r>
        <w:rPr>
          <w:rFonts w:ascii="Times New Roman" w:eastAsia="仿宋_GB2312" w:hAnsi="Times New Roman" w:cs="Times New Roman"/>
          <w:color w:val="000000" w:themeColor="text1"/>
          <w:sz w:val="30"/>
          <w:szCs w:val="30"/>
        </w:rPr>
        <w:t>，在一定温度下，维持一定时间，达至将聚唾液酸水解成游离唾液酸的状态。</w:t>
      </w:r>
    </w:p>
    <w:p w14:paraId="5F755AA2" w14:textId="77777777" w:rsidR="00EE5EFD" w:rsidRDefault="00BA47DC">
      <w:pPr>
        <w:pStyle w:val="11"/>
        <w:spacing w:before="0" w:after="0" w:line="560" w:lineRule="exact"/>
        <w:ind w:left="153" w:right="113" w:firstLine="640"/>
        <w:rPr>
          <w:rFonts w:ascii="Times New Roman" w:eastAsia="仿宋_GB2312" w:hAnsi="Times New Roman"/>
          <w:color w:val="000000" w:themeColor="text1"/>
        </w:rPr>
      </w:pPr>
      <w:r>
        <w:rPr>
          <w:rFonts w:ascii="Times New Roman" w:eastAsia="仿宋_GB2312" w:hAnsi="Times New Roman"/>
          <w:color w:val="000000" w:themeColor="text1"/>
          <w:sz w:val="32"/>
          <w:szCs w:val="32"/>
        </w:rPr>
        <w:t>提纯：使用离子交换树脂吸附产物并使用相关盐溶液解析。</w:t>
      </w:r>
    </w:p>
    <w:p w14:paraId="3422F4DC" w14:textId="77777777" w:rsidR="00EE5EFD" w:rsidRDefault="00BA47DC">
      <w:pPr>
        <w:pStyle w:val="11"/>
        <w:spacing w:before="0" w:after="0" w:line="560" w:lineRule="exact"/>
        <w:ind w:left="153" w:right="113" w:firstLine="640"/>
        <w:rPr>
          <w:rFonts w:ascii="Times New Roman" w:eastAsia="仿宋_GB2312" w:hAnsi="Times New Roman"/>
          <w:color w:val="000000" w:themeColor="text1"/>
        </w:rPr>
      </w:pPr>
      <w:r>
        <w:rPr>
          <w:rFonts w:ascii="Times New Roman" w:eastAsia="仿宋_GB2312" w:hAnsi="Times New Roman"/>
          <w:color w:val="000000" w:themeColor="text1"/>
          <w:sz w:val="32"/>
          <w:szCs w:val="32"/>
        </w:rPr>
        <w:t>结晶：经过蒸发系统将物料浓缩至一定浓度，进行降温结晶。</w:t>
      </w:r>
    </w:p>
    <w:p w14:paraId="3C186700" w14:textId="77777777" w:rsidR="00EE5EFD" w:rsidRDefault="00BA47DC">
      <w:pPr>
        <w:pStyle w:val="11"/>
        <w:spacing w:before="0" w:after="0" w:line="560" w:lineRule="exact"/>
        <w:ind w:left="153" w:right="113" w:firstLine="640"/>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lastRenderedPageBreak/>
        <w:t>离心：将结晶后的物料经过离心机进行固液分离。</w:t>
      </w:r>
    </w:p>
    <w:p w14:paraId="0F3444FE" w14:textId="77777777" w:rsidR="00EE5EFD" w:rsidRDefault="00BA47DC">
      <w:pPr>
        <w:pStyle w:val="11"/>
        <w:spacing w:before="0" w:after="0" w:line="560" w:lineRule="exact"/>
        <w:ind w:left="153" w:right="113" w:firstLine="640"/>
        <w:rPr>
          <w:rFonts w:ascii="Times New Roman" w:eastAsia="仿宋_GB2312" w:hAnsi="Times New Roman"/>
          <w:color w:val="000000" w:themeColor="text1"/>
        </w:rPr>
      </w:pPr>
      <w:r>
        <w:rPr>
          <w:rFonts w:ascii="Times New Roman" w:eastAsia="仿宋_GB2312" w:hAnsi="Times New Roman"/>
          <w:color w:val="000000" w:themeColor="text1"/>
          <w:sz w:val="32"/>
          <w:szCs w:val="32"/>
        </w:rPr>
        <w:t>干燥：在离心分离后，通过冻干干燥，控制真空度和干燥温度和时间，确保产品的水分符合标准。</w:t>
      </w:r>
    </w:p>
    <w:p w14:paraId="63477D84" w14:textId="77777777" w:rsidR="00EE5EFD" w:rsidRDefault="00BA47DC">
      <w:pPr>
        <w:spacing w:after="0" w:line="560" w:lineRule="exact"/>
        <w:ind w:left="153" w:right="113"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内包装：干燥后的产品通过包装设备进行包装。包装过程中，检查产品感官和封口质量，确保包装后产品密封良好，计量准确，标签信息符合标准。</w:t>
      </w:r>
    </w:p>
    <w:p w14:paraId="48A72877" w14:textId="77777777" w:rsidR="00EE5EFD" w:rsidRDefault="00BA47DC">
      <w:pPr>
        <w:spacing w:after="0" w:line="560" w:lineRule="exact"/>
        <w:ind w:left="153" w:right="113"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外包装：将密封包装好的产品进行装箱。</w:t>
      </w:r>
    </w:p>
    <w:p w14:paraId="4FC82C34" w14:textId="77777777" w:rsidR="00EE5EFD" w:rsidRDefault="00BA47DC">
      <w:pPr>
        <w:spacing w:after="0" w:line="560" w:lineRule="exact"/>
        <w:ind w:left="153" w:right="113" w:firstLineChars="200" w:firstLine="640"/>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szCs w:val="32"/>
        </w:rPr>
        <w:t>发酵、干燥、内包装为关键工序。</w:t>
      </w:r>
    </w:p>
    <w:p w14:paraId="4D54B1F6"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第五章</w:t>
      </w:r>
      <w:r>
        <w:rPr>
          <w:rFonts w:ascii="Times New Roman" w:eastAsia="仿宋_GB2312" w:hAnsi="Times New Roman" w:cs="Times New Roman"/>
          <w:color w:val="000000" w:themeColor="text1"/>
          <w:sz w:val="32"/>
          <w:szCs w:val="32"/>
        </w:rPr>
        <w:t xml:space="preserve"> </w:t>
      </w:r>
      <w:r>
        <w:rPr>
          <w:rFonts w:ascii="Times New Roman" w:eastAsia="仿宋_GB2312" w:hAnsi="Times New Roman" w:cs="Times New Roman"/>
          <w:color w:val="000000" w:themeColor="text1"/>
          <w:sz w:val="32"/>
          <w:szCs w:val="32"/>
        </w:rPr>
        <w:t>人员管理</w:t>
      </w:r>
    </w:p>
    <w:p w14:paraId="453C19DC"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rPr>
      </w:pPr>
      <w:r>
        <w:rPr>
          <w:rFonts w:ascii="Times New Roman" w:eastAsia="仿宋_GB2312" w:hAnsi="Times New Roman" w:cs="Times New Roman" w:hint="eastAsia"/>
          <w:color w:val="000000" w:themeColor="text1"/>
          <w:sz w:val="32"/>
        </w:rPr>
        <w:t>第二十五条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应当依法配备食品安全管理人员和食品安全专业技术人员。企业主要负责人、食品安全员应当符合《</w:t>
      </w:r>
      <w:r>
        <w:rPr>
          <w:rFonts w:ascii="Times New Roman" w:eastAsia="仿宋_GB2312" w:hAnsi="Times New Roman" w:cs="Times New Roman"/>
          <w:color w:val="000000" w:themeColor="text1"/>
          <w:sz w:val="32"/>
          <w:shd w:val="clear" w:color="auto" w:fill="FFFFFF"/>
        </w:rPr>
        <w:t>食品生产经营企业落实食品安全主体责任监督管理规定</w:t>
      </w:r>
      <w:r>
        <w:rPr>
          <w:rFonts w:ascii="Times New Roman" w:eastAsia="仿宋_GB2312" w:hAnsi="Times New Roman" w:cs="Times New Roman"/>
          <w:color w:val="000000" w:themeColor="text1"/>
          <w:sz w:val="32"/>
        </w:rPr>
        <w:t>》。</w:t>
      </w:r>
    </w:p>
    <w:p w14:paraId="2DB8F18D" w14:textId="77777777" w:rsidR="00EE5EFD" w:rsidRDefault="00BA47DC">
      <w:pPr>
        <w:pStyle w:val="ad"/>
        <w:snapToGrid/>
        <w:spacing w:before="0" w:after="0" w:line="560" w:lineRule="exact"/>
        <w:ind w:left="153" w:right="113" w:firstLine="640"/>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rPr>
        <w:t>食品安全专业技术人员应与岗位要求相适应，掌握生产工艺操作规程，熟练操作生产设备设施，人员数量应满足企业生产需求。其中检验人员应具有食品检验相关专业知识，经培训合格。</w:t>
      </w:r>
    </w:p>
    <w:p w14:paraId="2B1785E4"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sz w:val="32"/>
        </w:rPr>
      </w:pPr>
      <w:r>
        <w:rPr>
          <w:rFonts w:ascii="Times New Roman" w:eastAsia="仿宋_GB2312" w:hAnsi="Times New Roman" w:cs="Times New Roman" w:hint="eastAsia"/>
          <w:color w:val="000000" w:themeColor="text1"/>
          <w:sz w:val="32"/>
        </w:rPr>
        <w:t>第二十六条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企业应建立培训制度，制定培训计划，培训的内容应与岗位相适应。与质量安全相关岗位的人员应定期培训和考核，不具备能力的不得上岗。</w:t>
      </w:r>
    </w:p>
    <w:p w14:paraId="4078433C"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sz w:val="32"/>
        </w:rPr>
      </w:pPr>
      <w:r>
        <w:rPr>
          <w:rFonts w:ascii="Times New Roman" w:eastAsia="仿宋_GB2312" w:hAnsi="Times New Roman" w:cs="Times New Roman" w:hint="eastAsia"/>
          <w:color w:val="000000" w:themeColor="text1"/>
          <w:sz w:val="32"/>
        </w:rPr>
        <w:t>第二十七条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负责清洁消毒的人员应接受良好培训，能够正确使用清洁消毒工器具及相关试剂，保证清洁和消毒作业的效果满足生产要求。</w:t>
      </w:r>
    </w:p>
    <w:p w14:paraId="60B8329B"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sz w:val="32"/>
        </w:rPr>
      </w:pPr>
      <w:r>
        <w:rPr>
          <w:rFonts w:ascii="Times New Roman" w:eastAsia="仿宋_GB2312" w:hAnsi="Times New Roman" w:cs="Times New Roman" w:hint="eastAsia"/>
          <w:color w:val="000000" w:themeColor="text1"/>
          <w:sz w:val="32"/>
        </w:rPr>
        <w:t>第二十八条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应对食品加工人员开展班前健康检查，并形成记录，防止法律法规规定的有碍食品</w:t>
      </w:r>
      <w:r>
        <w:rPr>
          <w:rFonts w:ascii="Times New Roman" w:eastAsia="仿宋_GB2312" w:hAnsi="Times New Roman" w:cs="Times New Roman"/>
          <w:color w:val="000000" w:themeColor="text1"/>
          <w:sz w:val="32"/>
        </w:rPr>
        <w:t>安全疾病的人员接触直接入口食品。</w:t>
      </w:r>
    </w:p>
    <w:p w14:paraId="157A4E09"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lastRenderedPageBreak/>
        <w:t>第六章</w:t>
      </w:r>
      <w:r>
        <w:rPr>
          <w:rFonts w:ascii="Times New Roman" w:eastAsia="仿宋_GB2312" w:hAnsi="Times New Roman" w:cs="Times New Roman"/>
          <w:color w:val="000000" w:themeColor="text1"/>
          <w:sz w:val="32"/>
          <w:szCs w:val="32"/>
        </w:rPr>
        <w:t xml:space="preserve"> </w:t>
      </w:r>
      <w:r>
        <w:rPr>
          <w:rFonts w:ascii="Times New Roman" w:eastAsia="仿宋_GB2312" w:hAnsi="Times New Roman" w:cs="Times New Roman"/>
          <w:color w:val="000000" w:themeColor="text1"/>
          <w:sz w:val="32"/>
          <w:szCs w:val="32"/>
        </w:rPr>
        <w:t>管理制度</w:t>
      </w:r>
    </w:p>
    <w:p w14:paraId="10106E10"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sz w:val="32"/>
        </w:rPr>
      </w:pPr>
      <w:r>
        <w:rPr>
          <w:rFonts w:ascii="Times New Roman" w:eastAsia="仿宋_GB2312" w:hAnsi="Times New Roman" w:cs="Times New Roman" w:hint="eastAsia"/>
          <w:color w:val="000000" w:themeColor="text1"/>
          <w:sz w:val="32"/>
        </w:rPr>
        <w:t>第二十九条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建立并执行采购管理及进货查验记录制度。企业应规定食品原料、食品添加剂和食品相关产品的验收标准，定期对主要原料供应商进行评价、考核，确定合格供应商名单。</w:t>
      </w:r>
    </w:p>
    <w:p w14:paraId="615B1787"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（一）发酵用菌种应符合国家有关标准规定，附有检验报告或产品合格证明文件。</w:t>
      </w:r>
    </w:p>
    <w:p w14:paraId="7EA28D53"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（二）发酵用营养物质（培养基）应符合食品安全国家标准。</w:t>
      </w:r>
    </w:p>
    <w:p w14:paraId="3D14AFF3"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（三）食品相关产品应符合相关食品安全标准的规定，在加工、储藏和运输条件下不影响产品质量安全。</w:t>
      </w:r>
    </w:p>
    <w:p w14:paraId="5DAECE6C"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sz w:val="32"/>
        </w:rPr>
      </w:pPr>
      <w:r>
        <w:rPr>
          <w:rFonts w:ascii="Times New Roman" w:eastAsia="仿宋_GB2312" w:hAnsi="Times New Roman" w:cs="Times New Roman" w:hint="eastAsia"/>
          <w:color w:val="000000" w:themeColor="text1"/>
          <w:sz w:val="32"/>
        </w:rPr>
        <w:t>第三十条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建立并执行生产过程控制制度。在关键环节所在区域，配备相关的文件如岗位规程、记录表等。生产过程中原料管理（领料、投料、余料管理等）、生产关键环节（如生产工序、设备、贮存、包装等）的控制措施实施记录，应与企业制定的工艺文件要求一致。</w:t>
      </w:r>
    </w:p>
    <w:p w14:paraId="1631FA93"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（一）卫生管理要求。</w:t>
      </w:r>
    </w:p>
    <w:p w14:paraId="16669E1D"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1</w:t>
      </w:r>
      <w:r>
        <w:rPr>
          <w:rFonts w:ascii="Times New Roman" w:eastAsia="仿宋_GB2312" w:hAnsi="Times New Roman" w:cs="Times New Roman"/>
          <w:color w:val="000000" w:themeColor="text1"/>
          <w:sz w:val="32"/>
        </w:rPr>
        <w:t>）食品生产加工人员应保持良好的个人卫生，进入生产作业区域应穿戴整洁的工作服、帽，不应配戴饰物、手表，不应携带手机，不应化妆、留长指甲等存在食品安全隐患的</w:t>
      </w:r>
      <w:r>
        <w:rPr>
          <w:rFonts w:ascii="Times New Roman" w:eastAsia="仿宋_GB2312" w:hAnsi="Times New Roman" w:cs="Times New Roman"/>
          <w:color w:val="000000" w:themeColor="text1"/>
          <w:sz w:val="32"/>
        </w:rPr>
        <w:t>行为，不应携带、存放与食品生产无关的个人用品。</w:t>
      </w:r>
    </w:p>
    <w:p w14:paraId="79CC87A9"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2</w:t>
      </w:r>
      <w:r>
        <w:rPr>
          <w:rFonts w:ascii="Times New Roman" w:eastAsia="仿宋_GB2312" w:hAnsi="Times New Roman" w:cs="Times New Roman"/>
          <w:color w:val="000000" w:themeColor="text1"/>
          <w:sz w:val="32"/>
        </w:rPr>
        <w:t>）食品生产加工人员进入生产作业区时应按要求洗手、消毒，操作过程中</w:t>
      </w:r>
      <w:proofErr w:type="gramStart"/>
      <w:r>
        <w:rPr>
          <w:rFonts w:ascii="Times New Roman" w:eastAsia="仿宋_GB2312" w:hAnsi="Times New Roman" w:cs="Times New Roman"/>
          <w:color w:val="000000" w:themeColor="text1"/>
          <w:sz w:val="32"/>
        </w:rPr>
        <w:t>手受到</w:t>
      </w:r>
      <w:proofErr w:type="gramEnd"/>
      <w:r>
        <w:rPr>
          <w:rFonts w:ascii="Times New Roman" w:eastAsia="仿宋_GB2312" w:hAnsi="Times New Roman" w:cs="Times New Roman"/>
          <w:color w:val="000000" w:themeColor="text1"/>
          <w:sz w:val="32"/>
        </w:rPr>
        <w:t>污染时，应立即洗手、消毒。</w:t>
      </w:r>
    </w:p>
    <w:p w14:paraId="367D6963"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3</w:t>
      </w:r>
      <w:r>
        <w:rPr>
          <w:rFonts w:ascii="Times New Roman" w:eastAsia="仿宋_GB2312" w:hAnsi="Times New Roman" w:cs="Times New Roman"/>
          <w:color w:val="000000" w:themeColor="text1"/>
          <w:sz w:val="32"/>
        </w:rPr>
        <w:t>）清洁作业区生产加工人员应符合相应的洁净作业标准。</w:t>
      </w:r>
    </w:p>
    <w:p w14:paraId="0440D2B6"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4</w:t>
      </w:r>
      <w:r>
        <w:rPr>
          <w:rFonts w:ascii="Times New Roman" w:eastAsia="仿宋_GB2312" w:hAnsi="Times New Roman" w:cs="Times New Roman"/>
          <w:color w:val="000000" w:themeColor="text1"/>
          <w:sz w:val="32"/>
        </w:rPr>
        <w:t>）非生产人员禁止进入生产作业区，特殊情况下进入时应</w:t>
      </w:r>
      <w:r>
        <w:rPr>
          <w:rFonts w:ascii="Times New Roman" w:eastAsia="仿宋_GB2312" w:hAnsi="Times New Roman" w:cs="Times New Roman"/>
          <w:color w:val="000000" w:themeColor="text1"/>
          <w:sz w:val="32"/>
        </w:rPr>
        <w:lastRenderedPageBreak/>
        <w:t>遵守和生产人员相同的卫生要求。</w:t>
      </w:r>
      <w:r>
        <w:rPr>
          <w:rFonts w:ascii="Times New Roman" w:eastAsia="仿宋_GB2312" w:hAnsi="Times New Roman" w:cs="Times New Roman"/>
          <w:color w:val="000000" w:themeColor="text1"/>
          <w:sz w:val="32"/>
        </w:rPr>
        <w:t xml:space="preserve"> </w:t>
      </w:r>
    </w:p>
    <w:p w14:paraId="45E03821"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5</w:t>
      </w:r>
      <w:r>
        <w:rPr>
          <w:rFonts w:ascii="Times New Roman" w:eastAsia="仿宋_GB2312" w:hAnsi="Times New Roman" w:cs="Times New Roman"/>
          <w:color w:val="000000" w:themeColor="text1"/>
          <w:sz w:val="32"/>
        </w:rPr>
        <w:t>）应监控生产环境，如对地面、墙壁、天花板或顶棚、空气、设备设施、排水槽、空气净化处理装置等进行卫生监控。根据具体取样点的风险确定监控频率。</w:t>
      </w:r>
    </w:p>
    <w:p w14:paraId="45D623AD"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6</w:t>
      </w:r>
      <w:r>
        <w:rPr>
          <w:rFonts w:ascii="Times New Roman" w:eastAsia="仿宋_GB2312" w:hAnsi="Times New Roman" w:cs="Times New Roman"/>
          <w:color w:val="000000" w:themeColor="text1"/>
          <w:sz w:val="32"/>
        </w:rPr>
        <w:t>）各生产作业</w:t>
      </w:r>
      <w:proofErr w:type="gramStart"/>
      <w:r>
        <w:rPr>
          <w:rFonts w:ascii="Times New Roman" w:eastAsia="仿宋_GB2312" w:hAnsi="Times New Roman" w:cs="Times New Roman"/>
          <w:color w:val="000000" w:themeColor="text1"/>
          <w:sz w:val="32"/>
        </w:rPr>
        <w:t>区设备</w:t>
      </w:r>
      <w:proofErr w:type="gramEnd"/>
      <w:r>
        <w:rPr>
          <w:rFonts w:ascii="Times New Roman" w:eastAsia="仿宋_GB2312" w:hAnsi="Times New Roman" w:cs="Times New Roman"/>
          <w:color w:val="000000" w:themeColor="text1"/>
          <w:sz w:val="32"/>
        </w:rPr>
        <w:t>设施、工器具及容器应分区放置，生产过程中应有合理的措</w:t>
      </w:r>
      <w:r>
        <w:rPr>
          <w:rFonts w:ascii="Times New Roman" w:eastAsia="仿宋_GB2312" w:hAnsi="Times New Roman" w:cs="Times New Roman"/>
          <w:color w:val="000000" w:themeColor="text1"/>
          <w:sz w:val="32"/>
        </w:rPr>
        <w:t>施防止交叉污染。</w:t>
      </w:r>
    </w:p>
    <w:p w14:paraId="43238DF2"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7</w:t>
      </w:r>
      <w:r>
        <w:rPr>
          <w:rFonts w:ascii="Times New Roman" w:eastAsia="仿宋_GB2312" w:hAnsi="Times New Roman" w:cs="Times New Roman"/>
          <w:color w:val="000000" w:themeColor="text1"/>
          <w:sz w:val="32"/>
        </w:rPr>
        <w:t>）直接接触原料、半成品、成品的设备设施、工器具和容器应耐腐蚀、不易破损。</w:t>
      </w:r>
    </w:p>
    <w:p w14:paraId="46095E8C"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二）清洁消毒要求。应明确清洁消毒的区域、设备设施及工器具名称；清洁消毒工作的职责；使用的洗涤剂、消毒剂；清洁消毒方法和频次；清洁消毒效果验证方法以及纠偏方法；清洁消毒工作及验证的记录等要求。严格执行清洁消毒制度，并有专人负责检查，如实、完整记录清洁消毒和验证过程。</w:t>
      </w:r>
    </w:p>
    <w:p w14:paraId="707CEE55"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1</w:t>
      </w:r>
      <w:r>
        <w:rPr>
          <w:rFonts w:ascii="Times New Roman" w:eastAsia="仿宋_GB2312" w:hAnsi="Times New Roman" w:cs="Times New Roman"/>
          <w:color w:val="000000" w:themeColor="text1"/>
          <w:sz w:val="32"/>
        </w:rPr>
        <w:t>）清洁消毒方法应安全、卫生、有效。采用臭氧消毒方式的，应在保证杀菌效果的前提下严格控制臭氧浓度；采用紫外线消毒方式的，应控制杀菌距离并规定紫外线</w:t>
      </w:r>
      <w:r>
        <w:rPr>
          <w:rFonts w:ascii="Times New Roman" w:eastAsia="仿宋_GB2312" w:hAnsi="Times New Roman" w:cs="Times New Roman"/>
          <w:color w:val="000000" w:themeColor="text1"/>
          <w:sz w:val="32"/>
        </w:rPr>
        <w:t>强度监控频次；采用过滤除菌方式的，应规定更换滤膜或滤料频次。</w:t>
      </w:r>
    </w:p>
    <w:p w14:paraId="03D02C0B"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2</w:t>
      </w:r>
      <w:r>
        <w:rPr>
          <w:rFonts w:ascii="Times New Roman" w:eastAsia="仿宋_GB2312" w:hAnsi="Times New Roman" w:cs="Times New Roman"/>
          <w:color w:val="000000" w:themeColor="text1"/>
          <w:sz w:val="32"/>
        </w:rPr>
        <w:t>）根据生产环境卫生监控结果规定清洁消毒频次。</w:t>
      </w:r>
    </w:p>
    <w:p w14:paraId="64364A88"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3</w:t>
      </w:r>
      <w:r>
        <w:rPr>
          <w:rFonts w:ascii="Times New Roman" w:eastAsia="仿宋_GB2312" w:hAnsi="Times New Roman" w:cs="Times New Roman"/>
          <w:color w:val="000000" w:themeColor="text1"/>
          <w:sz w:val="32"/>
        </w:rPr>
        <w:t>）与食品直接接触的设备设施和工器具，使用后应彻底清洁，使用前严格消毒。</w:t>
      </w:r>
    </w:p>
    <w:p w14:paraId="11D62783"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4</w:t>
      </w:r>
      <w:r>
        <w:rPr>
          <w:rFonts w:ascii="Times New Roman" w:eastAsia="仿宋_GB2312" w:hAnsi="Times New Roman" w:cs="Times New Roman"/>
          <w:color w:val="000000" w:themeColor="text1"/>
          <w:sz w:val="32"/>
        </w:rPr>
        <w:t>）清洁剂和消毒剂使用。除清洁消毒必需和工艺需要，不应在生产场所使用和存放可能污染食品的化学制剂。清洁剂和消毒剂应在专门场所用固定设施贮存，并有明显标识，还应</w:t>
      </w:r>
      <w:proofErr w:type="gramStart"/>
      <w:r>
        <w:rPr>
          <w:rFonts w:ascii="Times New Roman" w:eastAsia="仿宋_GB2312" w:hAnsi="Times New Roman" w:cs="Times New Roman"/>
          <w:color w:val="000000" w:themeColor="text1"/>
          <w:sz w:val="32"/>
        </w:rPr>
        <w:t>设锁并</w:t>
      </w:r>
      <w:proofErr w:type="gramEnd"/>
      <w:r>
        <w:rPr>
          <w:rFonts w:ascii="Times New Roman" w:eastAsia="仿宋_GB2312" w:hAnsi="Times New Roman" w:cs="Times New Roman"/>
          <w:color w:val="000000" w:themeColor="text1"/>
          <w:sz w:val="32"/>
        </w:rPr>
        <w:t>由专人管理，防止污染产品。使用记录应包含领用人员、作业时</w:t>
      </w:r>
      <w:r>
        <w:rPr>
          <w:rFonts w:ascii="Times New Roman" w:eastAsia="仿宋_GB2312" w:hAnsi="Times New Roman" w:cs="Times New Roman"/>
          <w:color w:val="000000" w:themeColor="text1"/>
          <w:sz w:val="32"/>
        </w:rPr>
        <w:lastRenderedPageBreak/>
        <w:t>间、作业区域、用量及浓度等信息。</w:t>
      </w:r>
    </w:p>
    <w:p w14:paraId="5FB699D7"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使用清洁剂和消毒剂对与食品直接接触的设备设施表面、工器具和容器进行清洁消毒的，应考虑清洁消毒对象的材质、用途等因素，合理使用清洁剂和消毒剂，确保在清洁消毒时不与食品接触表面产生化学反应，避免产生化学性残留污染。</w:t>
      </w:r>
    </w:p>
    <w:p w14:paraId="7B38B15B"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sz w:val="32"/>
        </w:rPr>
      </w:pPr>
      <w:r>
        <w:rPr>
          <w:rFonts w:ascii="Times New Roman" w:eastAsia="仿宋_GB2312" w:hAnsi="Times New Roman" w:cs="Times New Roman" w:hint="eastAsia"/>
          <w:color w:val="000000" w:themeColor="text1"/>
          <w:sz w:val="32"/>
        </w:rPr>
        <w:t>第三十一条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建立并执行检验管理及出厂检验记录制度。应包括原料检验、过程检验、出厂检验及产品留样的方式及要求，过程检验包括但不限于对半成品质量、安全指标的监测。产品执行标准规定出厂检验要求的，应按标准规定执行。执行标准未规定出厂检验要求的，企业应综合考虑产品特性、工艺特点、生产过程控制等因素确定检验项</w:t>
      </w:r>
      <w:r>
        <w:rPr>
          <w:rFonts w:ascii="Times New Roman" w:eastAsia="仿宋_GB2312" w:hAnsi="Times New Roman" w:cs="Times New Roman"/>
          <w:color w:val="000000" w:themeColor="text1"/>
          <w:sz w:val="32"/>
        </w:rPr>
        <w:t>目、检验频次、检验方法等检验要求。</w:t>
      </w:r>
    </w:p>
    <w:p w14:paraId="48F8F19C"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（一）自行检验。自行检验的企业应具备与所检项目适应的检验室和检验能力。</w:t>
      </w:r>
      <w:r>
        <w:rPr>
          <w:rFonts w:ascii="Times New Roman" w:eastAsia="仿宋_GB2312" w:hAnsi="Times New Roman" w:cs="Times New Roman"/>
          <w:color w:val="000000" w:themeColor="text1"/>
          <w:sz w:val="32"/>
        </w:rPr>
        <w:t xml:space="preserve"> </w:t>
      </w:r>
    </w:p>
    <w:p w14:paraId="1159C9C3"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（二）委托检验。不能自行检验的，可委托具有检验资质的第三方检测机构进行检验，并妥善保存检验报告。</w:t>
      </w:r>
    </w:p>
    <w:p w14:paraId="3C9DFA62"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三）产品留样。每批产品均应有留样，产品留样间应满足产品贮存条件要求，留样数量应满足复检要求，产品留样应保存至保质期满并有记录。对过期产品进行科学处置，如实、完整记录留样及过期产品处置相关信息。</w:t>
      </w:r>
    </w:p>
    <w:p w14:paraId="139B5274"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sz w:val="32"/>
        </w:rPr>
      </w:pPr>
      <w:r>
        <w:rPr>
          <w:rFonts w:ascii="Times New Roman" w:eastAsia="仿宋_GB2312" w:hAnsi="Times New Roman" w:cs="Times New Roman" w:hint="eastAsia"/>
          <w:color w:val="000000" w:themeColor="text1"/>
          <w:sz w:val="32"/>
        </w:rPr>
        <w:t>第三十二条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建立并执行运输和交付管理制度。企业应根据食品及食品原料的特点和卫生需要规定运输、交付要求。不得与有毒、有害、有异味的物品一同运输。不应使用未经清洗的车辆和未经消毒的容器运输产品。</w:t>
      </w:r>
    </w:p>
    <w:p w14:paraId="48B6DF3E"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sz w:val="32"/>
        </w:rPr>
      </w:pPr>
      <w:r>
        <w:rPr>
          <w:rFonts w:ascii="Times New Roman" w:eastAsia="仿宋_GB2312" w:hAnsi="Times New Roman" w:cs="Times New Roman" w:hint="eastAsia"/>
          <w:color w:val="000000" w:themeColor="text1"/>
          <w:sz w:val="32"/>
        </w:rPr>
        <w:t>第三十三条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建立并执行食品安全追溯制度。如实记录原料采</w:t>
      </w:r>
      <w:r>
        <w:rPr>
          <w:rFonts w:ascii="Times New Roman" w:eastAsia="仿宋_GB2312" w:hAnsi="Times New Roman" w:cs="Times New Roman"/>
          <w:color w:val="000000" w:themeColor="text1"/>
          <w:sz w:val="32"/>
        </w:rPr>
        <w:lastRenderedPageBreak/>
        <w:t>购与验收、生产加工、产品检验、出厂销售等全过程信息，实现产品有效追溯。</w:t>
      </w:r>
      <w:r>
        <w:rPr>
          <w:rFonts w:ascii="Times New Roman" w:eastAsia="仿宋_GB2312" w:hAnsi="Times New Roman" w:cs="Times New Roman"/>
          <w:color w:val="000000" w:themeColor="text1"/>
          <w:sz w:val="32"/>
        </w:rPr>
        <w:t>企业应合理设定产品批次，建立批生产记录，如实记录投料的原料名称、投料数量、产品批号、投料日期等信息。</w:t>
      </w:r>
    </w:p>
    <w:p w14:paraId="2A9F22B8"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sz w:val="32"/>
        </w:rPr>
      </w:pPr>
      <w:r>
        <w:rPr>
          <w:rFonts w:ascii="Times New Roman" w:eastAsia="仿宋_GB2312" w:hAnsi="Times New Roman" w:cs="Times New Roman" w:hint="eastAsia"/>
          <w:color w:val="000000" w:themeColor="text1"/>
          <w:sz w:val="32"/>
        </w:rPr>
        <w:t>第三十四条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建立并执行食品安全自查制度。企业应对本产品生产安全状况进行检查评价，并规定自查频次。</w:t>
      </w:r>
    </w:p>
    <w:p w14:paraId="3603B47A" w14:textId="77777777" w:rsidR="00EE5EFD" w:rsidRDefault="00BA47DC">
      <w:pPr>
        <w:snapToGrid/>
        <w:spacing w:before="0" w:after="0" w:line="560" w:lineRule="exact"/>
        <w:ind w:left="153"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自查内容应包括食品原料、食品添加剂、食品相关产品进货查验情况；生产过程控制情况；人员管理情况；检验管理情况；记录及文件管理情况等。</w:t>
      </w:r>
    </w:p>
    <w:p w14:paraId="472F78AC"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sz w:val="32"/>
        </w:rPr>
      </w:pPr>
      <w:r>
        <w:rPr>
          <w:rFonts w:ascii="Times New Roman" w:eastAsia="仿宋_GB2312" w:hAnsi="Times New Roman" w:cs="Times New Roman" w:hint="eastAsia"/>
          <w:color w:val="000000" w:themeColor="text1"/>
          <w:sz w:val="32"/>
        </w:rPr>
        <w:t>第三十五条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建立并执行不合格品管理及不安全食品召回制度。企业应明确对在验收和生产过程中发现的不合格原料、半成品和成品进行标识、贮存和处置措施，不合格品应与合格品分开放置并明显标记。</w:t>
      </w:r>
      <w:r>
        <w:rPr>
          <w:rFonts w:ascii="Times New Roman" w:eastAsia="仿宋_GB2312" w:hAnsi="Times New Roman" w:cs="Times New Roman"/>
          <w:color w:val="000000" w:themeColor="text1"/>
          <w:sz w:val="32"/>
        </w:rPr>
        <w:t>如实、完整记录不合格品保存和处理情况。企业应对召回的食品采取补救、无害化处置、销毁等措施，如实记录召回和处置情况，并向所在地县级市场监管部门报告。</w:t>
      </w:r>
    </w:p>
    <w:p w14:paraId="03353BD9" w14:textId="77777777" w:rsidR="00EE5EFD" w:rsidRDefault="00BA47DC">
      <w:pPr>
        <w:pStyle w:val="ad"/>
        <w:snapToGrid/>
        <w:spacing w:before="0" w:after="0" w:line="560" w:lineRule="exact"/>
        <w:ind w:right="113" w:firstLine="640"/>
        <w:rPr>
          <w:rFonts w:ascii="Times New Roman" w:eastAsia="仿宋_GB2312" w:hAnsi="Times New Roman" w:cs="Times New Roman"/>
          <w:color w:val="000000" w:themeColor="text1"/>
          <w:sz w:val="32"/>
        </w:rPr>
      </w:pPr>
      <w:r>
        <w:rPr>
          <w:rFonts w:ascii="Times New Roman" w:eastAsia="仿宋_GB2312" w:hAnsi="Times New Roman" w:cs="Times New Roman" w:hint="eastAsia"/>
          <w:color w:val="000000" w:themeColor="text1"/>
          <w:sz w:val="32"/>
        </w:rPr>
        <w:t>第三十六条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其他制度。</w:t>
      </w:r>
    </w:p>
    <w:p w14:paraId="2C45B3BF"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（一）建立并执行食品安全防护制度。应建立食品防护计划，最大限度降低因故意污染、蓄意破坏等人为因素造成食品受到生物、化学、物理方面的风险。</w:t>
      </w:r>
    </w:p>
    <w:p w14:paraId="090D7DE9"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（二）建立并执行仓储管理制度。包括原料仓库管理制度和产品仓库管理制度。</w:t>
      </w:r>
    </w:p>
    <w:p w14:paraId="65A3FDC1"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1</w:t>
      </w:r>
      <w:r>
        <w:rPr>
          <w:rFonts w:ascii="Times New Roman" w:eastAsia="仿宋_GB2312" w:hAnsi="Times New Roman" w:cs="Times New Roman"/>
          <w:color w:val="000000" w:themeColor="text1"/>
          <w:sz w:val="32"/>
        </w:rPr>
        <w:t>）原料仓库。应设专人管理原料仓库，规定仓库卫生检查频次，及时清理变质、超过保质期的食品原料。原料仓库的干、湿料应分离。</w:t>
      </w:r>
    </w:p>
    <w:p w14:paraId="5F4AB219"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lastRenderedPageBreak/>
        <w:t>（</w:t>
      </w:r>
      <w:r>
        <w:rPr>
          <w:rFonts w:ascii="Times New Roman" w:eastAsia="仿宋_GB2312" w:hAnsi="Times New Roman" w:cs="Times New Roman"/>
          <w:color w:val="000000" w:themeColor="text1"/>
          <w:sz w:val="32"/>
        </w:rPr>
        <w:t>2</w:t>
      </w: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菌种保存。发酵用菌种应在适宜温度下贮存，以保持菌种的活力。发酵用菌种应使用专用设备设施存放。</w:t>
      </w:r>
    </w:p>
    <w:p w14:paraId="4F9F52E1"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3</w:t>
      </w:r>
      <w:r>
        <w:rPr>
          <w:rFonts w:ascii="Times New Roman" w:eastAsia="仿宋_GB2312" w:hAnsi="Times New Roman" w:cs="Times New Roman"/>
          <w:color w:val="000000" w:themeColor="text1"/>
          <w:sz w:val="32"/>
        </w:rPr>
        <w:t>）成品仓库。不得将食品与有毒、有害、有异味的物品一同贮存。包装后成品应在产品规定温</w:t>
      </w: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湿度条件下进行贮存。</w:t>
      </w:r>
    </w:p>
    <w:p w14:paraId="2E3B6DDC"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（三）建立并执行废弃物存放和清除制度。应规定废弃物清除频次，必要时应及时清除废弃物，易腐败的废弃物应当尽快清除。废弃培养基和菌体应经无害化处理。盛装废弃物的容器应有特别标识且应构造合理、</w:t>
      </w:r>
      <w:proofErr w:type="gramStart"/>
      <w:r>
        <w:rPr>
          <w:rFonts w:ascii="Times New Roman" w:eastAsia="仿宋_GB2312" w:hAnsi="Times New Roman" w:cs="Times New Roman"/>
          <w:color w:val="000000" w:themeColor="text1"/>
          <w:sz w:val="32"/>
        </w:rPr>
        <w:t>不</w:t>
      </w:r>
      <w:proofErr w:type="gramEnd"/>
      <w:r>
        <w:rPr>
          <w:rFonts w:ascii="Times New Roman" w:eastAsia="仿宋_GB2312" w:hAnsi="Times New Roman" w:cs="Times New Roman"/>
          <w:color w:val="000000" w:themeColor="text1"/>
          <w:sz w:val="32"/>
        </w:rPr>
        <w:t>透水，必要时容器可封闭</w:t>
      </w: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以防止污染产品。</w:t>
      </w:r>
    </w:p>
    <w:p w14:paraId="38F26EE2"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（四）建立并执行工作服清洗保洁制度。工作服及其他工作服配套物品（以下简称工作服</w:t>
      </w:r>
      <w:r>
        <w:rPr>
          <w:rFonts w:ascii="Times New Roman" w:eastAsia="仿宋_GB2312" w:hAnsi="Times New Roman" w:cs="Times New Roman"/>
          <w:color w:val="000000" w:themeColor="text1"/>
          <w:sz w:val="32"/>
        </w:rPr>
        <w:t>）应符合相应的作业区卫生要求。不同清洁作业区的工作服应分开放置，与个人服装、其他物品分开放置。员工不得在相关作业区以外穿着工作服。</w:t>
      </w:r>
      <w:r>
        <w:rPr>
          <w:rFonts w:ascii="Times New Roman" w:eastAsia="仿宋_GB2312" w:hAnsi="Times New Roman" w:cs="Times New Roman"/>
          <w:color w:val="000000" w:themeColor="text1"/>
          <w:sz w:val="32"/>
        </w:rPr>
        <w:t xml:space="preserve"> </w:t>
      </w:r>
    </w:p>
    <w:p w14:paraId="4794A566" w14:textId="77777777" w:rsidR="00EE5EFD" w:rsidRDefault="00BA47DC">
      <w:pPr>
        <w:snapToGrid/>
        <w:spacing w:before="0" w:after="0" w:line="560" w:lineRule="exact"/>
        <w:ind w:right="113"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不同清洁作业区的工作服应从颜色、标识上加以明显区分并分开清洗。准清洁作业区和清洁作业区的工作服应每日进行清洗、更换，一般作业区的工作服可根据实际情况制定清洗、更换的频次。清洗消毒后仍然不能达到预期用途的工作服应及时更换。</w:t>
      </w:r>
    </w:p>
    <w:p w14:paraId="2C9A16F8" w14:textId="77777777" w:rsidR="00EE5EFD" w:rsidRDefault="00BA47DC">
      <w:pPr>
        <w:snapToGrid/>
        <w:spacing w:before="0" w:after="0" w:line="560" w:lineRule="exact"/>
        <w:ind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（五）建立并执行文件管理制度。对文件进行有效管理，确保各相关场所使用的文件均为有效版本。</w:t>
      </w:r>
    </w:p>
    <w:p w14:paraId="2E6FE490" w14:textId="77777777" w:rsidR="00EE5EFD" w:rsidRDefault="00BA47DC">
      <w:pPr>
        <w:snapToGrid/>
        <w:spacing w:before="0" w:after="0" w:line="560" w:lineRule="exact"/>
        <w:ind w:left="153"/>
        <w:jc w:val="center"/>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第七章</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试制产品检验</w:t>
      </w:r>
    </w:p>
    <w:p w14:paraId="15A03232" w14:textId="77777777" w:rsidR="00EE5EFD" w:rsidRDefault="00BA47DC">
      <w:pPr>
        <w:pStyle w:val="ad"/>
        <w:snapToGrid/>
        <w:spacing w:before="0" w:after="0" w:line="560" w:lineRule="exact"/>
        <w:ind w:firstLine="640"/>
        <w:rPr>
          <w:rFonts w:ascii="Times New Roman" w:eastAsia="仿宋_GB2312" w:hAnsi="Times New Roman" w:cs="Times New Roman"/>
          <w:color w:val="000000" w:themeColor="text1"/>
          <w:sz w:val="32"/>
        </w:rPr>
      </w:pPr>
      <w:r>
        <w:rPr>
          <w:rFonts w:ascii="Times New Roman" w:eastAsia="仿宋_GB2312" w:hAnsi="Times New Roman" w:cs="Times New Roman" w:hint="eastAsia"/>
          <w:color w:val="000000" w:themeColor="text1"/>
          <w:sz w:val="32"/>
        </w:rPr>
        <w:t>第三十七条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企业应按所申报其他食品类别和执行标准，提供同一品种、同一批次的试制产品检验合格报告，企业应对检验报告真实性负责。</w:t>
      </w:r>
    </w:p>
    <w:p w14:paraId="3DB25F63" w14:textId="77777777" w:rsidR="00EE5EFD" w:rsidRDefault="00BA47DC">
      <w:pPr>
        <w:pStyle w:val="ad"/>
        <w:snapToGrid/>
        <w:spacing w:before="0" w:after="0" w:line="560" w:lineRule="exact"/>
        <w:ind w:firstLine="640"/>
        <w:rPr>
          <w:rFonts w:ascii="Times New Roman" w:eastAsia="仿宋_GB2312" w:hAnsi="Times New Roman" w:cs="Times New Roman"/>
          <w:color w:val="000000" w:themeColor="text1"/>
          <w:sz w:val="32"/>
        </w:rPr>
      </w:pPr>
      <w:r>
        <w:rPr>
          <w:rFonts w:ascii="Times New Roman" w:eastAsia="仿宋_GB2312" w:hAnsi="Times New Roman" w:cs="Times New Roman" w:hint="eastAsia"/>
          <w:color w:val="000000" w:themeColor="text1"/>
          <w:sz w:val="32"/>
        </w:rPr>
        <w:lastRenderedPageBreak/>
        <w:t>第三十八条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检验项目应符合相应的食品安全国家标准及企业明示的产品执行标准，包括国家标准、行业标准、地方标准、团体标准、企业标准等及国务院卫生行政部门的相关公告的要求。</w:t>
      </w:r>
    </w:p>
    <w:p w14:paraId="7F022DC8" w14:textId="77777777" w:rsidR="00EE5EFD" w:rsidRDefault="00BA47DC">
      <w:pPr>
        <w:pStyle w:val="ad"/>
        <w:snapToGrid/>
        <w:spacing w:before="140" w:after="0" w:line="560" w:lineRule="exact"/>
        <w:ind w:firstLine="640"/>
        <w:rPr>
          <w:rFonts w:ascii="Times New Roman" w:eastAsia="仿宋_GB2312" w:hAnsi="Times New Roman" w:cs="Times New Roman"/>
          <w:color w:val="000000" w:themeColor="text1"/>
          <w:sz w:val="32"/>
        </w:rPr>
      </w:pPr>
      <w:r>
        <w:rPr>
          <w:rFonts w:ascii="Times New Roman" w:eastAsia="仿宋_GB2312" w:hAnsi="Times New Roman" w:cs="Times New Roman" w:hint="eastAsia"/>
          <w:color w:val="000000" w:themeColor="text1"/>
          <w:sz w:val="32"/>
        </w:rPr>
        <w:t>第三十九条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企业应委托有资质的食品检验机构对试制产品检测，出具合格检验报告。试制产品的检验项目应包含附件</w:t>
      </w:r>
      <w:r>
        <w:rPr>
          <w:rFonts w:ascii="Times New Roman" w:eastAsia="仿宋_GB2312" w:hAnsi="Times New Roman" w:cs="Times New Roman"/>
          <w:color w:val="000000" w:themeColor="text1"/>
          <w:sz w:val="32"/>
        </w:rPr>
        <w:t>3</w:t>
      </w:r>
      <w:r>
        <w:rPr>
          <w:rFonts w:ascii="Times New Roman" w:eastAsia="仿宋_GB2312" w:hAnsi="Times New Roman" w:cs="Times New Roman"/>
          <w:color w:val="000000" w:themeColor="text1"/>
          <w:sz w:val="32"/>
        </w:rPr>
        <w:t>中所列项目。</w:t>
      </w:r>
    </w:p>
    <w:p w14:paraId="11A3432D" w14:textId="77777777" w:rsidR="00EE5EFD" w:rsidRDefault="00BA47DC">
      <w:pPr>
        <w:snapToGrid/>
        <w:spacing w:before="140" w:after="0" w:line="560" w:lineRule="exact"/>
        <w:ind w:left="153" w:firstLineChars="190" w:firstLine="608"/>
        <w:jc w:val="center"/>
        <w:rPr>
          <w:rFonts w:ascii="Times New Roman" w:eastAsia="仿宋_GB2312" w:hAnsi="Times New Roman" w:cs="Times New Roman"/>
          <w:color w:val="000000" w:themeColor="text1"/>
        </w:rPr>
      </w:pPr>
      <w:r>
        <w:rPr>
          <w:rFonts w:ascii="Times New Roman" w:eastAsia="仿宋_GB2312" w:hAnsi="Times New Roman" w:cs="Times New Roman"/>
          <w:color w:val="000000" w:themeColor="text1"/>
          <w:sz w:val="32"/>
          <w:szCs w:val="32"/>
        </w:rPr>
        <w:t>第八章</w:t>
      </w:r>
      <w:r>
        <w:rPr>
          <w:rFonts w:ascii="Times New Roman" w:eastAsia="仿宋_GB2312" w:hAnsi="Times New Roman" w:cs="Times New Roman"/>
          <w:color w:val="000000" w:themeColor="text1"/>
          <w:sz w:val="32"/>
          <w:szCs w:val="32"/>
        </w:rPr>
        <w:t xml:space="preserve"> </w:t>
      </w:r>
      <w:r>
        <w:rPr>
          <w:rFonts w:ascii="Times New Roman" w:eastAsia="仿宋_GB2312" w:hAnsi="Times New Roman" w:cs="Times New Roman"/>
          <w:color w:val="000000" w:themeColor="text1"/>
          <w:sz w:val="32"/>
          <w:szCs w:val="32"/>
        </w:rPr>
        <w:t>本类其他食品的附加审查要求</w:t>
      </w:r>
    </w:p>
    <w:p w14:paraId="3F54D004" w14:textId="77777777" w:rsidR="00EE5EFD" w:rsidRDefault="00BA47DC">
      <w:pPr>
        <w:pStyle w:val="ad"/>
        <w:tabs>
          <w:tab w:val="left" w:pos="1282"/>
        </w:tabs>
        <w:snapToGrid/>
        <w:spacing w:before="0" w:after="0" w:line="560" w:lineRule="exact"/>
        <w:ind w:firstLine="640"/>
        <w:rPr>
          <w:rFonts w:ascii="Times New Roman" w:eastAsia="仿宋_GB2312" w:hAnsi="Times New Roman" w:cs="Times New Roman"/>
          <w:color w:val="000000" w:themeColor="text1"/>
        </w:rPr>
      </w:pPr>
      <w:r>
        <w:rPr>
          <w:rFonts w:ascii="Times New Roman" w:eastAsia="仿宋_GB2312" w:hAnsi="Times New Roman" w:cs="Times New Roman" w:hint="eastAsia"/>
          <w:color w:val="000000" w:themeColor="text1"/>
          <w:sz w:val="32"/>
        </w:rPr>
        <w:t>第四十条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企业按照</w:t>
      </w: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其他食品</w:t>
      </w: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类别申请生产新食品原料还应执行的要求。</w:t>
      </w:r>
    </w:p>
    <w:p w14:paraId="33BD0BE9" w14:textId="77777777" w:rsidR="00EE5EFD" w:rsidRDefault="00BA47DC">
      <w:pPr>
        <w:tabs>
          <w:tab w:val="left" w:pos="1282"/>
        </w:tabs>
        <w:snapToGrid/>
        <w:spacing w:before="0" w:after="0" w:line="560" w:lineRule="exact"/>
        <w:ind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（一）生产本产品原料的标注名称应与国家卫生健康委员会公布的可以用于普通食品的新食品原料名称一致。</w:t>
      </w:r>
    </w:p>
    <w:p w14:paraId="767EB70B" w14:textId="77777777" w:rsidR="00EE5EFD" w:rsidRDefault="00BA47DC">
      <w:pPr>
        <w:tabs>
          <w:tab w:val="left" w:pos="1282"/>
        </w:tabs>
        <w:snapToGrid/>
        <w:spacing w:before="0" w:after="0" w:line="560" w:lineRule="exact"/>
        <w:ind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（二）产品标签上应按照相关公告规定标示</w:t>
      </w: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不适宜人群</w:t>
      </w: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和</w:t>
      </w: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食用限量</w:t>
      </w:r>
      <w:r>
        <w:rPr>
          <w:rFonts w:ascii="Times New Roman" w:eastAsia="仿宋_GB2312" w:hAnsi="Times New Roman" w:cs="Times New Roman"/>
          <w:color w:val="000000" w:themeColor="text1"/>
          <w:sz w:val="32"/>
        </w:rPr>
        <w:t>”</w:t>
      </w:r>
      <w:r>
        <w:rPr>
          <w:rFonts w:ascii="Times New Roman" w:eastAsia="仿宋_GB2312" w:hAnsi="Times New Roman" w:cs="Times New Roman"/>
          <w:color w:val="000000" w:themeColor="text1"/>
          <w:sz w:val="32"/>
        </w:rPr>
        <w:t>等信息，不得含有虚假内容，不得涉及疾病预防、治疗功能。</w:t>
      </w:r>
    </w:p>
    <w:p w14:paraId="7641132F" w14:textId="77777777" w:rsidR="00EE5EFD" w:rsidRDefault="00BA47DC">
      <w:pPr>
        <w:tabs>
          <w:tab w:val="left" w:pos="1282"/>
        </w:tabs>
        <w:snapToGrid/>
        <w:spacing w:before="0" w:after="0" w:line="560" w:lineRule="exact"/>
        <w:ind w:firstLineChars="200" w:firstLine="64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（三）生产本产品原料的来源应当符合相应食品安全国家标准、</w:t>
      </w:r>
      <w:r>
        <w:rPr>
          <w:rFonts w:ascii="Times New Roman" w:eastAsia="仿宋_GB2312" w:hAnsi="Times New Roman" w:cs="Times New Roman"/>
          <w:color w:val="000000" w:themeColor="text1"/>
          <w:sz w:val="32"/>
        </w:rPr>
        <w:t xml:space="preserve"> </w:t>
      </w:r>
      <w:r>
        <w:rPr>
          <w:rFonts w:ascii="Times New Roman" w:eastAsia="仿宋_GB2312" w:hAnsi="Times New Roman" w:cs="Times New Roman"/>
          <w:color w:val="000000" w:themeColor="text1"/>
          <w:sz w:val="32"/>
        </w:rPr>
        <w:t>国务院卫生行政部门公告。</w:t>
      </w:r>
    </w:p>
    <w:p w14:paraId="3989EB62" w14:textId="77777777" w:rsidR="00EE5EFD" w:rsidRDefault="00BA47DC">
      <w:pPr>
        <w:tabs>
          <w:tab w:val="left" w:pos="1282"/>
        </w:tabs>
        <w:snapToGrid/>
        <w:spacing w:before="0" w:after="0" w:line="560" w:lineRule="exact"/>
        <w:ind w:firstLineChars="200" w:firstLine="640"/>
        <w:jc w:val="center"/>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第</w:t>
      </w:r>
      <w:r>
        <w:rPr>
          <w:rFonts w:ascii="Times New Roman" w:eastAsia="仿宋_GB2312" w:hAnsi="Times New Roman" w:cs="Times New Roman"/>
          <w:bCs/>
          <w:color w:val="000000" w:themeColor="text1"/>
          <w:sz w:val="32"/>
          <w:szCs w:val="32"/>
        </w:rPr>
        <w:t>九</w:t>
      </w:r>
      <w:r>
        <w:rPr>
          <w:rFonts w:ascii="Times New Roman" w:eastAsia="仿宋_GB2312" w:hAnsi="Times New Roman" w:cs="Times New Roman"/>
          <w:color w:val="000000" w:themeColor="text1"/>
          <w:sz w:val="32"/>
          <w:szCs w:val="32"/>
        </w:rPr>
        <w:t>章</w:t>
      </w:r>
      <w:r>
        <w:rPr>
          <w:rFonts w:ascii="Times New Roman" w:eastAsia="仿宋_GB2312" w:hAnsi="Times New Roman" w:cs="Times New Roman"/>
          <w:color w:val="000000" w:themeColor="text1"/>
          <w:sz w:val="32"/>
          <w:szCs w:val="32"/>
        </w:rPr>
        <w:t xml:space="preserve"> </w:t>
      </w:r>
      <w:r>
        <w:rPr>
          <w:rFonts w:ascii="Times New Roman" w:eastAsia="仿宋_GB2312" w:hAnsi="Times New Roman" w:cs="Times New Roman"/>
          <w:bCs/>
          <w:color w:val="000000" w:themeColor="text1"/>
          <w:sz w:val="32"/>
          <w:szCs w:val="32"/>
        </w:rPr>
        <w:t>附则</w:t>
      </w:r>
    </w:p>
    <w:p w14:paraId="7B17EB6F" w14:textId="77777777" w:rsidR="00EE5EFD" w:rsidRDefault="00BA47DC">
      <w:pPr>
        <w:pStyle w:val="ad"/>
        <w:tabs>
          <w:tab w:val="left" w:pos="1282"/>
        </w:tabs>
        <w:snapToGrid/>
        <w:spacing w:before="0" w:after="0" w:line="560" w:lineRule="exact"/>
        <w:ind w:firstLine="640"/>
        <w:rPr>
          <w:rFonts w:ascii="Times New Roman" w:eastAsia="仿宋_GB2312" w:hAnsi="Times New Roman" w:cs="Times New Roman"/>
          <w:color w:val="000000" w:themeColor="text1"/>
        </w:rPr>
      </w:pPr>
      <w:r>
        <w:rPr>
          <w:rFonts w:ascii="Times New Roman" w:eastAsia="仿宋_GB2312" w:hAnsi="Times New Roman" w:cs="Times New Roman" w:hint="eastAsia"/>
          <w:color w:val="000000" w:themeColor="text1"/>
          <w:sz w:val="32"/>
        </w:rPr>
        <w:t>第四十一条</w:t>
      </w:r>
      <w:r>
        <w:rPr>
          <w:rFonts w:ascii="Times New Roman" w:eastAsia="仿宋_GB2312" w:hAnsi="Times New Roman" w:cs="Times New Roman" w:hint="eastAsia"/>
          <w:color w:val="000000" w:themeColor="text1"/>
          <w:sz w:val="32"/>
        </w:rPr>
        <w:t xml:space="preserve"> </w:t>
      </w:r>
      <w:r>
        <w:rPr>
          <w:rFonts w:ascii="Times New Roman" w:eastAsia="仿宋_GB2312" w:hAnsi="Times New Roman" w:cs="Times New Roman"/>
          <w:color w:val="000000" w:themeColor="text1"/>
          <w:sz w:val="32"/>
        </w:rPr>
        <w:t>本细则自发布之日起施行。</w:t>
      </w:r>
      <w:bookmarkEnd w:id="4"/>
    </w:p>
    <w:p w14:paraId="5FB0038C" w14:textId="77777777" w:rsidR="00EE5EFD" w:rsidRDefault="00EE5EFD">
      <w:pPr>
        <w:tabs>
          <w:tab w:val="left" w:pos="1282"/>
        </w:tabs>
        <w:snapToGrid/>
        <w:spacing w:before="0" w:after="0" w:line="560" w:lineRule="exact"/>
        <w:rPr>
          <w:rFonts w:ascii="Times New Roman" w:eastAsia="仿宋_GB2312" w:hAnsi="Times New Roman" w:cs="Times New Roman"/>
          <w:color w:val="000000" w:themeColor="text1"/>
          <w:sz w:val="32"/>
        </w:rPr>
      </w:pPr>
    </w:p>
    <w:p w14:paraId="7E85065F" w14:textId="77777777" w:rsidR="00EE5EFD" w:rsidRDefault="00EE5EFD">
      <w:pPr>
        <w:tabs>
          <w:tab w:val="left" w:pos="1282"/>
        </w:tabs>
        <w:snapToGrid/>
        <w:spacing w:before="0" w:after="0" w:line="560" w:lineRule="exact"/>
        <w:rPr>
          <w:rFonts w:ascii="Times New Roman" w:eastAsia="仿宋_GB2312" w:hAnsi="Times New Roman" w:cs="Times New Roman"/>
          <w:color w:val="000000" w:themeColor="text1"/>
          <w:sz w:val="32"/>
        </w:rPr>
      </w:pPr>
    </w:p>
    <w:p w14:paraId="505255A9" w14:textId="77777777" w:rsidR="00EE5EFD" w:rsidRDefault="00EE5EFD">
      <w:pPr>
        <w:tabs>
          <w:tab w:val="left" w:pos="1282"/>
        </w:tabs>
        <w:snapToGrid/>
        <w:spacing w:before="0" w:after="0" w:line="560" w:lineRule="exact"/>
        <w:ind w:right="113"/>
        <w:rPr>
          <w:rFonts w:ascii="Times New Roman" w:eastAsia="仿宋_GB2312" w:hAnsi="Times New Roman" w:cs="Times New Roman"/>
          <w:color w:val="000000" w:themeColor="text1"/>
          <w:sz w:val="32"/>
        </w:rPr>
      </w:pPr>
    </w:p>
    <w:p w14:paraId="01AD04A6" w14:textId="77777777" w:rsidR="00EE5EFD" w:rsidRDefault="00EE5EFD">
      <w:pPr>
        <w:tabs>
          <w:tab w:val="left" w:pos="1282"/>
        </w:tabs>
        <w:snapToGrid/>
        <w:spacing w:before="0" w:after="0" w:line="560" w:lineRule="exact"/>
        <w:ind w:right="113"/>
        <w:rPr>
          <w:rFonts w:ascii="Times New Roman" w:eastAsia="仿宋_GB2312" w:hAnsi="Times New Roman" w:cs="Times New Roman"/>
          <w:color w:val="000000" w:themeColor="text1"/>
          <w:sz w:val="32"/>
        </w:rPr>
      </w:pPr>
    </w:p>
    <w:p w14:paraId="7B709D0E" w14:textId="77777777" w:rsidR="00EE5EFD" w:rsidRDefault="00EE5EFD">
      <w:pPr>
        <w:tabs>
          <w:tab w:val="left" w:pos="1282"/>
        </w:tabs>
        <w:snapToGrid/>
        <w:spacing w:before="0" w:after="0" w:line="560" w:lineRule="exact"/>
        <w:ind w:right="113"/>
        <w:rPr>
          <w:rFonts w:ascii="Times New Roman" w:eastAsia="仿宋_GB2312" w:hAnsi="Times New Roman" w:cs="Times New Roman" w:hint="eastAsia"/>
          <w:color w:val="000000" w:themeColor="text1"/>
          <w:sz w:val="32"/>
        </w:rPr>
      </w:pPr>
    </w:p>
    <w:p w14:paraId="2A461A46" w14:textId="77777777" w:rsidR="00EE5EFD" w:rsidRDefault="00BA47DC">
      <w:pPr>
        <w:tabs>
          <w:tab w:val="left" w:pos="1282"/>
        </w:tabs>
        <w:snapToGrid/>
        <w:spacing w:before="0" w:after="0" w:line="560" w:lineRule="exact"/>
        <w:ind w:right="113"/>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lastRenderedPageBreak/>
        <w:t>附件：</w:t>
      </w:r>
    </w:p>
    <w:p w14:paraId="5E6AB064" w14:textId="77777777" w:rsidR="00EE5EFD" w:rsidRDefault="00BA47DC">
      <w:pPr>
        <w:numPr>
          <w:ilvl w:val="0"/>
          <w:numId w:val="1"/>
        </w:numPr>
        <w:tabs>
          <w:tab w:val="left" w:pos="1282"/>
        </w:tabs>
        <w:snapToGrid/>
        <w:spacing w:before="0" w:after="0" w:line="560" w:lineRule="exact"/>
        <w:ind w:left="-272" w:right="113" w:firstLineChars="100" w:firstLine="32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N-</w:t>
      </w:r>
      <w:r>
        <w:rPr>
          <w:rFonts w:ascii="Times New Roman" w:eastAsia="仿宋_GB2312" w:hAnsi="Times New Roman" w:cs="Times New Roman"/>
          <w:color w:val="000000" w:themeColor="text1"/>
          <w:sz w:val="32"/>
        </w:rPr>
        <w:t>乙酰神经氨酸生产设备设施和工艺流程</w:t>
      </w:r>
    </w:p>
    <w:p w14:paraId="3DFDD8AD" w14:textId="77777777" w:rsidR="00EE5EFD" w:rsidRDefault="00BA47DC">
      <w:pPr>
        <w:numPr>
          <w:ilvl w:val="0"/>
          <w:numId w:val="1"/>
        </w:numPr>
        <w:tabs>
          <w:tab w:val="left" w:pos="1282"/>
        </w:tabs>
        <w:snapToGrid/>
        <w:spacing w:before="0" w:after="0" w:line="560" w:lineRule="exact"/>
        <w:ind w:left="-272" w:right="113" w:firstLineChars="100" w:firstLine="320"/>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rPr>
        <w:t>N-</w:t>
      </w:r>
      <w:r>
        <w:rPr>
          <w:rFonts w:ascii="Times New Roman" w:eastAsia="仿宋_GB2312" w:hAnsi="Times New Roman" w:cs="Times New Roman"/>
          <w:color w:val="000000" w:themeColor="text1"/>
          <w:sz w:val="32"/>
        </w:rPr>
        <w:t>乙酰神经氨酸生产涉及的主要标准</w:t>
      </w:r>
    </w:p>
    <w:p w14:paraId="4E6E3159" w14:textId="77777777" w:rsidR="00EE5EFD" w:rsidRDefault="00BA47DC">
      <w:pPr>
        <w:numPr>
          <w:ilvl w:val="0"/>
          <w:numId w:val="1"/>
        </w:numPr>
        <w:tabs>
          <w:tab w:val="left" w:pos="1282"/>
        </w:tabs>
        <w:snapToGrid/>
        <w:spacing w:before="0" w:after="0" w:line="560" w:lineRule="exact"/>
        <w:ind w:left="-272" w:right="113" w:firstLineChars="100" w:firstLine="32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rPr>
        <w:t>N-</w:t>
      </w:r>
      <w:r>
        <w:rPr>
          <w:rFonts w:ascii="Times New Roman" w:eastAsia="仿宋_GB2312" w:hAnsi="Times New Roman" w:cs="Times New Roman"/>
          <w:color w:val="000000" w:themeColor="text1"/>
          <w:sz w:val="32"/>
        </w:rPr>
        <w:t>乙酰神经氨酸检验项目与方法</w:t>
      </w:r>
    </w:p>
    <w:p w14:paraId="74680EA0" w14:textId="77777777" w:rsidR="00EE5EFD" w:rsidRDefault="00BA47DC">
      <w:pPr>
        <w:tabs>
          <w:tab w:val="left" w:pos="1282"/>
        </w:tabs>
        <w:snapToGrid/>
        <w:spacing w:before="0" w:after="0" w:line="560" w:lineRule="exact"/>
        <w:ind w:left="-272" w:right="113" w:firstLineChars="100" w:firstLine="32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附件</w:t>
      </w:r>
      <w:r>
        <w:rPr>
          <w:rFonts w:ascii="Times New Roman" w:eastAsia="仿宋_GB2312" w:hAnsi="Times New Roman" w:cs="Times New Roman"/>
          <w:color w:val="000000" w:themeColor="text1"/>
          <w:sz w:val="32"/>
          <w:szCs w:val="32"/>
        </w:rPr>
        <w:t>1</w:t>
      </w:r>
    </w:p>
    <w:p w14:paraId="57061486" w14:textId="77777777" w:rsidR="00EE5EFD" w:rsidRDefault="00BA47DC">
      <w:pPr>
        <w:tabs>
          <w:tab w:val="left" w:pos="1282"/>
        </w:tabs>
        <w:snapToGrid/>
        <w:spacing w:before="0" w:after="0" w:line="560" w:lineRule="exact"/>
        <w:ind w:left="153" w:right="113"/>
        <w:jc w:val="center"/>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N-</w:t>
      </w:r>
      <w:r>
        <w:rPr>
          <w:rFonts w:ascii="Times New Roman" w:eastAsia="仿宋_GB2312" w:hAnsi="Times New Roman" w:cs="Times New Roman"/>
          <w:color w:val="000000" w:themeColor="text1"/>
          <w:sz w:val="32"/>
          <w:szCs w:val="32"/>
        </w:rPr>
        <w:t>乙酰神经氨酸生产设备设施和工艺流程</w:t>
      </w:r>
    </w:p>
    <w:tbl>
      <w:tblPr>
        <w:tblStyle w:val="ac"/>
        <w:tblW w:w="9300" w:type="dxa"/>
        <w:tblInd w:w="149" w:type="dxa"/>
        <w:tblLayout w:type="fixed"/>
        <w:tblLook w:val="04A0" w:firstRow="1" w:lastRow="0" w:firstColumn="1" w:lastColumn="0" w:noHBand="0" w:noVBand="1"/>
      </w:tblPr>
      <w:tblGrid>
        <w:gridCol w:w="1250"/>
        <w:gridCol w:w="2050"/>
        <w:gridCol w:w="6000"/>
      </w:tblGrid>
      <w:tr w:rsidR="00EE5EFD" w14:paraId="27D4DC25" w14:textId="77777777">
        <w:trPr>
          <w:trHeight w:val="38"/>
        </w:trPr>
        <w:tc>
          <w:tcPr>
            <w:tcW w:w="12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F4E3106"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序号</w:t>
            </w:r>
          </w:p>
        </w:tc>
        <w:tc>
          <w:tcPr>
            <w:tcW w:w="20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5BB6C94"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工艺流程</w:t>
            </w:r>
          </w:p>
        </w:tc>
        <w:tc>
          <w:tcPr>
            <w:tcW w:w="6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241227C"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设备设施</w:t>
            </w:r>
          </w:p>
        </w:tc>
      </w:tr>
      <w:tr w:rsidR="00EE5EFD" w14:paraId="3F37DADB" w14:textId="77777777">
        <w:trPr>
          <w:trHeight w:val="38"/>
        </w:trPr>
        <w:tc>
          <w:tcPr>
            <w:tcW w:w="12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C0E3CE7"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w:t>
            </w:r>
          </w:p>
        </w:tc>
        <w:tc>
          <w:tcPr>
            <w:tcW w:w="20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9432C01"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配料投料</w:t>
            </w:r>
          </w:p>
        </w:tc>
        <w:tc>
          <w:tcPr>
            <w:tcW w:w="6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0FC0425"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bookmarkStart w:id="5" w:name="_Hlk203691010"/>
            <w:r>
              <w:rPr>
                <w:rFonts w:ascii="Times New Roman" w:eastAsia="仿宋_GB2312" w:hAnsi="Times New Roman" w:cs="Times New Roman"/>
                <w:color w:val="000000" w:themeColor="text1"/>
                <w:kern w:val="0"/>
                <w:sz w:val="30"/>
                <w:szCs w:val="30"/>
                <w:lang w:bidi="ar"/>
              </w:rPr>
              <w:t>电子台秤、电子天平、配料罐</w:t>
            </w:r>
            <w:bookmarkEnd w:id="5"/>
          </w:p>
        </w:tc>
      </w:tr>
      <w:tr w:rsidR="00EE5EFD" w14:paraId="4D8A553A" w14:textId="77777777">
        <w:trPr>
          <w:trHeight w:val="38"/>
        </w:trPr>
        <w:tc>
          <w:tcPr>
            <w:tcW w:w="12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CD3CE1C"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2</w:t>
            </w:r>
          </w:p>
        </w:tc>
        <w:tc>
          <w:tcPr>
            <w:tcW w:w="20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496FE1C"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发酵</w:t>
            </w:r>
          </w:p>
        </w:tc>
        <w:tc>
          <w:tcPr>
            <w:tcW w:w="6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F9F4E43" w14:textId="77777777" w:rsidR="00EE5EFD" w:rsidRDefault="00BA47DC">
            <w:pPr>
              <w:spacing w:before="0" w:after="0" w:line="560" w:lineRule="exact"/>
              <w:ind w:left="153" w:right="113"/>
              <w:rPr>
                <w:rFonts w:ascii="Times New Roman" w:eastAsia="仿宋_GB2312" w:hAnsi="Times New Roman" w:cs="Times New Roman"/>
                <w:color w:val="000000" w:themeColor="text1"/>
                <w:kern w:val="0"/>
                <w:sz w:val="30"/>
                <w:szCs w:val="30"/>
                <w:lang w:bidi="ar"/>
              </w:rPr>
            </w:pPr>
            <w:r>
              <w:rPr>
                <w:rFonts w:ascii="Times New Roman" w:eastAsia="仿宋_GB2312" w:hAnsi="Times New Roman" w:cs="Times New Roman"/>
                <w:color w:val="000000" w:themeColor="text1"/>
                <w:kern w:val="0"/>
                <w:sz w:val="30"/>
                <w:szCs w:val="30"/>
                <w:lang w:bidi="ar"/>
              </w:rPr>
              <w:t>发酵罐、补糖罐、氨水罐及其辅助料罐</w:t>
            </w:r>
          </w:p>
        </w:tc>
      </w:tr>
      <w:tr w:rsidR="00EE5EFD" w14:paraId="11260477" w14:textId="77777777">
        <w:trPr>
          <w:trHeight w:val="38"/>
        </w:trPr>
        <w:tc>
          <w:tcPr>
            <w:tcW w:w="12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EF479B2"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3</w:t>
            </w:r>
          </w:p>
        </w:tc>
        <w:tc>
          <w:tcPr>
            <w:tcW w:w="20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3ED8386"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过滤</w:t>
            </w:r>
          </w:p>
        </w:tc>
        <w:tc>
          <w:tcPr>
            <w:tcW w:w="6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9DB67B3" w14:textId="77777777" w:rsidR="00EE5EFD" w:rsidRDefault="00BA47DC">
            <w:pPr>
              <w:spacing w:before="0" w:after="0" w:line="560" w:lineRule="exact"/>
              <w:ind w:left="153" w:right="113"/>
              <w:rPr>
                <w:rFonts w:ascii="Times New Roman" w:eastAsia="仿宋_GB2312" w:hAnsi="Times New Roman" w:cs="Times New Roman"/>
                <w:color w:val="000000" w:themeColor="text1"/>
                <w:kern w:val="0"/>
                <w:sz w:val="30"/>
                <w:szCs w:val="30"/>
                <w:lang w:bidi="ar"/>
              </w:rPr>
            </w:pPr>
            <w:r>
              <w:rPr>
                <w:rFonts w:ascii="Times New Roman" w:eastAsia="仿宋_GB2312" w:hAnsi="Times New Roman" w:cs="Times New Roman"/>
                <w:color w:val="000000" w:themeColor="text1"/>
                <w:kern w:val="0"/>
                <w:sz w:val="30"/>
                <w:szCs w:val="30"/>
                <w:lang w:bidi="ar"/>
              </w:rPr>
              <w:t>膜过滤系统、微滤清液罐、菌体干燥进料罐</w:t>
            </w:r>
          </w:p>
        </w:tc>
      </w:tr>
      <w:tr w:rsidR="00EE5EFD" w14:paraId="7A13F82F" w14:textId="77777777">
        <w:trPr>
          <w:trHeight w:val="38"/>
        </w:trPr>
        <w:tc>
          <w:tcPr>
            <w:tcW w:w="12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A85F2D0"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4</w:t>
            </w:r>
          </w:p>
        </w:tc>
        <w:tc>
          <w:tcPr>
            <w:tcW w:w="20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FC10E7E"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灭菌</w:t>
            </w:r>
          </w:p>
        </w:tc>
        <w:tc>
          <w:tcPr>
            <w:tcW w:w="6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C55FE92" w14:textId="77777777" w:rsidR="00EE5EFD" w:rsidRDefault="00BA47DC">
            <w:pPr>
              <w:spacing w:before="0" w:after="0" w:line="560" w:lineRule="exact"/>
              <w:ind w:left="153" w:right="113"/>
              <w:rPr>
                <w:rFonts w:ascii="Times New Roman" w:eastAsia="仿宋_GB2312" w:hAnsi="Times New Roman" w:cs="Times New Roman"/>
                <w:color w:val="000000" w:themeColor="text1"/>
                <w:kern w:val="0"/>
                <w:sz w:val="30"/>
                <w:szCs w:val="30"/>
                <w:lang w:bidi="ar"/>
              </w:rPr>
            </w:pPr>
            <w:r>
              <w:rPr>
                <w:rFonts w:ascii="Times New Roman" w:eastAsia="仿宋_GB2312" w:hAnsi="Times New Roman" w:cs="Times New Roman"/>
                <w:color w:val="000000" w:themeColor="text1"/>
                <w:kern w:val="0"/>
                <w:sz w:val="30"/>
                <w:szCs w:val="30"/>
                <w:lang w:bidi="ar"/>
              </w:rPr>
              <w:t>灭菌罐</w:t>
            </w:r>
          </w:p>
        </w:tc>
      </w:tr>
      <w:tr w:rsidR="00EE5EFD" w14:paraId="5751AA3D" w14:textId="77777777">
        <w:trPr>
          <w:trHeight w:val="38"/>
        </w:trPr>
        <w:tc>
          <w:tcPr>
            <w:tcW w:w="12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B251869"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5</w:t>
            </w:r>
          </w:p>
        </w:tc>
        <w:tc>
          <w:tcPr>
            <w:tcW w:w="20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9265F5F"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水解</w:t>
            </w:r>
          </w:p>
        </w:tc>
        <w:tc>
          <w:tcPr>
            <w:tcW w:w="6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025704B" w14:textId="77777777" w:rsidR="00EE5EFD" w:rsidRDefault="00BA47DC">
            <w:pPr>
              <w:spacing w:before="0" w:after="0" w:line="560" w:lineRule="exact"/>
              <w:ind w:left="153" w:right="113"/>
              <w:rPr>
                <w:rFonts w:ascii="Times New Roman" w:eastAsia="仿宋_GB2312" w:hAnsi="Times New Roman" w:cs="Times New Roman"/>
                <w:color w:val="000000" w:themeColor="text1"/>
                <w:kern w:val="0"/>
                <w:sz w:val="30"/>
                <w:szCs w:val="30"/>
                <w:lang w:bidi="ar"/>
              </w:rPr>
            </w:pPr>
            <w:r>
              <w:rPr>
                <w:rFonts w:ascii="Times New Roman" w:eastAsia="仿宋_GB2312" w:hAnsi="Times New Roman" w:cs="Times New Roman"/>
                <w:color w:val="000000" w:themeColor="text1"/>
                <w:kern w:val="0"/>
                <w:sz w:val="30"/>
                <w:szCs w:val="30"/>
                <w:lang w:bidi="ar"/>
              </w:rPr>
              <w:t>水解罐</w:t>
            </w:r>
          </w:p>
        </w:tc>
      </w:tr>
      <w:tr w:rsidR="00EE5EFD" w14:paraId="570DCC98" w14:textId="77777777">
        <w:trPr>
          <w:trHeight w:val="38"/>
        </w:trPr>
        <w:tc>
          <w:tcPr>
            <w:tcW w:w="12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2FCBA74"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6</w:t>
            </w:r>
          </w:p>
        </w:tc>
        <w:tc>
          <w:tcPr>
            <w:tcW w:w="20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489DB3D"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提纯</w:t>
            </w:r>
          </w:p>
        </w:tc>
        <w:tc>
          <w:tcPr>
            <w:tcW w:w="6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7ACB0F8" w14:textId="77777777" w:rsidR="00EE5EFD" w:rsidRDefault="00BA47DC">
            <w:pPr>
              <w:spacing w:before="0" w:after="0" w:line="560" w:lineRule="exact"/>
              <w:ind w:left="153" w:right="113"/>
              <w:rPr>
                <w:rFonts w:ascii="Times New Roman" w:eastAsia="仿宋_GB2312" w:hAnsi="Times New Roman" w:cs="Times New Roman"/>
                <w:color w:val="000000" w:themeColor="text1"/>
                <w:kern w:val="0"/>
                <w:sz w:val="30"/>
                <w:szCs w:val="30"/>
                <w:lang w:bidi="ar"/>
              </w:rPr>
            </w:pPr>
            <w:r>
              <w:rPr>
                <w:rFonts w:ascii="Times New Roman" w:eastAsia="仿宋_GB2312" w:hAnsi="Times New Roman" w:cs="Times New Roman"/>
                <w:color w:val="000000" w:themeColor="text1"/>
                <w:kern w:val="0"/>
                <w:sz w:val="30"/>
                <w:szCs w:val="30"/>
                <w:lang w:bidi="ar"/>
              </w:rPr>
              <w:t>离子交换柱、过滤清液罐、解脱液罐、脱色</w:t>
            </w:r>
            <w:proofErr w:type="gramStart"/>
            <w:r>
              <w:rPr>
                <w:rFonts w:ascii="Times New Roman" w:eastAsia="仿宋_GB2312" w:hAnsi="Times New Roman" w:cs="Times New Roman"/>
                <w:color w:val="000000" w:themeColor="text1"/>
                <w:kern w:val="0"/>
                <w:sz w:val="30"/>
                <w:szCs w:val="30"/>
                <w:lang w:bidi="ar"/>
              </w:rPr>
              <w:t>加碳罐</w:t>
            </w:r>
            <w:proofErr w:type="gramEnd"/>
            <w:r>
              <w:rPr>
                <w:rFonts w:ascii="Times New Roman" w:eastAsia="仿宋_GB2312" w:hAnsi="Times New Roman" w:cs="Times New Roman"/>
                <w:color w:val="000000" w:themeColor="text1"/>
                <w:kern w:val="0"/>
                <w:sz w:val="30"/>
                <w:szCs w:val="30"/>
                <w:lang w:bidi="ar"/>
              </w:rPr>
              <w:t>、过滤罐</w:t>
            </w:r>
          </w:p>
        </w:tc>
      </w:tr>
      <w:tr w:rsidR="00EE5EFD" w14:paraId="1563F11A" w14:textId="77777777">
        <w:trPr>
          <w:trHeight w:val="38"/>
        </w:trPr>
        <w:tc>
          <w:tcPr>
            <w:tcW w:w="12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76ECD64"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7</w:t>
            </w:r>
          </w:p>
        </w:tc>
        <w:tc>
          <w:tcPr>
            <w:tcW w:w="20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0CA5DEF"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结晶</w:t>
            </w:r>
          </w:p>
        </w:tc>
        <w:tc>
          <w:tcPr>
            <w:tcW w:w="6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E823CD0" w14:textId="77777777" w:rsidR="00EE5EFD" w:rsidRDefault="00BA47DC">
            <w:pPr>
              <w:spacing w:before="0" w:after="0" w:line="560" w:lineRule="exact"/>
              <w:ind w:left="153" w:right="113"/>
              <w:rPr>
                <w:rFonts w:ascii="Times New Roman" w:eastAsia="仿宋_GB2312" w:hAnsi="Times New Roman" w:cs="Times New Roman"/>
                <w:color w:val="000000" w:themeColor="text1"/>
                <w:kern w:val="0"/>
                <w:sz w:val="30"/>
                <w:szCs w:val="30"/>
                <w:lang w:bidi="ar"/>
              </w:rPr>
            </w:pPr>
            <w:r>
              <w:rPr>
                <w:rFonts w:ascii="Times New Roman" w:eastAsia="仿宋_GB2312" w:hAnsi="Times New Roman" w:cs="Times New Roman"/>
                <w:color w:val="000000" w:themeColor="text1"/>
                <w:kern w:val="0"/>
                <w:sz w:val="30"/>
                <w:szCs w:val="30"/>
                <w:lang w:bidi="ar"/>
              </w:rPr>
              <w:t>单效中央循环管蒸发器、温控蒸发结晶罐</w:t>
            </w:r>
          </w:p>
        </w:tc>
      </w:tr>
      <w:tr w:rsidR="00EE5EFD" w14:paraId="381ED11A" w14:textId="77777777">
        <w:trPr>
          <w:trHeight w:val="38"/>
        </w:trPr>
        <w:tc>
          <w:tcPr>
            <w:tcW w:w="12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62522ED"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8</w:t>
            </w:r>
          </w:p>
        </w:tc>
        <w:tc>
          <w:tcPr>
            <w:tcW w:w="20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9B9A594"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离心</w:t>
            </w:r>
          </w:p>
        </w:tc>
        <w:tc>
          <w:tcPr>
            <w:tcW w:w="6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212038B" w14:textId="77777777" w:rsidR="00EE5EFD" w:rsidRDefault="00BA47DC">
            <w:pPr>
              <w:spacing w:before="0" w:after="0" w:line="560" w:lineRule="exact"/>
              <w:ind w:left="153" w:right="113"/>
              <w:rPr>
                <w:rFonts w:ascii="Times New Roman" w:eastAsia="仿宋_GB2312" w:hAnsi="Times New Roman" w:cs="Times New Roman"/>
                <w:color w:val="000000" w:themeColor="text1"/>
                <w:kern w:val="0"/>
                <w:sz w:val="30"/>
                <w:szCs w:val="30"/>
                <w:lang w:bidi="ar"/>
              </w:rPr>
            </w:pPr>
            <w:r>
              <w:rPr>
                <w:rFonts w:ascii="Times New Roman" w:eastAsia="仿宋_GB2312" w:hAnsi="Times New Roman" w:cs="Times New Roman"/>
                <w:color w:val="000000" w:themeColor="text1"/>
                <w:kern w:val="0"/>
                <w:sz w:val="30"/>
                <w:szCs w:val="30"/>
                <w:lang w:bidi="ar"/>
              </w:rPr>
              <w:t>平板离心机</w:t>
            </w:r>
          </w:p>
        </w:tc>
      </w:tr>
      <w:tr w:rsidR="00EE5EFD" w14:paraId="493D18D7" w14:textId="77777777">
        <w:trPr>
          <w:trHeight w:val="38"/>
        </w:trPr>
        <w:tc>
          <w:tcPr>
            <w:tcW w:w="12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148919D"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9</w:t>
            </w:r>
          </w:p>
        </w:tc>
        <w:tc>
          <w:tcPr>
            <w:tcW w:w="20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806EC3C"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干燥</w:t>
            </w:r>
          </w:p>
        </w:tc>
        <w:tc>
          <w:tcPr>
            <w:tcW w:w="6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CA1761E" w14:textId="77777777" w:rsidR="00EE5EFD" w:rsidRDefault="00BA47DC">
            <w:pPr>
              <w:spacing w:before="0" w:after="0" w:line="560" w:lineRule="exact"/>
              <w:ind w:left="153" w:right="113"/>
              <w:rPr>
                <w:rFonts w:ascii="Times New Roman" w:eastAsia="仿宋_GB2312" w:hAnsi="Times New Roman" w:cs="Times New Roman"/>
                <w:color w:val="000000" w:themeColor="text1"/>
                <w:kern w:val="0"/>
                <w:sz w:val="30"/>
                <w:szCs w:val="30"/>
                <w:lang w:bidi="ar"/>
              </w:rPr>
            </w:pPr>
            <w:r>
              <w:rPr>
                <w:rFonts w:ascii="Times New Roman" w:eastAsia="仿宋_GB2312" w:hAnsi="Times New Roman" w:cs="Times New Roman"/>
                <w:color w:val="000000" w:themeColor="text1"/>
                <w:kern w:val="0"/>
                <w:sz w:val="30"/>
                <w:szCs w:val="30"/>
                <w:lang w:bidi="ar"/>
              </w:rPr>
              <w:t>冻干机</w:t>
            </w:r>
          </w:p>
        </w:tc>
      </w:tr>
      <w:tr w:rsidR="00EE5EFD" w14:paraId="25C45DC5" w14:textId="77777777">
        <w:trPr>
          <w:trHeight w:val="38"/>
        </w:trPr>
        <w:tc>
          <w:tcPr>
            <w:tcW w:w="12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7EED5EF"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10</w:t>
            </w:r>
          </w:p>
        </w:tc>
        <w:tc>
          <w:tcPr>
            <w:tcW w:w="20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09205E5"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内包装</w:t>
            </w:r>
          </w:p>
        </w:tc>
        <w:tc>
          <w:tcPr>
            <w:tcW w:w="6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CF8F463" w14:textId="77777777" w:rsidR="00EE5EFD" w:rsidRDefault="00BA47DC">
            <w:pPr>
              <w:spacing w:before="0" w:after="0" w:line="560" w:lineRule="exact"/>
              <w:ind w:left="153" w:right="113"/>
              <w:rPr>
                <w:rFonts w:ascii="Times New Roman" w:eastAsia="仿宋_GB2312" w:hAnsi="Times New Roman" w:cs="Times New Roman"/>
                <w:color w:val="000000" w:themeColor="text1"/>
                <w:kern w:val="0"/>
                <w:sz w:val="30"/>
                <w:szCs w:val="30"/>
                <w:lang w:bidi="ar"/>
              </w:rPr>
            </w:pPr>
            <w:r>
              <w:rPr>
                <w:rFonts w:ascii="Times New Roman" w:eastAsia="仿宋_GB2312" w:hAnsi="Times New Roman" w:cs="Times New Roman"/>
                <w:color w:val="000000" w:themeColor="text1"/>
                <w:kern w:val="0"/>
                <w:sz w:val="30"/>
                <w:szCs w:val="30"/>
                <w:lang w:bidi="ar"/>
              </w:rPr>
              <w:t>定量包装机、封口机、电子秤</w:t>
            </w:r>
          </w:p>
        </w:tc>
      </w:tr>
      <w:tr w:rsidR="00EE5EFD" w14:paraId="15AA3FB3" w14:textId="77777777">
        <w:trPr>
          <w:trHeight w:val="38"/>
        </w:trPr>
        <w:tc>
          <w:tcPr>
            <w:tcW w:w="12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94E264E"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11</w:t>
            </w:r>
          </w:p>
        </w:tc>
        <w:tc>
          <w:tcPr>
            <w:tcW w:w="20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207313"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外包装</w:t>
            </w:r>
          </w:p>
        </w:tc>
        <w:tc>
          <w:tcPr>
            <w:tcW w:w="6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5EB79BD" w14:textId="77777777" w:rsidR="00EE5EFD" w:rsidRDefault="00BA47DC">
            <w:pPr>
              <w:spacing w:before="0" w:after="0" w:line="560" w:lineRule="exact"/>
              <w:ind w:left="153" w:right="113"/>
              <w:rPr>
                <w:rFonts w:ascii="Times New Roman" w:eastAsia="仿宋_GB2312" w:hAnsi="Times New Roman" w:cs="Times New Roman"/>
                <w:color w:val="000000" w:themeColor="text1"/>
                <w:kern w:val="0"/>
                <w:sz w:val="30"/>
                <w:szCs w:val="30"/>
                <w:lang w:bidi="ar"/>
              </w:rPr>
            </w:pPr>
            <w:r>
              <w:rPr>
                <w:rFonts w:ascii="Times New Roman" w:eastAsia="仿宋_GB2312" w:hAnsi="Times New Roman" w:cs="Times New Roman"/>
                <w:color w:val="000000" w:themeColor="text1"/>
                <w:kern w:val="0"/>
                <w:sz w:val="30"/>
                <w:szCs w:val="30"/>
                <w:lang w:bidi="ar"/>
              </w:rPr>
              <w:t>无</w:t>
            </w:r>
          </w:p>
        </w:tc>
      </w:tr>
      <w:tr w:rsidR="00EE5EFD" w14:paraId="22E731E8" w14:textId="77777777">
        <w:trPr>
          <w:trHeight w:val="38"/>
        </w:trPr>
        <w:tc>
          <w:tcPr>
            <w:tcW w:w="12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F5A690E"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12</w:t>
            </w:r>
          </w:p>
        </w:tc>
        <w:tc>
          <w:tcPr>
            <w:tcW w:w="20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A7D0C51"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入库</w:t>
            </w:r>
          </w:p>
        </w:tc>
        <w:tc>
          <w:tcPr>
            <w:tcW w:w="60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A4E24D0" w14:textId="77777777" w:rsidR="00EE5EFD" w:rsidRDefault="00BA47DC">
            <w:pPr>
              <w:spacing w:before="0" w:after="0" w:line="560" w:lineRule="exact"/>
              <w:ind w:left="153" w:right="113"/>
              <w:rPr>
                <w:rFonts w:ascii="Times New Roman" w:eastAsia="仿宋_GB2312" w:hAnsi="Times New Roman" w:cs="Times New Roman"/>
                <w:color w:val="000000" w:themeColor="text1"/>
                <w:kern w:val="0"/>
                <w:sz w:val="30"/>
                <w:szCs w:val="30"/>
                <w:lang w:bidi="ar"/>
              </w:rPr>
            </w:pPr>
            <w:r>
              <w:rPr>
                <w:rFonts w:ascii="Times New Roman" w:eastAsia="仿宋_GB2312" w:hAnsi="Times New Roman" w:cs="Times New Roman"/>
                <w:color w:val="000000" w:themeColor="text1"/>
                <w:kern w:val="0"/>
                <w:sz w:val="30"/>
                <w:szCs w:val="30"/>
                <w:lang w:bidi="ar"/>
              </w:rPr>
              <w:t>成品库</w:t>
            </w:r>
          </w:p>
        </w:tc>
      </w:tr>
    </w:tbl>
    <w:p w14:paraId="1A724BF4" w14:textId="77777777" w:rsidR="00EE5EFD" w:rsidRDefault="00EE5EFD">
      <w:pPr>
        <w:tabs>
          <w:tab w:val="left" w:pos="1282"/>
        </w:tabs>
        <w:snapToGrid/>
        <w:spacing w:before="0" w:after="0" w:line="560" w:lineRule="exact"/>
        <w:ind w:left="153" w:right="113"/>
        <w:rPr>
          <w:rFonts w:ascii="Times New Roman" w:eastAsia="仿宋_GB2312" w:hAnsi="Times New Roman" w:cs="Times New Roman"/>
          <w:color w:val="000000" w:themeColor="text1"/>
          <w:sz w:val="32"/>
          <w:szCs w:val="32"/>
        </w:rPr>
      </w:pPr>
    </w:p>
    <w:p w14:paraId="2DD88BBC" w14:textId="77777777" w:rsidR="00EE5EFD" w:rsidRDefault="00EE5EFD">
      <w:pPr>
        <w:tabs>
          <w:tab w:val="left" w:pos="1282"/>
        </w:tabs>
        <w:snapToGrid/>
        <w:spacing w:before="0" w:after="0" w:line="560" w:lineRule="exact"/>
        <w:ind w:left="153" w:right="113"/>
        <w:rPr>
          <w:rFonts w:ascii="Times New Roman" w:eastAsia="仿宋_GB2312" w:hAnsi="Times New Roman" w:cs="Times New Roman"/>
          <w:color w:val="000000" w:themeColor="text1"/>
          <w:sz w:val="32"/>
          <w:szCs w:val="32"/>
        </w:rPr>
      </w:pPr>
    </w:p>
    <w:p w14:paraId="677578B2" w14:textId="77777777" w:rsidR="00EE5EFD" w:rsidRDefault="00EE5EFD">
      <w:pPr>
        <w:tabs>
          <w:tab w:val="left" w:pos="1282"/>
        </w:tabs>
        <w:snapToGrid/>
        <w:spacing w:before="0" w:after="0" w:line="560" w:lineRule="exact"/>
        <w:ind w:left="153" w:right="113"/>
        <w:rPr>
          <w:rFonts w:ascii="Times New Roman" w:eastAsia="仿宋_GB2312" w:hAnsi="Times New Roman" w:cs="Times New Roman"/>
          <w:color w:val="000000" w:themeColor="text1"/>
          <w:sz w:val="32"/>
          <w:szCs w:val="32"/>
        </w:rPr>
      </w:pPr>
    </w:p>
    <w:p w14:paraId="20A436DB" w14:textId="77777777" w:rsidR="00EE5EFD" w:rsidRDefault="00BA47DC">
      <w:pPr>
        <w:tabs>
          <w:tab w:val="left" w:pos="1282"/>
        </w:tabs>
        <w:snapToGrid/>
        <w:spacing w:before="0" w:after="0" w:line="560" w:lineRule="exact"/>
        <w:ind w:right="113"/>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lastRenderedPageBreak/>
        <w:t>附件</w:t>
      </w:r>
      <w:r>
        <w:rPr>
          <w:rFonts w:ascii="Times New Roman" w:eastAsia="仿宋_GB2312" w:hAnsi="Times New Roman" w:cs="Times New Roman"/>
          <w:color w:val="000000" w:themeColor="text1"/>
          <w:sz w:val="32"/>
          <w:szCs w:val="32"/>
        </w:rPr>
        <w:t>2</w:t>
      </w:r>
    </w:p>
    <w:p w14:paraId="56D94281" w14:textId="77777777" w:rsidR="00EE5EFD" w:rsidRDefault="00BA47DC">
      <w:pPr>
        <w:tabs>
          <w:tab w:val="left" w:pos="1282"/>
        </w:tabs>
        <w:snapToGrid/>
        <w:spacing w:before="0" w:after="0" w:line="560" w:lineRule="exact"/>
        <w:ind w:right="113"/>
        <w:jc w:val="center"/>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N-</w:t>
      </w:r>
      <w:r>
        <w:rPr>
          <w:rFonts w:ascii="Times New Roman" w:eastAsia="仿宋_GB2312" w:hAnsi="Times New Roman" w:cs="Times New Roman"/>
          <w:color w:val="000000" w:themeColor="text1"/>
          <w:sz w:val="32"/>
          <w:szCs w:val="32"/>
        </w:rPr>
        <w:t>乙酰神经氨酸生产涉及的主要标准</w:t>
      </w:r>
    </w:p>
    <w:tbl>
      <w:tblPr>
        <w:tblStyle w:val="ac"/>
        <w:tblW w:w="9325" w:type="dxa"/>
        <w:tblInd w:w="112" w:type="dxa"/>
        <w:tblLayout w:type="fixed"/>
        <w:tblLook w:val="04A0" w:firstRow="1" w:lastRow="0" w:firstColumn="1" w:lastColumn="0" w:noHBand="0" w:noVBand="1"/>
      </w:tblPr>
      <w:tblGrid>
        <w:gridCol w:w="1212"/>
        <w:gridCol w:w="2499"/>
        <w:gridCol w:w="5614"/>
      </w:tblGrid>
      <w:tr w:rsidR="00EE5EFD" w14:paraId="0233DF07"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7D92B9F"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序号</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16B6E06"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法规</w:t>
            </w:r>
            <w:r>
              <w:rPr>
                <w:rFonts w:ascii="Times New Roman" w:eastAsia="仿宋_GB2312" w:hAnsi="Times New Roman" w:cs="Times New Roman"/>
                <w:color w:val="000000" w:themeColor="text1"/>
                <w:sz w:val="30"/>
                <w:szCs w:val="30"/>
              </w:rPr>
              <w:t>/</w:t>
            </w:r>
            <w:r>
              <w:rPr>
                <w:rFonts w:ascii="Times New Roman" w:eastAsia="仿宋_GB2312" w:hAnsi="Times New Roman" w:cs="Times New Roman"/>
                <w:color w:val="000000" w:themeColor="text1"/>
                <w:sz w:val="30"/>
                <w:szCs w:val="30"/>
              </w:rPr>
              <w:t>标准号</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16887F0" w14:textId="77777777" w:rsidR="00EE5EFD" w:rsidRDefault="00BA47DC">
            <w:pPr>
              <w:snapToGrid/>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名</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称</w:t>
            </w:r>
          </w:p>
        </w:tc>
      </w:tr>
      <w:tr w:rsidR="00EE5EFD" w14:paraId="0325E079"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AFFC50B"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13704FF"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14881</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6C79EDA"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食品安全国家标准</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食品生产通用卫生规范</w:t>
            </w:r>
          </w:p>
        </w:tc>
      </w:tr>
      <w:tr w:rsidR="00EE5EFD" w14:paraId="0E55A951"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F213C2D"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2</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90E695D"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2760</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8ECC530"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食品安全国家标准</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食品添加剂使用标准</w:t>
            </w:r>
          </w:p>
        </w:tc>
      </w:tr>
      <w:tr w:rsidR="00EE5EFD" w14:paraId="1BCBD7DF"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74D4AF7"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3</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B41A499"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2761</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0544444"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食品安全国家标准</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食品中真菌毒素限量</w:t>
            </w:r>
          </w:p>
        </w:tc>
      </w:tr>
      <w:tr w:rsidR="00EE5EFD" w14:paraId="2A9405C5"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6254074"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4</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E26960F"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2762</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95770EC"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食品安全国家标准</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食品中污染物限量</w:t>
            </w:r>
          </w:p>
        </w:tc>
      </w:tr>
      <w:tr w:rsidR="00EE5EFD" w14:paraId="5EEC2CD2"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BAE301C"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5</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47857F9"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 xml:space="preserve">GB </w:t>
            </w:r>
            <w:r>
              <w:rPr>
                <w:rFonts w:ascii="Times New Roman" w:eastAsia="仿宋_GB2312" w:hAnsi="Times New Roman" w:cs="Times New Roman"/>
                <w:color w:val="000000" w:themeColor="text1"/>
                <w:sz w:val="30"/>
                <w:szCs w:val="30"/>
              </w:rPr>
              <w:t>2763</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7D3AEF9"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食品安全国家标准</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食品中农药最大残留限量</w:t>
            </w:r>
          </w:p>
        </w:tc>
      </w:tr>
      <w:tr w:rsidR="00EE5EFD" w14:paraId="3FEB8A3F"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5804E21"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6</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4219A9"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14880</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0DF41C8"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食品安全国家标准</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食品营养强化剂使用标准</w:t>
            </w:r>
          </w:p>
        </w:tc>
      </w:tr>
      <w:tr w:rsidR="00EE5EFD" w14:paraId="5F12C51C"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A235EA4"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7</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9F2858E"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7718</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7FA7977"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食品安全国家标准</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预包装食品标签通则</w:t>
            </w:r>
          </w:p>
        </w:tc>
      </w:tr>
      <w:tr w:rsidR="00EE5EFD" w14:paraId="64E840EF"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E20BF2D"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8</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95312C9"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28050</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304A987"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食品安全国家标准</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预包装食品营养标签通则</w:t>
            </w:r>
          </w:p>
        </w:tc>
      </w:tr>
      <w:tr w:rsidR="00EE5EFD" w14:paraId="795B5A33"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D100710"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9</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AEBD36B"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5749</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41A8B36"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生活饮用水卫生标准</w:t>
            </w:r>
          </w:p>
        </w:tc>
      </w:tr>
      <w:tr w:rsidR="00EE5EFD" w14:paraId="7D06BE83"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0A05096"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10</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1406049"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国家卫生计生委</w:t>
            </w:r>
            <w:r>
              <w:rPr>
                <w:rFonts w:ascii="Times New Roman" w:eastAsia="仿宋_GB2312" w:hAnsi="Times New Roman" w:cs="Times New Roman"/>
                <w:color w:val="000000" w:themeColor="text1"/>
                <w:sz w:val="30"/>
                <w:szCs w:val="30"/>
              </w:rPr>
              <w:t>2017</w:t>
            </w:r>
            <w:r>
              <w:rPr>
                <w:rFonts w:ascii="Times New Roman" w:eastAsia="仿宋_GB2312" w:hAnsi="Times New Roman" w:cs="Times New Roman"/>
                <w:color w:val="000000" w:themeColor="text1"/>
                <w:sz w:val="30"/>
                <w:szCs w:val="30"/>
              </w:rPr>
              <w:t>年</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第</w:t>
            </w:r>
            <w:r>
              <w:rPr>
                <w:rFonts w:ascii="Times New Roman" w:eastAsia="仿宋_GB2312" w:hAnsi="Times New Roman" w:cs="Times New Roman"/>
                <w:color w:val="000000" w:themeColor="text1"/>
                <w:sz w:val="30"/>
                <w:szCs w:val="30"/>
              </w:rPr>
              <w:t>7</w:t>
            </w:r>
            <w:r>
              <w:rPr>
                <w:rFonts w:ascii="Times New Roman" w:eastAsia="仿宋_GB2312" w:hAnsi="Times New Roman" w:cs="Times New Roman"/>
                <w:color w:val="000000" w:themeColor="text1"/>
                <w:sz w:val="30"/>
                <w:szCs w:val="30"/>
              </w:rPr>
              <w:t>号</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DBAA988"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关于乳木果油等</w:t>
            </w:r>
            <w:r>
              <w:rPr>
                <w:rFonts w:ascii="Times New Roman" w:eastAsia="仿宋_GB2312" w:hAnsi="Times New Roman" w:cs="Times New Roman"/>
                <w:color w:val="000000" w:themeColor="text1"/>
                <w:sz w:val="30"/>
                <w:szCs w:val="30"/>
              </w:rPr>
              <w:t>10</w:t>
            </w:r>
            <w:r>
              <w:rPr>
                <w:rFonts w:ascii="Times New Roman" w:eastAsia="仿宋_GB2312" w:hAnsi="Times New Roman" w:cs="Times New Roman"/>
                <w:color w:val="000000" w:themeColor="text1"/>
                <w:sz w:val="30"/>
                <w:szCs w:val="30"/>
              </w:rPr>
              <w:t>种新食品原料的公告</w:t>
            </w:r>
          </w:p>
        </w:tc>
      </w:tr>
      <w:tr w:rsidR="00EE5EFD" w14:paraId="53FD164C"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6C7AE64"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11</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579DD1D"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国家卫生健康委</w:t>
            </w:r>
            <w:r>
              <w:rPr>
                <w:rFonts w:ascii="Times New Roman" w:eastAsia="仿宋_GB2312" w:hAnsi="Times New Roman" w:cs="Times New Roman"/>
                <w:color w:val="000000" w:themeColor="text1"/>
                <w:sz w:val="30"/>
                <w:szCs w:val="30"/>
              </w:rPr>
              <w:t>2023</w:t>
            </w:r>
            <w:r>
              <w:rPr>
                <w:rFonts w:ascii="Times New Roman" w:eastAsia="仿宋_GB2312" w:hAnsi="Times New Roman" w:cs="Times New Roman"/>
                <w:color w:val="000000" w:themeColor="text1"/>
                <w:sz w:val="30"/>
                <w:szCs w:val="30"/>
              </w:rPr>
              <w:t>年第</w:t>
            </w:r>
            <w:r>
              <w:rPr>
                <w:rFonts w:ascii="Times New Roman" w:eastAsia="仿宋_GB2312" w:hAnsi="Times New Roman" w:cs="Times New Roman"/>
                <w:color w:val="000000" w:themeColor="text1"/>
                <w:sz w:val="30"/>
                <w:szCs w:val="30"/>
              </w:rPr>
              <w:t>4</w:t>
            </w:r>
            <w:r>
              <w:rPr>
                <w:rFonts w:ascii="Times New Roman" w:eastAsia="仿宋_GB2312" w:hAnsi="Times New Roman" w:cs="Times New Roman"/>
                <w:color w:val="000000" w:themeColor="text1"/>
                <w:sz w:val="30"/>
                <w:szCs w:val="30"/>
              </w:rPr>
              <w:lastRenderedPageBreak/>
              <w:t>号</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F247083"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lastRenderedPageBreak/>
              <w:t>关于</w:t>
            </w:r>
            <w:r>
              <w:rPr>
                <w:rFonts w:ascii="Times New Roman" w:eastAsia="仿宋_GB2312" w:hAnsi="Times New Roman" w:cs="Times New Roman"/>
                <w:color w:val="000000" w:themeColor="text1"/>
                <w:sz w:val="30"/>
                <w:szCs w:val="30"/>
              </w:rPr>
              <w:t>“</w:t>
            </w:r>
            <w:r>
              <w:rPr>
                <w:rFonts w:ascii="Times New Roman" w:eastAsia="仿宋_GB2312" w:hAnsi="Times New Roman" w:cs="Times New Roman"/>
                <w:color w:val="000000" w:themeColor="text1"/>
                <w:sz w:val="30"/>
                <w:szCs w:val="30"/>
              </w:rPr>
              <w:t>三新食品</w:t>
            </w:r>
            <w:r>
              <w:rPr>
                <w:rFonts w:ascii="Times New Roman" w:eastAsia="仿宋_GB2312" w:hAnsi="Times New Roman" w:cs="Times New Roman"/>
                <w:color w:val="000000" w:themeColor="text1"/>
                <w:sz w:val="30"/>
                <w:szCs w:val="30"/>
              </w:rPr>
              <w:t>”</w:t>
            </w:r>
            <w:r>
              <w:rPr>
                <w:rFonts w:ascii="Times New Roman" w:eastAsia="仿宋_GB2312" w:hAnsi="Times New Roman" w:cs="Times New Roman"/>
                <w:color w:val="000000" w:themeColor="text1"/>
                <w:sz w:val="30"/>
                <w:szCs w:val="30"/>
              </w:rPr>
              <w:t>目录及适用的食品安全标准的公告</w:t>
            </w:r>
          </w:p>
        </w:tc>
      </w:tr>
      <w:tr w:rsidR="00EE5EFD" w14:paraId="3610C772"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F4D511B"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lastRenderedPageBreak/>
              <w:t>12</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42D3713"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31639</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5A6AB92"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食品安全国家标准</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食品加工用菌种制剂</w:t>
            </w:r>
          </w:p>
        </w:tc>
      </w:tr>
      <w:tr w:rsidR="00EE5EFD" w14:paraId="71D0C19D"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CC03E3A"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13</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61FFA6F"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Q/CZKX 0001S</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3D7331E"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N-</w:t>
            </w:r>
            <w:r>
              <w:rPr>
                <w:rFonts w:ascii="Times New Roman" w:eastAsia="仿宋_GB2312" w:hAnsi="Times New Roman" w:cs="Times New Roman"/>
                <w:color w:val="000000" w:themeColor="text1"/>
                <w:sz w:val="30"/>
                <w:szCs w:val="30"/>
              </w:rPr>
              <w:t>乙酰神经氨酸</w:t>
            </w:r>
          </w:p>
        </w:tc>
      </w:tr>
      <w:tr w:rsidR="00EE5EFD" w14:paraId="3B70B089"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0A09B51"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14</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C737938"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GB/T 20880</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4FE50DA"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食用葡萄糖</w:t>
            </w:r>
          </w:p>
        </w:tc>
      </w:tr>
      <w:tr w:rsidR="00EE5EFD" w14:paraId="71695A77"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D313C7A"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15</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4EA03D1"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29206</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0A12730"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食品安全国家标准</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食品添加剂</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硫酸铵</w:t>
            </w:r>
          </w:p>
        </w:tc>
      </w:tr>
      <w:tr w:rsidR="00EE5EFD" w14:paraId="16C87122"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1C07526"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16</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F5B1E9F"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1886.337</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5B2C8A6"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食品安全国家标准</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食品添加剂</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磷酸二氢钾的规定</w:t>
            </w:r>
          </w:p>
        </w:tc>
      </w:tr>
      <w:tr w:rsidR="00EE5EFD" w14:paraId="563193B4"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2A8DD40"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17</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33CA70F"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29207</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top"/>
          </w:tcPr>
          <w:p w14:paraId="08E1B6E1"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pacing w:val="-1"/>
                <w:sz w:val="30"/>
                <w:szCs w:val="30"/>
              </w:rPr>
              <w:t>食品安全国家标准</w:t>
            </w:r>
            <w:r>
              <w:rPr>
                <w:rFonts w:ascii="Times New Roman" w:eastAsia="仿宋_GB2312" w:hAnsi="Times New Roman" w:cs="Times New Roman"/>
                <w:color w:val="000000" w:themeColor="text1"/>
                <w:spacing w:val="-1"/>
                <w:sz w:val="30"/>
                <w:szCs w:val="30"/>
              </w:rPr>
              <w:t xml:space="preserve"> </w:t>
            </w:r>
            <w:r>
              <w:rPr>
                <w:rFonts w:ascii="Times New Roman" w:eastAsia="仿宋_GB2312" w:hAnsi="Times New Roman" w:cs="Times New Roman"/>
                <w:color w:val="000000" w:themeColor="text1"/>
                <w:spacing w:val="-1"/>
                <w:sz w:val="30"/>
                <w:szCs w:val="30"/>
              </w:rPr>
              <w:t>食品添加剂</w:t>
            </w:r>
            <w:r>
              <w:rPr>
                <w:rFonts w:ascii="Times New Roman" w:eastAsia="仿宋_GB2312" w:hAnsi="Times New Roman" w:cs="Times New Roman"/>
                <w:color w:val="000000" w:themeColor="text1"/>
                <w:spacing w:val="-1"/>
                <w:sz w:val="30"/>
                <w:szCs w:val="30"/>
              </w:rPr>
              <w:t xml:space="preserve"> </w:t>
            </w:r>
            <w:r>
              <w:rPr>
                <w:rFonts w:ascii="Times New Roman" w:eastAsia="仿宋_GB2312" w:hAnsi="Times New Roman" w:cs="Times New Roman"/>
                <w:color w:val="000000" w:themeColor="text1"/>
                <w:spacing w:val="-1"/>
                <w:sz w:val="30"/>
                <w:szCs w:val="30"/>
              </w:rPr>
              <w:t>硫酸镁的规定</w:t>
            </w:r>
          </w:p>
        </w:tc>
      </w:tr>
      <w:tr w:rsidR="00EE5EFD" w14:paraId="77503D42"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FC428C"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18</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691CCC0"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pacing w:val="-11"/>
                <w:sz w:val="30"/>
                <w:szCs w:val="30"/>
              </w:rPr>
              <w:t>GB 1886.2</w:t>
            </w:r>
            <w:r>
              <w:rPr>
                <w:rFonts w:ascii="Times New Roman" w:eastAsia="仿宋_GB2312" w:hAnsi="Times New Roman" w:cs="Times New Roman"/>
                <w:color w:val="000000" w:themeColor="text1"/>
                <w:spacing w:val="-1"/>
                <w:sz w:val="30"/>
                <w:szCs w:val="30"/>
              </w:rPr>
              <w:t>5</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top"/>
          </w:tcPr>
          <w:p w14:paraId="3268BE10"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pacing w:val="-1"/>
                <w:sz w:val="30"/>
                <w:szCs w:val="30"/>
              </w:rPr>
              <w:t>食品安全国家标准</w:t>
            </w:r>
            <w:r>
              <w:rPr>
                <w:rFonts w:ascii="Times New Roman" w:eastAsia="仿宋_GB2312" w:hAnsi="Times New Roman" w:cs="Times New Roman"/>
                <w:color w:val="000000" w:themeColor="text1"/>
                <w:spacing w:val="-1"/>
                <w:sz w:val="30"/>
                <w:szCs w:val="30"/>
              </w:rPr>
              <w:t xml:space="preserve"> </w:t>
            </w:r>
            <w:r>
              <w:rPr>
                <w:rFonts w:ascii="Times New Roman" w:eastAsia="仿宋_GB2312" w:hAnsi="Times New Roman" w:cs="Times New Roman"/>
                <w:color w:val="000000" w:themeColor="text1"/>
                <w:spacing w:val="-1"/>
                <w:sz w:val="30"/>
                <w:szCs w:val="30"/>
              </w:rPr>
              <w:t>食品添加剂</w:t>
            </w:r>
            <w:r>
              <w:rPr>
                <w:rFonts w:ascii="Times New Roman" w:eastAsia="仿宋_GB2312" w:hAnsi="Times New Roman" w:cs="Times New Roman"/>
                <w:color w:val="000000" w:themeColor="text1"/>
                <w:spacing w:val="-1"/>
                <w:sz w:val="30"/>
                <w:szCs w:val="30"/>
              </w:rPr>
              <w:t xml:space="preserve"> </w:t>
            </w:r>
            <w:r>
              <w:rPr>
                <w:rFonts w:ascii="Times New Roman" w:eastAsia="仿宋_GB2312" w:hAnsi="Times New Roman" w:cs="Times New Roman"/>
                <w:color w:val="000000" w:themeColor="text1"/>
                <w:spacing w:val="-1"/>
                <w:sz w:val="30"/>
                <w:szCs w:val="30"/>
              </w:rPr>
              <w:t>柠檬酸钠的规定</w:t>
            </w:r>
          </w:p>
        </w:tc>
      </w:tr>
      <w:tr w:rsidR="00EE5EFD" w14:paraId="7B71F77D"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C4AF7D3"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19</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3123464"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1886.45</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top"/>
          </w:tcPr>
          <w:p w14:paraId="2C70B8E5"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pacing w:val="-1"/>
                <w:sz w:val="30"/>
                <w:szCs w:val="30"/>
              </w:rPr>
              <w:t>食品安全国家标准</w:t>
            </w:r>
            <w:r>
              <w:rPr>
                <w:rFonts w:ascii="Times New Roman" w:eastAsia="仿宋_GB2312" w:hAnsi="Times New Roman" w:cs="Times New Roman"/>
                <w:color w:val="000000" w:themeColor="text1"/>
                <w:spacing w:val="-1"/>
                <w:sz w:val="30"/>
                <w:szCs w:val="30"/>
              </w:rPr>
              <w:t xml:space="preserve"> </w:t>
            </w:r>
            <w:r>
              <w:rPr>
                <w:rFonts w:ascii="Times New Roman" w:eastAsia="仿宋_GB2312" w:hAnsi="Times New Roman" w:cs="Times New Roman"/>
                <w:color w:val="000000" w:themeColor="text1"/>
                <w:spacing w:val="-1"/>
                <w:sz w:val="30"/>
                <w:szCs w:val="30"/>
              </w:rPr>
              <w:t>食品添加剂</w:t>
            </w:r>
            <w:r>
              <w:rPr>
                <w:rFonts w:ascii="Times New Roman" w:eastAsia="仿宋_GB2312" w:hAnsi="Times New Roman" w:cs="Times New Roman"/>
                <w:color w:val="000000" w:themeColor="text1"/>
                <w:spacing w:val="-1"/>
                <w:sz w:val="30"/>
                <w:szCs w:val="30"/>
              </w:rPr>
              <w:t xml:space="preserve"> </w:t>
            </w:r>
            <w:r>
              <w:rPr>
                <w:rFonts w:ascii="Times New Roman" w:eastAsia="仿宋_GB2312" w:hAnsi="Times New Roman" w:cs="Times New Roman"/>
                <w:color w:val="000000" w:themeColor="text1"/>
                <w:spacing w:val="-1"/>
                <w:sz w:val="30"/>
                <w:szCs w:val="30"/>
              </w:rPr>
              <w:t>氯化钙的规定</w:t>
            </w:r>
          </w:p>
        </w:tc>
      </w:tr>
      <w:tr w:rsidR="00EE5EFD" w14:paraId="6FDF7167"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E306F7E"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20</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33222FF"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pacing w:val="-11"/>
                <w:sz w:val="30"/>
                <w:szCs w:val="30"/>
              </w:rPr>
              <w:t>GB 29211</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top"/>
          </w:tcPr>
          <w:p w14:paraId="35754B88"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pacing w:val="-11"/>
                <w:sz w:val="30"/>
                <w:szCs w:val="30"/>
              </w:rPr>
              <w:t>食品安全国家标准</w:t>
            </w:r>
            <w:r>
              <w:rPr>
                <w:rFonts w:ascii="Times New Roman" w:eastAsia="仿宋_GB2312" w:hAnsi="Times New Roman" w:cs="Times New Roman"/>
                <w:color w:val="000000" w:themeColor="text1"/>
                <w:spacing w:val="-11"/>
                <w:sz w:val="30"/>
                <w:szCs w:val="30"/>
              </w:rPr>
              <w:t xml:space="preserve"> </w:t>
            </w:r>
            <w:r>
              <w:rPr>
                <w:rFonts w:ascii="Times New Roman" w:eastAsia="仿宋_GB2312" w:hAnsi="Times New Roman" w:cs="Times New Roman"/>
                <w:color w:val="000000" w:themeColor="text1"/>
                <w:spacing w:val="-11"/>
                <w:sz w:val="30"/>
                <w:szCs w:val="30"/>
              </w:rPr>
              <w:t>食品添加剂</w:t>
            </w:r>
            <w:r>
              <w:rPr>
                <w:rFonts w:ascii="Times New Roman" w:eastAsia="仿宋_GB2312" w:hAnsi="Times New Roman" w:cs="Times New Roman"/>
                <w:color w:val="000000" w:themeColor="text1"/>
                <w:spacing w:val="-11"/>
                <w:sz w:val="30"/>
                <w:szCs w:val="30"/>
              </w:rPr>
              <w:t xml:space="preserve"> </w:t>
            </w:r>
            <w:r>
              <w:rPr>
                <w:rFonts w:ascii="Times New Roman" w:eastAsia="仿宋_GB2312" w:hAnsi="Times New Roman" w:cs="Times New Roman"/>
                <w:color w:val="000000" w:themeColor="text1"/>
                <w:spacing w:val="-11"/>
                <w:sz w:val="30"/>
                <w:szCs w:val="30"/>
              </w:rPr>
              <w:t>硫酸亚铁</w:t>
            </w:r>
            <w:r>
              <w:rPr>
                <w:rFonts w:ascii="Times New Roman" w:eastAsia="仿宋_GB2312" w:hAnsi="Times New Roman" w:cs="Times New Roman"/>
                <w:color w:val="000000" w:themeColor="text1"/>
                <w:spacing w:val="-1"/>
                <w:sz w:val="30"/>
                <w:szCs w:val="30"/>
              </w:rPr>
              <w:t>的规定</w:t>
            </w:r>
          </w:p>
        </w:tc>
      </w:tr>
      <w:tr w:rsidR="00EE5EFD" w14:paraId="03FDC7BC"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A0E7AD2"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21</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88AB49D"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25579</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top"/>
          </w:tcPr>
          <w:p w14:paraId="0C3FBB36"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食品安全国家标准</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食品添加剂</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硫酸锌的规定</w:t>
            </w:r>
          </w:p>
        </w:tc>
      </w:tr>
      <w:tr w:rsidR="00EE5EFD" w14:paraId="3DB20173"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9E424DB"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22</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066A9D3"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2721</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top"/>
          </w:tcPr>
          <w:p w14:paraId="7D8DA2F8"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pacing w:val="-1"/>
                <w:sz w:val="30"/>
                <w:szCs w:val="30"/>
              </w:rPr>
              <w:t>食品安全国家标准</w:t>
            </w:r>
            <w:r>
              <w:rPr>
                <w:rFonts w:ascii="Times New Roman" w:eastAsia="仿宋_GB2312" w:hAnsi="Times New Roman" w:cs="Times New Roman"/>
                <w:color w:val="000000" w:themeColor="text1"/>
                <w:spacing w:val="-1"/>
                <w:sz w:val="30"/>
                <w:szCs w:val="30"/>
              </w:rPr>
              <w:t xml:space="preserve"> </w:t>
            </w:r>
            <w:r>
              <w:rPr>
                <w:rFonts w:ascii="Times New Roman" w:eastAsia="仿宋_GB2312" w:hAnsi="Times New Roman" w:cs="Times New Roman"/>
                <w:color w:val="000000" w:themeColor="text1"/>
                <w:spacing w:val="-1"/>
                <w:sz w:val="30"/>
                <w:szCs w:val="30"/>
              </w:rPr>
              <w:t>食用盐的规定</w:t>
            </w:r>
          </w:p>
        </w:tc>
      </w:tr>
      <w:tr w:rsidR="00EE5EFD" w14:paraId="6E8CE3DB" w14:textId="77777777">
        <w:trPr>
          <w:trHeight w:val="38"/>
        </w:trPr>
        <w:tc>
          <w:tcPr>
            <w:tcW w:w="1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0EE7CA7"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23</w:t>
            </w:r>
          </w:p>
        </w:tc>
        <w:tc>
          <w:tcPr>
            <w:tcW w:w="249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83117BF"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29201</w:t>
            </w:r>
          </w:p>
        </w:tc>
        <w:tc>
          <w:tcPr>
            <w:tcW w:w="56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top"/>
          </w:tcPr>
          <w:p w14:paraId="5E689E47"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pacing w:val="-1"/>
                <w:sz w:val="30"/>
                <w:szCs w:val="30"/>
              </w:rPr>
              <w:t>食品安全国家标准</w:t>
            </w:r>
            <w:r>
              <w:rPr>
                <w:rFonts w:ascii="Times New Roman" w:eastAsia="仿宋_GB2312" w:hAnsi="Times New Roman" w:cs="Times New Roman"/>
                <w:color w:val="000000" w:themeColor="text1"/>
                <w:spacing w:val="-1"/>
                <w:sz w:val="30"/>
                <w:szCs w:val="30"/>
              </w:rPr>
              <w:t xml:space="preserve"> </w:t>
            </w:r>
            <w:r>
              <w:rPr>
                <w:rFonts w:ascii="Times New Roman" w:eastAsia="仿宋_GB2312" w:hAnsi="Times New Roman" w:cs="Times New Roman"/>
                <w:color w:val="000000" w:themeColor="text1"/>
                <w:spacing w:val="-1"/>
                <w:sz w:val="30"/>
                <w:szCs w:val="30"/>
              </w:rPr>
              <w:t>食品添加剂</w:t>
            </w:r>
            <w:r>
              <w:rPr>
                <w:rFonts w:ascii="Times New Roman" w:eastAsia="仿宋_GB2312" w:hAnsi="Times New Roman" w:cs="Times New Roman"/>
                <w:color w:val="000000" w:themeColor="text1"/>
                <w:spacing w:val="-1"/>
                <w:sz w:val="30"/>
                <w:szCs w:val="30"/>
              </w:rPr>
              <w:t xml:space="preserve"> </w:t>
            </w:r>
            <w:r>
              <w:rPr>
                <w:rFonts w:ascii="Times New Roman" w:eastAsia="仿宋_GB2312" w:hAnsi="Times New Roman" w:cs="Times New Roman"/>
                <w:color w:val="000000" w:themeColor="text1"/>
                <w:spacing w:val="-1"/>
                <w:sz w:val="30"/>
                <w:szCs w:val="30"/>
              </w:rPr>
              <w:t>氨水及液氨的规定</w:t>
            </w:r>
          </w:p>
        </w:tc>
      </w:tr>
    </w:tbl>
    <w:p w14:paraId="2E0E2F23" w14:textId="77777777" w:rsidR="00EE5EFD" w:rsidRDefault="00EE5EFD">
      <w:pPr>
        <w:snapToGrid/>
        <w:spacing w:before="0" w:after="0" w:line="560" w:lineRule="exact"/>
        <w:ind w:right="113"/>
        <w:jc w:val="both"/>
        <w:rPr>
          <w:rFonts w:ascii="Times New Roman" w:eastAsia="仿宋_GB2312" w:hAnsi="Times New Roman" w:cs="Times New Roman"/>
          <w:color w:val="000000" w:themeColor="text1"/>
          <w:sz w:val="32"/>
          <w:szCs w:val="32"/>
        </w:rPr>
      </w:pPr>
    </w:p>
    <w:p w14:paraId="71331ED0" w14:textId="77777777" w:rsidR="00EE5EFD" w:rsidRDefault="00EE5EFD">
      <w:pPr>
        <w:snapToGrid/>
        <w:spacing w:before="0" w:after="0" w:line="560" w:lineRule="exact"/>
        <w:ind w:right="113"/>
        <w:jc w:val="both"/>
        <w:rPr>
          <w:rFonts w:ascii="Times New Roman" w:eastAsia="仿宋_GB2312" w:hAnsi="Times New Roman" w:cs="Times New Roman"/>
          <w:color w:val="000000" w:themeColor="text1"/>
          <w:sz w:val="32"/>
          <w:szCs w:val="32"/>
        </w:rPr>
      </w:pPr>
    </w:p>
    <w:p w14:paraId="51320E3E" w14:textId="77777777" w:rsidR="00EE5EFD" w:rsidRDefault="00EE5EFD">
      <w:pPr>
        <w:snapToGrid/>
        <w:spacing w:before="0" w:after="0" w:line="560" w:lineRule="exact"/>
        <w:ind w:right="113"/>
        <w:jc w:val="both"/>
        <w:rPr>
          <w:rFonts w:ascii="Times New Roman" w:eastAsia="仿宋_GB2312" w:hAnsi="Times New Roman" w:cs="Times New Roman"/>
          <w:color w:val="000000" w:themeColor="text1"/>
          <w:sz w:val="32"/>
          <w:szCs w:val="32"/>
        </w:rPr>
      </w:pPr>
    </w:p>
    <w:p w14:paraId="085943F5" w14:textId="77777777" w:rsidR="00EE5EFD" w:rsidRDefault="00BA47DC">
      <w:pPr>
        <w:snapToGrid/>
        <w:spacing w:before="0" w:after="0" w:line="560" w:lineRule="exact"/>
        <w:ind w:right="113"/>
        <w:jc w:val="both"/>
        <w:rPr>
          <w:rFonts w:ascii="Times New Roman" w:eastAsia="仿宋_GB2312" w:hAnsi="Times New Roman" w:cs="Times New Roman"/>
          <w:color w:val="000000" w:themeColor="text1"/>
          <w:sz w:val="32"/>
        </w:rPr>
      </w:pPr>
      <w:r>
        <w:rPr>
          <w:rFonts w:ascii="Times New Roman" w:eastAsia="仿宋_GB2312" w:hAnsi="Times New Roman" w:cs="Times New Roman"/>
          <w:color w:val="000000" w:themeColor="text1"/>
          <w:sz w:val="32"/>
          <w:szCs w:val="32"/>
        </w:rPr>
        <w:lastRenderedPageBreak/>
        <w:t>附件</w:t>
      </w:r>
      <w:r>
        <w:rPr>
          <w:rFonts w:ascii="Times New Roman" w:eastAsia="仿宋_GB2312" w:hAnsi="Times New Roman" w:cs="Times New Roman"/>
          <w:color w:val="000000" w:themeColor="text1"/>
          <w:sz w:val="32"/>
          <w:szCs w:val="32"/>
        </w:rPr>
        <w:t>3</w:t>
      </w:r>
    </w:p>
    <w:p w14:paraId="6390C2E7" w14:textId="77777777" w:rsidR="00EE5EFD" w:rsidRDefault="00BA47DC">
      <w:pPr>
        <w:pStyle w:val="ad"/>
        <w:tabs>
          <w:tab w:val="left" w:pos="1282"/>
        </w:tabs>
        <w:snapToGrid/>
        <w:spacing w:before="0" w:after="0" w:line="560" w:lineRule="exact"/>
        <w:ind w:left="425" w:right="113" w:firstLineChars="0" w:firstLine="0"/>
        <w:jc w:val="center"/>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N-</w:t>
      </w:r>
      <w:r>
        <w:rPr>
          <w:rFonts w:ascii="Times New Roman" w:eastAsia="仿宋_GB2312" w:hAnsi="Times New Roman" w:cs="Times New Roman"/>
          <w:color w:val="000000" w:themeColor="text1"/>
          <w:sz w:val="32"/>
          <w:szCs w:val="32"/>
        </w:rPr>
        <w:t>乙酰神经氨酸检验项目与方法</w:t>
      </w:r>
    </w:p>
    <w:tbl>
      <w:tblPr>
        <w:tblW w:w="93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1129"/>
        <w:gridCol w:w="1539"/>
        <w:gridCol w:w="1843"/>
        <w:gridCol w:w="2693"/>
        <w:gridCol w:w="2098"/>
      </w:tblGrid>
      <w:tr w:rsidR="00EE5EFD" w14:paraId="332ED709" w14:textId="77777777" w:rsidTr="0038763C">
        <w:trPr>
          <w:cantSplit/>
          <w:trHeight w:val="20"/>
          <w:tblHeader/>
          <w:jc w:val="center"/>
        </w:trPr>
        <w:tc>
          <w:tcPr>
            <w:tcW w:w="1129" w:type="dxa"/>
            <w:shd w:val="clear" w:color="auto" w:fill="FFFFFF"/>
            <w:vAlign w:val="center"/>
          </w:tcPr>
          <w:p w14:paraId="4391FAE6" w14:textId="77777777" w:rsidR="00EE5EFD" w:rsidRDefault="00BA47DC">
            <w:pPr>
              <w:spacing w:before="0" w:after="0" w:line="560" w:lineRule="exact"/>
              <w:ind w:left="153" w:right="113"/>
              <w:jc w:val="center"/>
              <w:rPr>
                <w:rFonts w:ascii="Times New Roman" w:eastAsia="仿宋_GB2312" w:hAnsi="Times New Roman" w:cs="Times New Roman"/>
                <w:b/>
                <w:color w:val="000000" w:themeColor="text1"/>
                <w:sz w:val="30"/>
                <w:szCs w:val="30"/>
              </w:rPr>
            </w:pPr>
            <w:r>
              <w:rPr>
                <w:rFonts w:ascii="Times New Roman" w:eastAsia="仿宋_GB2312" w:hAnsi="Times New Roman" w:cs="Times New Roman"/>
                <w:b/>
                <w:color w:val="000000" w:themeColor="text1"/>
                <w:sz w:val="30"/>
                <w:szCs w:val="30"/>
              </w:rPr>
              <w:t>序号</w:t>
            </w:r>
          </w:p>
        </w:tc>
        <w:tc>
          <w:tcPr>
            <w:tcW w:w="1539" w:type="dxa"/>
            <w:shd w:val="clear" w:color="auto" w:fill="FFFFFF"/>
            <w:vAlign w:val="center"/>
          </w:tcPr>
          <w:p w14:paraId="5253215F" w14:textId="77777777" w:rsidR="00EE5EFD" w:rsidRDefault="00BA47DC">
            <w:pPr>
              <w:spacing w:before="0" w:after="0" w:line="560" w:lineRule="exact"/>
              <w:ind w:left="153" w:right="113"/>
              <w:jc w:val="center"/>
              <w:rPr>
                <w:rFonts w:ascii="Times New Roman" w:eastAsia="仿宋_GB2312" w:hAnsi="Times New Roman" w:cs="Times New Roman"/>
                <w:b/>
                <w:color w:val="000000" w:themeColor="text1"/>
                <w:sz w:val="30"/>
                <w:szCs w:val="30"/>
              </w:rPr>
            </w:pPr>
            <w:r>
              <w:rPr>
                <w:rFonts w:ascii="Times New Roman" w:eastAsia="仿宋_GB2312" w:hAnsi="Times New Roman" w:cs="Times New Roman"/>
                <w:b/>
                <w:color w:val="000000" w:themeColor="text1"/>
                <w:sz w:val="30"/>
                <w:szCs w:val="30"/>
              </w:rPr>
              <w:t>检验</w:t>
            </w:r>
          </w:p>
          <w:p w14:paraId="5A340EDB" w14:textId="77777777" w:rsidR="00EE5EFD" w:rsidRDefault="00BA47DC">
            <w:pPr>
              <w:spacing w:before="0" w:after="0" w:line="560" w:lineRule="exact"/>
              <w:ind w:left="153" w:right="113"/>
              <w:jc w:val="center"/>
              <w:rPr>
                <w:rFonts w:ascii="Times New Roman" w:eastAsia="仿宋_GB2312" w:hAnsi="Times New Roman" w:cs="Times New Roman"/>
                <w:b/>
                <w:color w:val="000000" w:themeColor="text1"/>
                <w:sz w:val="30"/>
                <w:szCs w:val="30"/>
              </w:rPr>
            </w:pPr>
            <w:r>
              <w:rPr>
                <w:rFonts w:ascii="Times New Roman" w:eastAsia="仿宋_GB2312" w:hAnsi="Times New Roman" w:cs="Times New Roman"/>
                <w:b/>
                <w:color w:val="000000" w:themeColor="text1"/>
                <w:sz w:val="30"/>
                <w:szCs w:val="30"/>
              </w:rPr>
              <w:t>项目</w:t>
            </w:r>
          </w:p>
        </w:tc>
        <w:tc>
          <w:tcPr>
            <w:tcW w:w="1843" w:type="dxa"/>
            <w:shd w:val="clear" w:color="auto" w:fill="FFFFFF"/>
            <w:vAlign w:val="center"/>
          </w:tcPr>
          <w:p w14:paraId="1A2ABD21" w14:textId="77777777" w:rsidR="00EE5EFD" w:rsidRDefault="00BA47DC">
            <w:pPr>
              <w:spacing w:before="0" w:after="0" w:line="560" w:lineRule="exact"/>
              <w:ind w:left="153" w:right="113"/>
              <w:jc w:val="center"/>
              <w:rPr>
                <w:rFonts w:ascii="Times New Roman" w:eastAsia="仿宋_GB2312" w:hAnsi="Times New Roman" w:cs="Times New Roman"/>
                <w:b/>
                <w:color w:val="000000" w:themeColor="text1"/>
                <w:sz w:val="30"/>
                <w:szCs w:val="30"/>
              </w:rPr>
            </w:pPr>
            <w:r>
              <w:rPr>
                <w:rFonts w:ascii="Times New Roman" w:eastAsia="仿宋_GB2312" w:hAnsi="Times New Roman" w:cs="Times New Roman"/>
                <w:b/>
                <w:color w:val="000000" w:themeColor="text1"/>
                <w:sz w:val="30"/>
                <w:szCs w:val="30"/>
              </w:rPr>
              <w:t>标准号</w:t>
            </w:r>
          </w:p>
        </w:tc>
        <w:tc>
          <w:tcPr>
            <w:tcW w:w="2693" w:type="dxa"/>
            <w:shd w:val="clear" w:color="auto" w:fill="FFFFFF"/>
            <w:vAlign w:val="center"/>
          </w:tcPr>
          <w:p w14:paraId="74A65F18" w14:textId="77777777" w:rsidR="00EE5EFD" w:rsidRDefault="00BA47DC">
            <w:pPr>
              <w:spacing w:before="0" w:after="0" w:line="560" w:lineRule="exact"/>
              <w:ind w:left="153" w:right="113"/>
              <w:jc w:val="center"/>
              <w:rPr>
                <w:rFonts w:ascii="Times New Roman" w:eastAsia="仿宋_GB2312" w:hAnsi="Times New Roman" w:cs="Times New Roman"/>
                <w:b/>
                <w:color w:val="000000" w:themeColor="text1"/>
                <w:sz w:val="30"/>
                <w:szCs w:val="30"/>
              </w:rPr>
            </w:pPr>
            <w:r>
              <w:rPr>
                <w:rFonts w:ascii="Times New Roman" w:eastAsia="仿宋_GB2312" w:hAnsi="Times New Roman" w:cs="Times New Roman"/>
                <w:b/>
                <w:color w:val="000000" w:themeColor="text1"/>
                <w:sz w:val="30"/>
                <w:szCs w:val="30"/>
              </w:rPr>
              <w:t>标准名称</w:t>
            </w:r>
          </w:p>
        </w:tc>
        <w:tc>
          <w:tcPr>
            <w:tcW w:w="2098" w:type="dxa"/>
            <w:shd w:val="clear" w:color="auto" w:fill="FFFFFF"/>
            <w:vAlign w:val="center"/>
          </w:tcPr>
          <w:p w14:paraId="2D9B2032" w14:textId="77777777" w:rsidR="00EE5EFD" w:rsidRDefault="00BA47DC">
            <w:pPr>
              <w:spacing w:before="0" w:after="0" w:line="560" w:lineRule="exact"/>
              <w:ind w:left="153" w:right="113"/>
              <w:jc w:val="center"/>
              <w:rPr>
                <w:rFonts w:ascii="Times New Roman" w:eastAsia="仿宋_GB2312" w:hAnsi="Times New Roman" w:cs="Times New Roman"/>
                <w:b/>
                <w:color w:val="000000" w:themeColor="text1"/>
                <w:sz w:val="30"/>
                <w:szCs w:val="30"/>
              </w:rPr>
            </w:pPr>
            <w:r>
              <w:rPr>
                <w:rFonts w:ascii="Times New Roman" w:eastAsia="仿宋_GB2312" w:hAnsi="Times New Roman" w:cs="Times New Roman"/>
                <w:b/>
                <w:color w:val="000000" w:themeColor="text1"/>
                <w:sz w:val="30"/>
                <w:szCs w:val="30"/>
              </w:rPr>
              <w:t>检验方法</w:t>
            </w:r>
          </w:p>
        </w:tc>
      </w:tr>
      <w:tr w:rsidR="00EE5EFD" w14:paraId="6DC4CC61" w14:textId="77777777" w:rsidTr="0038763C">
        <w:trPr>
          <w:cantSplit/>
          <w:trHeight w:val="43"/>
          <w:jc w:val="center"/>
        </w:trPr>
        <w:tc>
          <w:tcPr>
            <w:tcW w:w="1129" w:type="dxa"/>
            <w:shd w:val="clear" w:color="auto" w:fill="FFFFFF"/>
            <w:vAlign w:val="center"/>
          </w:tcPr>
          <w:p w14:paraId="26FC48F1" w14:textId="77777777" w:rsidR="00EE5EFD" w:rsidRDefault="00BA47DC">
            <w:pPr>
              <w:adjustRightInd w:val="0"/>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w:t>
            </w:r>
          </w:p>
        </w:tc>
        <w:tc>
          <w:tcPr>
            <w:tcW w:w="1539" w:type="dxa"/>
            <w:shd w:val="clear" w:color="auto" w:fill="FFFFFF"/>
            <w:vAlign w:val="center"/>
          </w:tcPr>
          <w:p w14:paraId="378702C5"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感官</w:t>
            </w:r>
          </w:p>
        </w:tc>
        <w:tc>
          <w:tcPr>
            <w:tcW w:w="1843" w:type="dxa"/>
            <w:vMerge w:val="restart"/>
            <w:shd w:val="clear" w:color="auto" w:fill="FFFFFF"/>
            <w:vAlign w:val="center"/>
          </w:tcPr>
          <w:p w14:paraId="51820267"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Q/CZKX 0001S</w:t>
            </w:r>
          </w:p>
        </w:tc>
        <w:tc>
          <w:tcPr>
            <w:tcW w:w="2693" w:type="dxa"/>
            <w:vMerge w:val="restart"/>
            <w:shd w:val="clear" w:color="auto" w:fill="FFFFFF"/>
            <w:vAlign w:val="center"/>
          </w:tcPr>
          <w:p w14:paraId="03A30429"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N-</w:t>
            </w:r>
            <w:r>
              <w:rPr>
                <w:rFonts w:ascii="Times New Roman" w:eastAsia="仿宋_GB2312" w:hAnsi="Times New Roman" w:cs="Times New Roman"/>
                <w:color w:val="000000" w:themeColor="text1"/>
                <w:sz w:val="30"/>
                <w:szCs w:val="30"/>
              </w:rPr>
              <w:t>乙酰神经氨酸</w:t>
            </w:r>
          </w:p>
        </w:tc>
        <w:tc>
          <w:tcPr>
            <w:tcW w:w="2098" w:type="dxa"/>
            <w:shd w:val="clear" w:color="auto" w:fill="FFFFFF"/>
            <w:vAlign w:val="center"/>
          </w:tcPr>
          <w:p w14:paraId="1FE34B19"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按照对应标准</w:t>
            </w:r>
          </w:p>
        </w:tc>
      </w:tr>
      <w:tr w:rsidR="00EE5EFD" w14:paraId="069C4683" w14:textId="77777777" w:rsidTr="0038763C">
        <w:trPr>
          <w:cantSplit/>
          <w:trHeight w:val="302"/>
          <w:jc w:val="center"/>
        </w:trPr>
        <w:tc>
          <w:tcPr>
            <w:tcW w:w="1129" w:type="dxa"/>
            <w:shd w:val="clear" w:color="auto" w:fill="FFFFFF"/>
            <w:vAlign w:val="center"/>
          </w:tcPr>
          <w:p w14:paraId="31E19E53" w14:textId="77777777" w:rsidR="00EE5EFD" w:rsidRDefault="00BA47DC">
            <w:pPr>
              <w:adjustRightInd w:val="0"/>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2</w:t>
            </w:r>
          </w:p>
        </w:tc>
        <w:tc>
          <w:tcPr>
            <w:tcW w:w="1539" w:type="dxa"/>
            <w:shd w:val="clear" w:color="auto" w:fill="FFFFFF"/>
            <w:vAlign w:val="center"/>
          </w:tcPr>
          <w:p w14:paraId="37839E02"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N-</w:t>
            </w:r>
            <w:r>
              <w:rPr>
                <w:rFonts w:ascii="Times New Roman" w:eastAsia="仿宋_GB2312" w:hAnsi="Times New Roman" w:cs="Times New Roman"/>
                <w:color w:val="000000" w:themeColor="text1"/>
                <w:sz w:val="30"/>
                <w:szCs w:val="30"/>
              </w:rPr>
              <w:t>乙酰神经氨酸</w:t>
            </w:r>
          </w:p>
        </w:tc>
        <w:tc>
          <w:tcPr>
            <w:tcW w:w="1843" w:type="dxa"/>
            <w:vMerge/>
            <w:shd w:val="clear" w:color="auto" w:fill="FFFFFF"/>
            <w:vAlign w:val="center"/>
          </w:tcPr>
          <w:p w14:paraId="4F5193FC"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693" w:type="dxa"/>
            <w:vMerge/>
            <w:shd w:val="clear" w:color="auto" w:fill="FFFFFF"/>
            <w:vAlign w:val="center"/>
          </w:tcPr>
          <w:p w14:paraId="07A6FB8C"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098" w:type="dxa"/>
            <w:shd w:val="clear" w:color="auto" w:fill="FFFFFF"/>
            <w:vAlign w:val="center"/>
          </w:tcPr>
          <w:p w14:paraId="2C0CEAE6"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31614.1</w:t>
            </w:r>
          </w:p>
        </w:tc>
      </w:tr>
      <w:tr w:rsidR="00EE5EFD" w14:paraId="7261228A" w14:textId="77777777" w:rsidTr="0038763C">
        <w:trPr>
          <w:cantSplit/>
          <w:trHeight w:val="302"/>
          <w:jc w:val="center"/>
        </w:trPr>
        <w:tc>
          <w:tcPr>
            <w:tcW w:w="1129" w:type="dxa"/>
            <w:shd w:val="clear" w:color="auto" w:fill="FFFFFF"/>
            <w:vAlign w:val="center"/>
          </w:tcPr>
          <w:p w14:paraId="3449B19C" w14:textId="77777777" w:rsidR="00EE5EFD" w:rsidRDefault="00BA47DC">
            <w:pPr>
              <w:adjustRightInd w:val="0"/>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3</w:t>
            </w:r>
          </w:p>
        </w:tc>
        <w:tc>
          <w:tcPr>
            <w:tcW w:w="1539" w:type="dxa"/>
            <w:shd w:val="clear" w:color="auto" w:fill="FFFFFF"/>
            <w:vAlign w:val="center"/>
          </w:tcPr>
          <w:p w14:paraId="0A2F72FC"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pH</w:t>
            </w:r>
            <w:r>
              <w:rPr>
                <w:rFonts w:ascii="Times New Roman" w:eastAsia="仿宋_GB2312" w:hAnsi="Times New Roman" w:cs="Times New Roman"/>
                <w:color w:val="000000" w:themeColor="text1"/>
                <w:sz w:val="30"/>
                <w:szCs w:val="30"/>
              </w:rPr>
              <w:t>值</w:t>
            </w:r>
          </w:p>
        </w:tc>
        <w:tc>
          <w:tcPr>
            <w:tcW w:w="1843" w:type="dxa"/>
            <w:vMerge/>
            <w:shd w:val="clear" w:color="auto" w:fill="FFFFFF"/>
            <w:vAlign w:val="center"/>
          </w:tcPr>
          <w:p w14:paraId="595AE1B2"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693" w:type="dxa"/>
            <w:vMerge/>
            <w:shd w:val="clear" w:color="auto" w:fill="FFFFFF"/>
            <w:vAlign w:val="center"/>
          </w:tcPr>
          <w:p w14:paraId="0E9153B1"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098" w:type="dxa"/>
            <w:shd w:val="clear" w:color="auto" w:fill="FFFFFF"/>
            <w:vAlign w:val="center"/>
          </w:tcPr>
          <w:p w14:paraId="78446199"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 xml:space="preserve">GB </w:t>
            </w:r>
            <w:r>
              <w:rPr>
                <w:rFonts w:ascii="Times New Roman" w:eastAsia="仿宋_GB2312" w:hAnsi="Times New Roman" w:cs="Times New Roman"/>
                <w:color w:val="000000" w:themeColor="text1"/>
                <w:sz w:val="30"/>
                <w:szCs w:val="30"/>
              </w:rPr>
              <w:t>5009.237</w:t>
            </w:r>
          </w:p>
        </w:tc>
      </w:tr>
      <w:tr w:rsidR="00EE5EFD" w14:paraId="1C9D0F2A" w14:textId="77777777" w:rsidTr="0038763C">
        <w:trPr>
          <w:cantSplit/>
          <w:trHeight w:val="302"/>
          <w:jc w:val="center"/>
        </w:trPr>
        <w:tc>
          <w:tcPr>
            <w:tcW w:w="1129" w:type="dxa"/>
            <w:shd w:val="clear" w:color="auto" w:fill="FFFFFF"/>
            <w:vAlign w:val="center"/>
          </w:tcPr>
          <w:p w14:paraId="137700FF" w14:textId="77777777" w:rsidR="00EE5EFD" w:rsidRDefault="00BA47DC">
            <w:pPr>
              <w:adjustRightInd w:val="0"/>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4</w:t>
            </w:r>
          </w:p>
        </w:tc>
        <w:tc>
          <w:tcPr>
            <w:tcW w:w="1539" w:type="dxa"/>
            <w:shd w:val="clear" w:color="auto" w:fill="FFFFFF"/>
            <w:vAlign w:val="center"/>
          </w:tcPr>
          <w:p w14:paraId="576DE9A9"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水分</w:t>
            </w:r>
          </w:p>
        </w:tc>
        <w:tc>
          <w:tcPr>
            <w:tcW w:w="1843" w:type="dxa"/>
            <w:vMerge/>
            <w:shd w:val="clear" w:color="auto" w:fill="FFFFFF"/>
            <w:vAlign w:val="center"/>
          </w:tcPr>
          <w:p w14:paraId="2EA9ECFC"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693" w:type="dxa"/>
            <w:vMerge/>
            <w:shd w:val="clear" w:color="auto" w:fill="FFFFFF"/>
            <w:vAlign w:val="center"/>
          </w:tcPr>
          <w:p w14:paraId="47F54B4D"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098" w:type="dxa"/>
            <w:shd w:val="clear" w:color="auto" w:fill="FFFFFF"/>
          </w:tcPr>
          <w:p w14:paraId="285694F4"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5009.3</w:t>
            </w:r>
          </w:p>
        </w:tc>
      </w:tr>
      <w:tr w:rsidR="00EE5EFD" w14:paraId="5EF5C1B1" w14:textId="77777777" w:rsidTr="0038763C">
        <w:trPr>
          <w:cantSplit/>
          <w:trHeight w:val="302"/>
          <w:jc w:val="center"/>
        </w:trPr>
        <w:tc>
          <w:tcPr>
            <w:tcW w:w="1129" w:type="dxa"/>
            <w:shd w:val="clear" w:color="auto" w:fill="FFFFFF"/>
            <w:vAlign w:val="center"/>
          </w:tcPr>
          <w:p w14:paraId="505B6C6A" w14:textId="77777777" w:rsidR="00EE5EFD" w:rsidRDefault="00BA47DC">
            <w:pPr>
              <w:adjustRightInd w:val="0"/>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5</w:t>
            </w:r>
          </w:p>
        </w:tc>
        <w:tc>
          <w:tcPr>
            <w:tcW w:w="1539" w:type="dxa"/>
            <w:shd w:val="clear" w:color="auto" w:fill="FFFFFF"/>
            <w:vAlign w:val="center"/>
          </w:tcPr>
          <w:p w14:paraId="5E5AF426"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灰分</w:t>
            </w:r>
          </w:p>
        </w:tc>
        <w:tc>
          <w:tcPr>
            <w:tcW w:w="1843" w:type="dxa"/>
            <w:vMerge/>
            <w:shd w:val="clear" w:color="auto" w:fill="FFFFFF"/>
          </w:tcPr>
          <w:p w14:paraId="6255473F"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693" w:type="dxa"/>
            <w:vMerge/>
            <w:shd w:val="clear" w:color="auto" w:fill="FFFFFF"/>
            <w:vAlign w:val="center"/>
          </w:tcPr>
          <w:p w14:paraId="7C9B15DF"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098" w:type="dxa"/>
            <w:shd w:val="clear" w:color="auto" w:fill="FFFFFF"/>
          </w:tcPr>
          <w:p w14:paraId="64A311FB"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5009.4</w:t>
            </w:r>
          </w:p>
        </w:tc>
      </w:tr>
      <w:tr w:rsidR="00EE5EFD" w14:paraId="6A4C29FF" w14:textId="77777777" w:rsidTr="0038763C">
        <w:trPr>
          <w:cantSplit/>
          <w:trHeight w:val="20"/>
          <w:jc w:val="center"/>
        </w:trPr>
        <w:tc>
          <w:tcPr>
            <w:tcW w:w="1129" w:type="dxa"/>
            <w:shd w:val="clear" w:color="auto" w:fill="FFFFFF"/>
            <w:vAlign w:val="center"/>
          </w:tcPr>
          <w:p w14:paraId="151498A4"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6</w:t>
            </w:r>
          </w:p>
        </w:tc>
        <w:tc>
          <w:tcPr>
            <w:tcW w:w="1539" w:type="dxa"/>
            <w:shd w:val="clear" w:color="auto" w:fill="FFFFFF"/>
            <w:vAlign w:val="center"/>
          </w:tcPr>
          <w:p w14:paraId="52309049"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铅</w:t>
            </w:r>
          </w:p>
        </w:tc>
        <w:tc>
          <w:tcPr>
            <w:tcW w:w="1843" w:type="dxa"/>
            <w:vMerge/>
            <w:shd w:val="clear" w:color="auto" w:fill="FFFFFF"/>
            <w:vAlign w:val="center"/>
          </w:tcPr>
          <w:p w14:paraId="2C1C3004"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693" w:type="dxa"/>
            <w:vMerge/>
            <w:shd w:val="clear" w:color="auto" w:fill="FFFFFF"/>
            <w:vAlign w:val="center"/>
          </w:tcPr>
          <w:p w14:paraId="506AC7B8"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098" w:type="dxa"/>
            <w:shd w:val="clear" w:color="auto" w:fill="FFFFFF"/>
          </w:tcPr>
          <w:p w14:paraId="2B7CB583"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5009.12</w:t>
            </w:r>
          </w:p>
        </w:tc>
      </w:tr>
      <w:tr w:rsidR="00EE5EFD" w14:paraId="4593A8FE" w14:textId="77777777" w:rsidTr="0038763C">
        <w:trPr>
          <w:cantSplit/>
          <w:trHeight w:val="90"/>
          <w:jc w:val="center"/>
        </w:trPr>
        <w:tc>
          <w:tcPr>
            <w:tcW w:w="1129" w:type="dxa"/>
            <w:shd w:val="clear" w:color="auto" w:fill="FFFFFF"/>
            <w:vAlign w:val="center"/>
          </w:tcPr>
          <w:p w14:paraId="06F3F973"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7</w:t>
            </w:r>
          </w:p>
        </w:tc>
        <w:tc>
          <w:tcPr>
            <w:tcW w:w="1539" w:type="dxa"/>
            <w:shd w:val="clear" w:color="auto" w:fill="FFFFFF"/>
            <w:vAlign w:val="center"/>
          </w:tcPr>
          <w:p w14:paraId="58B57423"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总汞</w:t>
            </w:r>
          </w:p>
        </w:tc>
        <w:tc>
          <w:tcPr>
            <w:tcW w:w="1843" w:type="dxa"/>
            <w:vMerge/>
            <w:shd w:val="clear" w:color="auto" w:fill="FFFFFF"/>
            <w:vAlign w:val="center"/>
          </w:tcPr>
          <w:p w14:paraId="443547DE"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693" w:type="dxa"/>
            <w:vMerge/>
            <w:shd w:val="clear" w:color="auto" w:fill="FFFFFF"/>
            <w:vAlign w:val="center"/>
          </w:tcPr>
          <w:p w14:paraId="4B12F1BB"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098" w:type="dxa"/>
            <w:shd w:val="clear" w:color="auto" w:fill="FFFFFF"/>
          </w:tcPr>
          <w:p w14:paraId="30D063DB"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5009.17</w:t>
            </w:r>
          </w:p>
        </w:tc>
      </w:tr>
      <w:tr w:rsidR="00EE5EFD" w14:paraId="6150D1CC" w14:textId="77777777" w:rsidTr="0038763C">
        <w:trPr>
          <w:cantSplit/>
          <w:trHeight w:val="90"/>
          <w:jc w:val="center"/>
        </w:trPr>
        <w:tc>
          <w:tcPr>
            <w:tcW w:w="1129" w:type="dxa"/>
            <w:shd w:val="clear" w:color="auto" w:fill="FFFFFF"/>
            <w:vAlign w:val="center"/>
          </w:tcPr>
          <w:p w14:paraId="4CC6E958"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8</w:t>
            </w:r>
          </w:p>
        </w:tc>
        <w:tc>
          <w:tcPr>
            <w:tcW w:w="1539" w:type="dxa"/>
            <w:shd w:val="clear" w:color="auto" w:fill="FFFFFF"/>
            <w:vAlign w:val="center"/>
          </w:tcPr>
          <w:p w14:paraId="05F2C358"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总砷</w:t>
            </w:r>
          </w:p>
        </w:tc>
        <w:tc>
          <w:tcPr>
            <w:tcW w:w="1843" w:type="dxa"/>
            <w:vMerge/>
            <w:shd w:val="clear" w:color="auto" w:fill="FFFFFF"/>
            <w:vAlign w:val="center"/>
          </w:tcPr>
          <w:p w14:paraId="4D3CA96F"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693" w:type="dxa"/>
            <w:vMerge/>
            <w:shd w:val="clear" w:color="auto" w:fill="FFFFFF"/>
            <w:vAlign w:val="center"/>
          </w:tcPr>
          <w:p w14:paraId="2B3CF672"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098" w:type="dxa"/>
            <w:shd w:val="clear" w:color="auto" w:fill="FFFFFF"/>
          </w:tcPr>
          <w:p w14:paraId="5CC73533"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5009.11</w:t>
            </w:r>
          </w:p>
        </w:tc>
      </w:tr>
      <w:tr w:rsidR="00EE5EFD" w14:paraId="538B7884" w14:textId="77777777" w:rsidTr="0038763C">
        <w:trPr>
          <w:cantSplit/>
          <w:trHeight w:val="326"/>
          <w:jc w:val="center"/>
        </w:trPr>
        <w:tc>
          <w:tcPr>
            <w:tcW w:w="1129" w:type="dxa"/>
            <w:shd w:val="clear" w:color="auto" w:fill="FFFFFF"/>
            <w:vAlign w:val="center"/>
          </w:tcPr>
          <w:p w14:paraId="748D6B01"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9</w:t>
            </w:r>
          </w:p>
        </w:tc>
        <w:tc>
          <w:tcPr>
            <w:tcW w:w="1539" w:type="dxa"/>
            <w:shd w:val="clear" w:color="auto" w:fill="FFFFFF"/>
            <w:vAlign w:val="center"/>
          </w:tcPr>
          <w:p w14:paraId="704EF4C7"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黄曲霉毒素</w:t>
            </w:r>
            <w:r>
              <w:rPr>
                <w:rFonts w:ascii="Times New Roman" w:eastAsia="仿宋_GB2312" w:hAnsi="Times New Roman" w:cs="Times New Roman"/>
                <w:color w:val="000000" w:themeColor="text1"/>
                <w:sz w:val="30"/>
                <w:szCs w:val="30"/>
              </w:rPr>
              <w:t>B</w:t>
            </w:r>
            <w:r>
              <w:rPr>
                <w:rFonts w:ascii="Times New Roman" w:eastAsia="仿宋_GB2312" w:hAnsi="Times New Roman" w:cs="Times New Roman"/>
                <w:color w:val="000000" w:themeColor="text1"/>
                <w:sz w:val="30"/>
                <w:szCs w:val="30"/>
                <w:vertAlign w:val="subscript"/>
              </w:rPr>
              <w:t>1</w:t>
            </w:r>
          </w:p>
        </w:tc>
        <w:tc>
          <w:tcPr>
            <w:tcW w:w="1843" w:type="dxa"/>
            <w:vMerge/>
            <w:shd w:val="clear" w:color="auto" w:fill="FFFFFF"/>
            <w:vAlign w:val="center"/>
          </w:tcPr>
          <w:p w14:paraId="20117A65"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693" w:type="dxa"/>
            <w:vMerge/>
            <w:shd w:val="clear" w:color="auto" w:fill="FFFFFF"/>
            <w:vAlign w:val="center"/>
          </w:tcPr>
          <w:p w14:paraId="59913128"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098" w:type="dxa"/>
            <w:shd w:val="clear" w:color="auto" w:fill="FFFFFF"/>
            <w:vAlign w:val="center"/>
          </w:tcPr>
          <w:p w14:paraId="3217BBC6"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5009.22</w:t>
            </w:r>
          </w:p>
        </w:tc>
      </w:tr>
      <w:tr w:rsidR="00EE5EFD" w14:paraId="55F952B8" w14:textId="77777777" w:rsidTr="0038763C">
        <w:trPr>
          <w:cantSplit/>
          <w:trHeight w:val="326"/>
          <w:jc w:val="center"/>
        </w:trPr>
        <w:tc>
          <w:tcPr>
            <w:tcW w:w="1129" w:type="dxa"/>
            <w:shd w:val="clear" w:color="auto" w:fill="FFFFFF"/>
            <w:vAlign w:val="center"/>
          </w:tcPr>
          <w:p w14:paraId="289B34C6"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10</w:t>
            </w:r>
          </w:p>
        </w:tc>
        <w:tc>
          <w:tcPr>
            <w:tcW w:w="1539" w:type="dxa"/>
            <w:shd w:val="clear" w:color="auto" w:fill="FFFFFF"/>
            <w:vAlign w:val="center"/>
          </w:tcPr>
          <w:p w14:paraId="65445B15"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菌落</w:t>
            </w:r>
          </w:p>
          <w:p w14:paraId="0A671597"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总数</w:t>
            </w:r>
          </w:p>
        </w:tc>
        <w:tc>
          <w:tcPr>
            <w:tcW w:w="1843" w:type="dxa"/>
            <w:vMerge/>
            <w:shd w:val="clear" w:color="auto" w:fill="FFFFFF"/>
            <w:vAlign w:val="center"/>
          </w:tcPr>
          <w:p w14:paraId="2FB3F6FB"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693" w:type="dxa"/>
            <w:vMerge/>
            <w:shd w:val="clear" w:color="auto" w:fill="FFFFFF"/>
            <w:vAlign w:val="center"/>
          </w:tcPr>
          <w:p w14:paraId="2616CCB5"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098" w:type="dxa"/>
            <w:shd w:val="clear" w:color="auto" w:fill="FFFFFF"/>
            <w:vAlign w:val="center"/>
          </w:tcPr>
          <w:p w14:paraId="53B80735"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4789.2</w:t>
            </w:r>
          </w:p>
        </w:tc>
      </w:tr>
      <w:tr w:rsidR="00EE5EFD" w14:paraId="0B343FD7" w14:textId="77777777" w:rsidTr="0038763C">
        <w:trPr>
          <w:cantSplit/>
          <w:trHeight w:val="50"/>
          <w:jc w:val="center"/>
        </w:trPr>
        <w:tc>
          <w:tcPr>
            <w:tcW w:w="1129" w:type="dxa"/>
            <w:shd w:val="clear" w:color="auto" w:fill="FFFFFF"/>
            <w:vAlign w:val="center"/>
          </w:tcPr>
          <w:p w14:paraId="58E74E36"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11</w:t>
            </w:r>
          </w:p>
        </w:tc>
        <w:tc>
          <w:tcPr>
            <w:tcW w:w="1539" w:type="dxa"/>
            <w:shd w:val="clear" w:color="auto" w:fill="FFFFFF"/>
            <w:vAlign w:val="center"/>
          </w:tcPr>
          <w:p w14:paraId="3CB040A3"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大肠</w:t>
            </w:r>
          </w:p>
          <w:p w14:paraId="50AC90F2"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菌群</w:t>
            </w:r>
          </w:p>
        </w:tc>
        <w:tc>
          <w:tcPr>
            <w:tcW w:w="1843" w:type="dxa"/>
            <w:vMerge/>
            <w:shd w:val="clear" w:color="auto" w:fill="FFFFFF"/>
            <w:vAlign w:val="center"/>
          </w:tcPr>
          <w:p w14:paraId="074164B1"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693" w:type="dxa"/>
            <w:vMerge/>
            <w:shd w:val="clear" w:color="auto" w:fill="FFFFFF"/>
            <w:vAlign w:val="center"/>
          </w:tcPr>
          <w:p w14:paraId="72C0866E"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098" w:type="dxa"/>
            <w:shd w:val="clear" w:color="auto" w:fill="FFFFFF"/>
            <w:vAlign w:val="center"/>
          </w:tcPr>
          <w:p w14:paraId="5EF229A3"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4789.3</w:t>
            </w:r>
          </w:p>
        </w:tc>
      </w:tr>
      <w:tr w:rsidR="00EE5EFD" w14:paraId="23AF2EAB" w14:textId="77777777" w:rsidTr="0038763C">
        <w:trPr>
          <w:cantSplit/>
          <w:trHeight w:val="90"/>
          <w:jc w:val="center"/>
        </w:trPr>
        <w:tc>
          <w:tcPr>
            <w:tcW w:w="1129" w:type="dxa"/>
            <w:shd w:val="clear" w:color="auto" w:fill="FFFFFF"/>
            <w:vAlign w:val="center"/>
          </w:tcPr>
          <w:p w14:paraId="6E81C49D"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lastRenderedPageBreak/>
              <w:t>12</w:t>
            </w:r>
          </w:p>
        </w:tc>
        <w:tc>
          <w:tcPr>
            <w:tcW w:w="1539" w:type="dxa"/>
            <w:shd w:val="clear" w:color="auto" w:fill="FFFFFF"/>
            <w:vAlign w:val="center"/>
          </w:tcPr>
          <w:p w14:paraId="0360AD01"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金黄色葡萄球菌</w:t>
            </w:r>
          </w:p>
        </w:tc>
        <w:tc>
          <w:tcPr>
            <w:tcW w:w="1843" w:type="dxa"/>
            <w:vMerge/>
            <w:shd w:val="clear" w:color="auto" w:fill="FFFFFF"/>
            <w:vAlign w:val="center"/>
          </w:tcPr>
          <w:p w14:paraId="2ED9BD7B"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693" w:type="dxa"/>
            <w:vMerge/>
            <w:shd w:val="clear" w:color="auto" w:fill="FFFFFF"/>
            <w:vAlign w:val="center"/>
          </w:tcPr>
          <w:p w14:paraId="7246E169"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098" w:type="dxa"/>
            <w:shd w:val="clear" w:color="auto" w:fill="FFFFFF"/>
            <w:vAlign w:val="center"/>
          </w:tcPr>
          <w:p w14:paraId="24426F29"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4789.10</w:t>
            </w:r>
          </w:p>
        </w:tc>
      </w:tr>
      <w:tr w:rsidR="00EE5EFD" w14:paraId="22E2C5D1" w14:textId="77777777" w:rsidTr="0038763C">
        <w:trPr>
          <w:cantSplit/>
          <w:trHeight w:val="90"/>
          <w:jc w:val="center"/>
        </w:trPr>
        <w:tc>
          <w:tcPr>
            <w:tcW w:w="1129" w:type="dxa"/>
            <w:shd w:val="clear" w:color="auto" w:fill="FFFFFF"/>
            <w:vAlign w:val="center"/>
          </w:tcPr>
          <w:p w14:paraId="129E277F"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13</w:t>
            </w:r>
          </w:p>
        </w:tc>
        <w:tc>
          <w:tcPr>
            <w:tcW w:w="1539" w:type="dxa"/>
            <w:shd w:val="clear" w:color="auto" w:fill="FFFFFF"/>
            <w:vAlign w:val="center"/>
          </w:tcPr>
          <w:p w14:paraId="585DF0A7"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沙门</w:t>
            </w:r>
          </w:p>
          <w:p w14:paraId="26E61561"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氏菌</w:t>
            </w:r>
          </w:p>
        </w:tc>
        <w:tc>
          <w:tcPr>
            <w:tcW w:w="1843" w:type="dxa"/>
            <w:vMerge/>
            <w:shd w:val="clear" w:color="auto" w:fill="FFFFFF"/>
            <w:vAlign w:val="center"/>
          </w:tcPr>
          <w:p w14:paraId="63CEF47E"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693" w:type="dxa"/>
            <w:vMerge/>
            <w:shd w:val="clear" w:color="auto" w:fill="FFFFFF"/>
            <w:vAlign w:val="center"/>
          </w:tcPr>
          <w:p w14:paraId="15865FD7"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098" w:type="dxa"/>
            <w:shd w:val="clear" w:color="auto" w:fill="FFFFFF"/>
            <w:vAlign w:val="center"/>
          </w:tcPr>
          <w:p w14:paraId="5F177B51"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4789.4</w:t>
            </w:r>
          </w:p>
        </w:tc>
      </w:tr>
      <w:tr w:rsidR="00EE5EFD" w14:paraId="687DAFF6" w14:textId="77777777" w:rsidTr="0038763C">
        <w:trPr>
          <w:cantSplit/>
          <w:trHeight w:val="90"/>
          <w:jc w:val="center"/>
        </w:trPr>
        <w:tc>
          <w:tcPr>
            <w:tcW w:w="1129" w:type="dxa"/>
            <w:shd w:val="clear" w:color="auto" w:fill="FFFFFF"/>
            <w:vAlign w:val="center"/>
          </w:tcPr>
          <w:p w14:paraId="70CBB246"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14</w:t>
            </w:r>
          </w:p>
        </w:tc>
        <w:tc>
          <w:tcPr>
            <w:tcW w:w="1539" w:type="dxa"/>
            <w:shd w:val="clear" w:color="auto" w:fill="FFFFFF"/>
            <w:vAlign w:val="center"/>
          </w:tcPr>
          <w:p w14:paraId="51830EFB"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霉菌</w:t>
            </w:r>
          </w:p>
        </w:tc>
        <w:tc>
          <w:tcPr>
            <w:tcW w:w="1843" w:type="dxa"/>
            <w:vMerge/>
            <w:shd w:val="clear" w:color="auto" w:fill="FFFFFF"/>
            <w:vAlign w:val="center"/>
          </w:tcPr>
          <w:p w14:paraId="2BE28E39"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693" w:type="dxa"/>
            <w:vMerge/>
            <w:shd w:val="clear" w:color="auto" w:fill="FFFFFF"/>
            <w:vAlign w:val="center"/>
          </w:tcPr>
          <w:p w14:paraId="2D76EEC9"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098" w:type="dxa"/>
            <w:shd w:val="clear" w:color="auto" w:fill="FFFFFF"/>
            <w:vAlign w:val="center"/>
          </w:tcPr>
          <w:p w14:paraId="46B352D6"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4789.15</w:t>
            </w:r>
          </w:p>
        </w:tc>
      </w:tr>
      <w:tr w:rsidR="00EE5EFD" w14:paraId="06F78837" w14:textId="77777777" w:rsidTr="0038763C">
        <w:trPr>
          <w:cantSplit/>
          <w:trHeight w:val="98"/>
          <w:jc w:val="center"/>
        </w:trPr>
        <w:tc>
          <w:tcPr>
            <w:tcW w:w="1129" w:type="dxa"/>
            <w:shd w:val="clear" w:color="auto" w:fill="FFFFFF"/>
            <w:vAlign w:val="center"/>
          </w:tcPr>
          <w:p w14:paraId="38D45080"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15</w:t>
            </w:r>
          </w:p>
        </w:tc>
        <w:tc>
          <w:tcPr>
            <w:tcW w:w="1539" w:type="dxa"/>
            <w:shd w:val="clear" w:color="auto" w:fill="FFFFFF"/>
            <w:vAlign w:val="center"/>
          </w:tcPr>
          <w:p w14:paraId="44211A10"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酵母</w:t>
            </w:r>
          </w:p>
        </w:tc>
        <w:tc>
          <w:tcPr>
            <w:tcW w:w="1843" w:type="dxa"/>
            <w:vMerge/>
            <w:shd w:val="clear" w:color="auto" w:fill="FFFFFF"/>
            <w:vAlign w:val="center"/>
          </w:tcPr>
          <w:p w14:paraId="44F1B04E"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693" w:type="dxa"/>
            <w:vMerge/>
            <w:shd w:val="clear" w:color="auto" w:fill="FFFFFF"/>
            <w:vAlign w:val="center"/>
          </w:tcPr>
          <w:p w14:paraId="070567AC" w14:textId="77777777" w:rsidR="00EE5EFD" w:rsidRDefault="00EE5EFD">
            <w:pPr>
              <w:spacing w:before="0" w:after="0" w:line="560" w:lineRule="exact"/>
              <w:ind w:left="153" w:right="113"/>
              <w:jc w:val="center"/>
              <w:rPr>
                <w:rFonts w:ascii="Times New Roman" w:eastAsia="仿宋_GB2312" w:hAnsi="Times New Roman" w:cs="Times New Roman"/>
                <w:color w:val="000000" w:themeColor="text1"/>
                <w:sz w:val="30"/>
                <w:szCs w:val="30"/>
              </w:rPr>
            </w:pPr>
          </w:p>
        </w:tc>
        <w:tc>
          <w:tcPr>
            <w:tcW w:w="2098" w:type="dxa"/>
            <w:shd w:val="clear" w:color="auto" w:fill="FFFFFF"/>
            <w:vAlign w:val="center"/>
          </w:tcPr>
          <w:p w14:paraId="7566E1F6"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 xml:space="preserve">GB </w:t>
            </w:r>
            <w:r>
              <w:rPr>
                <w:rFonts w:ascii="Times New Roman" w:eastAsia="仿宋_GB2312" w:hAnsi="Times New Roman" w:cs="Times New Roman"/>
                <w:color w:val="000000" w:themeColor="text1"/>
                <w:sz w:val="30"/>
                <w:szCs w:val="30"/>
              </w:rPr>
              <w:t>4789.15</w:t>
            </w:r>
          </w:p>
        </w:tc>
      </w:tr>
      <w:tr w:rsidR="00EE5EFD" w14:paraId="73626079" w14:textId="77777777" w:rsidTr="0038763C">
        <w:trPr>
          <w:cantSplit/>
          <w:trHeight w:val="90"/>
          <w:jc w:val="center"/>
        </w:trPr>
        <w:tc>
          <w:tcPr>
            <w:tcW w:w="1129" w:type="dxa"/>
            <w:shd w:val="clear" w:color="auto" w:fill="FFFFFF"/>
            <w:vAlign w:val="center"/>
          </w:tcPr>
          <w:p w14:paraId="6131648B"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16</w:t>
            </w:r>
          </w:p>
        </w:tc>
        <w:tc>
          <w:tcPr>
            <w:tcW w:w="1539" w:type="dxa"/>
            <w:shd w:val="clear" w:color="auto" w:fill="FFFFFF"/>
            <w:vAlign w:val="center"/>
          </w:tcPr>
          <w:p w14:paraId="3EEB1C09"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食品添加剂</w:t>
            </w:r>
          </w:p>
        </w:tc>
        <w:tc>
          <w:tcPr>
            <w:tcW w:w="1843" w:type="dxa"/>
            <w:shd w:val="clear" w:color="auto" w:fill="FFFFFF"/>
            <w:vAlign w:val="center"/>
          </w:tcPr>
          <w:p w14:paraId="5C9F628E"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hyperlink r:id="rId8" w:history="1">
              <w:r>
                <w:rPr>
                  <w:rFonts w:ascii="Times New Roman" w:eastAsia="仿宋_GB2312" w:hAnsi="Times New Roman" w:cs="Times New Roman"/>
                  <w:color w:val="000000" w:themeColor="text1"/>
                  <w:sz w:val="30"/>
                  <w:szCs w:val="30"/>
                </w:rPr>
                <w:t xml:space="preserve">GB </w:t>
              </w:r>
            </w:hyperlink>
            <w:r>
              <w:rPr>
                <w:rFonts w:ascii="Times New Roman" w:eastAsia="仿宋_GB2312" w:hAnsi="Times New Roman" w:cs="Times New Roman"/>
                <w:color w:val="000000" w:themeColor="text1"/>
                <w:sz w:val="30"/>
                <w:szCs w:val="30"/>
              </w:rPr>
              <w:t>2760</w:t>
            </w:r>
          </w:p>
        </w:tc>
        <w:tc>
          <w:tcPr>
            <w:tcW w:w="2693" w:type="dxa"/>
            <w:shd w:val="clear" w:color="auto" w:fill="FFFFFF"/>
            <w:vAlign w:val="center"/>
          </w:tcPr>
          <w:p w14:paraId="6994C0E4" w14:textId="77777777" w:rsidR="00EE5EFD" w:rsidRDefault="00BA47DC">
            <w:pPr>
              <w:spacing w:before="0" w:after="0" w:line="560" w:lineRule="exact"/>
              <w:ind w:left="153" w:right="113"/>
              <w:rPr>
                <w:rFonts w:ascii="Times New Roman" w:eastAsia="仿宋_GB2312" w:hAnsi="Times New Roman" w:cs="Times New Roman"/>
                <w:color w:val="000000" w:themeColor="text1"/>
                <w:kern w:val="0"/>
                <w:sz w:val="30"/>
                <w:szCs w:val="30"/>
              </w:rPr>
            </w:pPr>
            <w:r>
              <w:rPr>
                <w:rFonts w:ascii="Times New Roman" w:eastAsia="仿宋_GB2312" w:hAnsi="Times New Roman" w:cs="Times New Roman"/>
                <w:color w:val="000000" w:themeColor="text1"/>
                <w:sz w:val="30"/>
                <w:szCs w:val="30"/>
              </w:rPr>
              <w:t>食品安全国家标准</w:t>
            </w:r>
            <w:r>
              <w:rPr>
                <w:rFonts w:ascii="Times New Roman" w:eastAsia="仿宋_GB2312" w:hAnsi="Times New Roman" w:cs="Times New Roman"/>
                <w:color w:val="000000" w:themeColor="text1"/>
                <w:kern w:val="0"/>
                <w:sz w:val="30"/>
                <w:szCs w:val="30"/>
              </w:rPr>
              <w:t xml:space="preserve"> </w:t>
            </w:r>
            <w:r>
              <w:rPr>
                <w:rFonts w:ascii="Times New Roman" w:eastAsia="仿宋_GB2312" w:hAnsi="Times New Roman" w:cs="Times New Roman"/>
                <w:color w:val="000000" w:themeColor="text1"/>
                <w:kern w:val="0"/>
                <w:sz w:val="30"/>
                <w:szCs w:val="30"/>
              </w:rPr>
              <w:t>食品添加剂使用标准</w:t>
            </w:r>
          </w:p>
        </w:tc>
        <w:tc>
          <w:tcPr>
            <w:tcW w:w="2098" w:type="dxa"/>
            <w:shd w:val="clear" w:color="auto" w:fill="FFFFFF"/>
            <w:vAlign w:val="center"/>
          </w:tcPr>
          <w:p w14:paraId="0AB8ECD5"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按照对应标准</w:t>
            </w:r>
          </w:p>
        </w:tc>
      </w:tr>
      <w:tr w:rsidR="00EE5EFD" w14:paraId="27BBFA96" w14:textId="77777777" w:rsidTr="0038763C">
        <w:trPr>
          <w:cantSplit/>
          <w:trHeight w:val="90"/>
          <w:jc w:val="center"/>
        </w:trPr>
        <w:tc>
          <w:tcPr>
            <w:tcW w:w="1129" w:type="dxa"/>
            <w:shd w:val="clear" w:color="auto" w:fill="FFFFFF"/>
            <w:vAlign w:val="center"/>
          </w:tcPr>
          <w:p w14:paraId="201BEB89"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17</w:t>
            </w:r>
          </w:p>
        </w:tc>
        <w:tc>
          <w:tcPr>
            <w:tcW w:w="1539" w:type="dxa"/>
            <w:shd w:val="clear" w:color="auto" w:fill="FFFFFF"/>
            <w:vAlign w:val="center"/>
          </w:tcPr>
          <w:p w14:paraId="6A2797B2"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营养强化剂</w:t>
            </w:r>
          </w:p>
        </w:tc>
        <w:tc>
          <w:tcPr>
            <w:tcW w:w="1843" w:type="dxa"/>
            <w:shd w:val="clear" w:color="auto" w:fill="FFFFFF"/>
            <w:vAlign w:val="center"/>
          </w:tcPr>
          <w:p w14:paraId="0BF378F6"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14880</w:t>
            </w:r>
          </w:p>
        </w:tc>
        <w:tc>
          <w:tcPr>
            <w:tcW w:w="2693" w:type="dxa"/>
            <w:shd w:val="clear" w:color="auto" w:fill="FFFFFF"/>
            <w:vAlign w:val="center"/>
          </w:tcPr>
          <w:p w14:paraId="16741B0F"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食品安全国家标准</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食品营养强化剂使用标准</w:t>
            </w:r>
          </w:p>
        </w:tc>
        <w:tc>
          <w:tcPr>
            <w:tcW w:w="2098" w:type="dxa"/>
            <w:shd w:val="clear" w:color="auto" w:fill="FFFFFF"/>
            <w:vAlign w:val="center"/>
          </w:tcPr>
          <w:p w14:paraId="7F3ECFEF"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按照对应标准</w:t>
            </w:r>
          </w:p>
        </w:tc>
      </w:tr>
      <w:tr w:rsidR="00EE5EFD" w14:paraId="304D8C1E" w14:textId="77777777" w:rsidTr="0038763C">
        <w:trPr>
          <w:cantSplit/>
          <w:trHeight w:val="90"/>
          <w:jc w:val="center"/>
        </w:trPr>
        <w:tc>
          <w:tcPr>
            <w:tcW w:w="1129" w:type="dxa"/>
            <w:shd w:val="clear" w:color="auto" w:fill="FFFFFF"/>
            <w:vAlign w:val="center"/>
          </w:tcPr>
          <w:p w14:paraId="71892295"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18</w:t>
            </w:r>
          </w:p>
        </w:tc>
        <w:tc>
          <w:tcPr>
            <w:tcW w:w="1539" w:type="dxa"/>
            <w:shd w:val="clear" w:color="auto" w:fill="FFFFFF"/>
            <w:vAlign w:val="center"/>
          </w:tcPr>
          <w:p w14:paraId="3500A305"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标签</w:t>
            </w:r>
          </w:p>
        </w:tc>
        <w:tc>
          <w:tcPr>
            <w:tcW w:w="1843" w:type="dxa"/>
            <w:shd w:val="clear" w:color="auto" w:fill="FFFFFF"/>
            <w:vAlign w:val="center"/>
          </w:tcPr>
          <w:p w14:paraId="747AB813"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7718</w:t>
            </w:r>
          </w:p>
        </w:tc>
        <w:tc>
          <w:tcPr>
            <w:tcW w:w="2693" w:type="dxa"/>
            <w:shd w:val="clear" w:color="auto" w:fill="FFFFFF"/>
            <w:vAlign w:val="center"/>
          </w:tcPr>
          <w:p w14:paraId="22F4B920"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食品安全国家标准</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预包装食品标签通则</w:t>
            </w:r>
          </w:p>
        </w:tc>
        <w:tc>
          <w:tcPr>
            <w:tcW w:w="2098" w:type="dxa"/>
            <w:shd w:val="clear" w:color="auto" w:fill="FFFFFF"/>
            <w:vAlign w:val="center"/>
          </w:tcPr>
          <w:p w14:paraId="216EBCCB"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7718</w:t>
            </w:r>
          </w:p>
        </w:tc>
      </w:tr>
      <w:tr w:rsidR="00EE5EFD" w14:paraId="7BB9146E" w14:textId="77777777" w:rsidTr="0038763C">
        <w:trPr>
          <w:cantSplit/>
          <w:trHeight w:val="228"/>
          <w:jc w:val="center"/>
        </w:trPr>
        <w:tc>
          <w:tcPr>
            <w:tcW w:w="1129" w:type="dxa"/>
            <w:shd w:val="clear" w:color="auto" w:fill="FFFFFF"/>
            <w:vAlign w:val="center"/>
          </w:tcPr>
          <w:p w14:paraId="2A05229B"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19</w:t>
            </w:r>
          </w:p>
        </w:tc>
        <w:tc>
          <w:tcPr>
            <w:tcW w:w="1539" w:type="dxa"/>
            <w:shd w:val="clear" w:color="auto" w:fill="FFFFFF"/>
            <w:vAlign w:val="center"/>
          </w:tcPr>
          <w:p w14:paraId="220D67A2"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营养标签</w:t>
            </w:r>
          </w:p>
        </w:tc>
        <w:tc>
          <w:tcPr>
            <w:tcW w:w="1843" w:type="dxa"/>
            <w:shd w:val="clear" w:color="auto" w:fill="FFFFFF"/>
            <w:vAlign w:val="center"/>
          </w:tcPr>
          <w:p w14:paraId="774D64BA"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28050</w:t>
            </w:r>
          </w:p>
        </w:tc>
        <w:tc>
          <w:tcPr>
            <w:tcW w:w="2693" w:type="dxa"/>
            <w:shd w:val="clear" w:color="auto" w:fill="FFFFFF"/>
            <w:vAlign w:val="center"/>
          </w:tcPr>
          <w:p w14:paraId="6F1E1A38"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食品安全国家标准</w:t>
            </w:r>
            <w:r>
              <w:rPr>
                <w:rFonts w:ascii="Times New Roman" w:eastAsia="仿宋_GB2312" w:hAnsi="Times New Roman" w:cs="Times New Roman"/>
                <w:color w:val="000000" w:themeColor="text1"/>
                <w:sz w:val="30"/>
                <w:szCs w:val="30"/>
              </w:rPr>
              <w:t xml:space="preserve"> </w:t>
            </w:r>
            <w:r>
              <w:rPr>
                <w:rFonts w:ascii="Times New Roman" w:eastAsia="仿宋_GB2312" w:hAnsi="Times New Roman" w:cs="Times New Roman"/>
                <w:color w:val="000000" w:themeColor="text1"/>
                <w:sz w:val="30"/>
                <w:szCs w:val="30"/>
              </w:rPr>
              <w:t>预包装食品营养标签通则</w:t>
            </w:r>
          </w:p>
        </w:tc>
        <w:tc>
          <w:tcPr>
            <w:tcW w:w="2098" w:type="dxa"/>
            <w:shd w:val="clear" w:color="auto" w:fill="FFFFFF"/>
            <w:vAlign w:val="center"/>
          </w:tcPr>
          <w:p w14:paraId="70E0D0D9"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GB 28050</w:t>
            </w:r>
          </w:p>
        </w:tc>
      </w:tr>
      <w:tr w:rsidR="00EE5EFD" w14:paraId="320E5F09" w14:textId="77777777" w:rsidTr="0038763C">
        <w:trPr>
          <w:cantSplit/>
          <w:trHeight w:val="228"/>
          <w:jc w:val="center"/>
        </w:trPr>
        <w:tc>
          <w:tcPr>
            <w:tcW w:w="1129" w:type="dxa"/>
            <w:shd w:val="clear" w:color="auto" w:fill="FFFFFF"/>
            <w:vAlign w:val="center"/>
          </w:tcPr>
          <w:p w14:paraId="0651CD0E"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lastRenderedPageBreak/>
              <w:t>20</w:t>
            </w:r>
          </w:p>
        </w:tc>
        <w:tc>
          <w:tcPr>
            <w:tcW w:w="1539" w:type="dxa"/>
            <w:shd w:val="clear" w:color="auto" w:fill="FFFFFF"/>
            <w:vAlign w:val="center"/>
          </w:tcPr>
          <w:p w14:paraId="0B3446C4"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净含量</w:t>
            </w:r>
            <w:r>
              <w:rPr>
                <w:rFonts w:ascii="Times New Roman" w:eastAsia="仿宋_GB2312" w:hAnsi="Times New Roman" w:cs="Times New Roman"/>
                <w:color w:val="000000" w:themeColor="text1"/>
                <w:sz w:val="30"/>
                <w:szCs w:val="30"/>
              </w:rPr>
              <w:tab/>
            </w:r>
          </w:p>
        </w:tc>
        <w:tc>
          <w:tcPr>
            <w:tcW w:w="1843" w:type="dxa"/>
            <w:shd w:val="clear" w:color="auto" w:fill="FFFFFF"/>
            <w:vAlign w:val="center"/>
          </w:tcPr>
          <w:p w14:paraId="6F8B74EA"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国家市场监督管理总局令第</w:t>
            </w:r>
            <w:r>
              <w:rPr>
                <w:rFonts w:ascii="Times New Roman" w:eastAsia="仿宋_GB2312" w:hAnsi="Times New Roman" w:cs="Times New Roman"/>
                <w:color w:val="000000" w:themeColor="text1"/>
                <w:sz w:val="30"/>
                <w:szCs w:val="30"/>
              </w:rPr>
              <w:t>70</w:t>
            </w:r>
            <w:r>
              <w:rPr>
                <w:rFonts w:ascii="Times New Roman" w:eastAsia="仿宋_GB2312" w:hAnsi="Times New Roman" w:cs="Times New Roman"/>
                <w:color w:val="000000" w:themeColor="text1"/>
                <w:sz w:val="30"/>
                <w:szCs w:val="30"/>
              </w:rPr>
              <w:t>号〔</w:t>
            </w:r>
            <w:r>
              <w:rPr>
                <w:rFonts w:ascii="Times New Roman" w:eastAsia="仿宋_GB2312" w:hAnsi="Times New Roman" w:cs="Times New Roman"/>
                <w:color w:val="000000" w:themeColor="text1"/>
                <w:sz w:val="30"/>
                <w:szCs w:val="30"/>
              </w:rPr>
              <w:t>2023</w:t>
            </w:r>
            <w:r>
              <w:rPr>
                <w:rFonts w:ascii="Times New Roman" w:eastAsia="仿宋_GB2312" w:hAnsi="Times New Roman" w:cs="Times New Roman"/>
                <w:color w:val="000000" w:themeColor="text1"/>
                <w:sz w:val="30"/>
                <w:szCs w:val="30"/>
              </w:rPr>
              <w:t>〕</w:t>
            </w:r>
          </w:p>
        </w:tc>
        <w:tc>
          <w:tcPr>
            <w:tcW w:w="2693" w:type="dxa"/>
            <w:shd w:val="clear" w:color="auto" w:fill="FFFFFF"/>
            <w:vAlign w:val="center"/>
          </w:tcPr>
          <w:p w14:paraId="54111930" w14:textId="77777777" w:rsidR="00EE5EFD" w:rsidRDefault="00BA47DC">
            <w:pPr>
              <w:spacing w:before="0" w:after="0" w:line="560" w:lineRule="exact"/>
              <w:ind w:left="153" w:right="113"/>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定量包装商品计量监督管理办法</w:t>
            </w:r>
          </w:p>
        </w:tc>
        <w:tc>
          <w:tcPr>
            <w:tcW w:w="2098" w:type="dxa"/>
            <w:shd w:val="clear" w:color="auto" w:fill="FFFFFF"/>
            <w:vAlign w:val="center"/>
          </w:tcPr>
          <w:p w14:paraId="2F001ABC" w14:textId="77777777" w:rsidR="00EE5EFD" w:rsidRDefault="00BA47DC">
            <w:pPr>
              <w:spacing w:before="0" w:after="0" w:line="560" w:lineRule="exact"/>
              <w:ind w:left="153" w:right="113"/>
              <w:jc w:val="center"/>
              <w:rPr>
                <w:rFonts w:ascii="Times New Roman" w:eastAsia="仿宋_GB2312" w:hAnsi="Times New Roman" w:cs="Times New Roman"/>
                <w:color w:val="000000" w:themeColor="text1"/>
                <w:sz w:val="30"/>
                <w:szCs w:val="30"/>
              </w:rPr>
            </w:pPr>
            <w:r>
              <w:rPr>
                <w:rFonts w:ascii="Times New Roman" w:eastAsia="仿宋_GB2312" w:hAnsi="Times New Roman" w:cs="Times New Roman"/>
                <w:color w:val="000000" w:themeColor="text1"/>
                <w:sz w:val="30"/>
                <w:szCs w:val="30"/>
              </w:rPr>
              <w:t>JJF 1070</w:t>
            </w:r>
          </w:p>
        </w:tc>
      </w:tr>
    </w:tbl>
    <w:p w14:paraId="6C60B3B5" w14:textId="77777777" w:rsidR="00EE5EFD" w:rsidRDefault="00EE5EFD">
      <w:pPr>
        <w:snapToGrid/>
        <w:spacing w:before="0" w:after="0" w:line="560" w:lineRule="exact"/>
        <w:ind w:right="113"/>
        <w:jc w:val="both"/>
        <w:rPr>
          <w:rFonts w:ascii="仿宋_GB2312" w:eastAsia="仿宋_GB2312" w:hAnsi="Times New Roman" w:cs="Times New Roman"/>
          <w:color w:val="000000" w:themeColor="text1"/>
        </w:rPr>
      </w:pPr>
    </w:p>
    <w:sectPr w:rsidR="00EE5EFD">
      <w:footerReference w:type="default" r:id="rId9"/>
      <w:pgSz w:w="11905" w:h="16838"/>
      <w:pgMar w:top="1588" w:right="1134" w:bottom="1134" w:left="1418" w:header="0" w:footer="9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1DC2C8" w14:textId="77777777" w:rsidR="00BA47DC" w:rsidRDefault="00BA47DC">
      <w:pPr>
        <w:spacing w:before="0" w:after="0" w:line="240" w:lineRule="auto"/>
      </w:pPr>
      <w:r>
        <w:separator/>
      </w:r>
    </w:p>
  </w:endnote>
  <w:endnote w:type="continuationSeparator" w:id="0">
    <w:p w14:paraId="4DC7DD70" w14:textId="77777777" w:rsidR="00BA47DC" w:rsidRDefault="00BA47D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norHAnsi">
    <w:altName w:val="Calibri"/>
    <w:charset w:val="00"/>
    <w:family w:val="auto"/>
    <w:pitch w:val="default"/>
  </w:font>
  <w:font w:name="minorEastAsia">
    <w:altName w:val="宋体"/>
    <w:charset w:val="86"/>
    <w:family w:val="auto"/>
    <w:pitch w:val="default"/>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EAF3F" w14:textId="77777777" w:rsidR="00EE5EFD" w:rsidRDefault="00BA47DC">
    <w:pPr>
      <w:pStyle w:val="a7"/>
      <w:jc w:val="center"/>
      <w:rPr>
        <w:caps/>
        <w:color w:val="auto"/>
      </w:rPr>
    </w:pPr>
    <w:r>
      <w:rPr>
        <w:caps/>
        <w:color w:val="auto"/>
      </w:rPr>
      <w:fldChar w:fldCharType="begin"/>
    </w:r>
    <w:r>
      <w:rPr>
        <w:caps/>
        <w:color w:val="auto"/>
      </w:rPr>
      <w:instrText>PAGE   \* MERGEFORMAT</w:instrText>
    </w:r>
    <w:r>
      <w:rPr>
        <w:caps/>
        <w:color w:val="auto"/>
      </w:rPr>
      <w:fldChar w:fldCharType="separate"/>
    </w:r>
    <w:r>
      <w:rPr>
        <w:caps/>
        <w:color w:val="auto"/>
        <w:lang w:val="zh-CN"/>
      </w:rPr>
      <w:t>2</w:t>
    </w:r>
    <w:r>
      <w:rPr>
        <w:caps/>
        <w:color w:val="auto"/>
      </w:rPr>
      <w:fldChar w:fldCharType="end"/>
    </w:r>
  </w:p>
  <w:p w14:paraId="7BC5D9AD" w14:textId="77777777" w:rsidR="00EE5EFD" w:rsidRDefault="00EE5EF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C8ADFF" w14:textId="77777777" w:rsidR="00BA47DC" w:rsidRDefault="00BA47DC">
      <w:pPr>
        <w:spacing w:before="0" w:after="0" w:line="240" w:lineRule="auto"/>
      </w:pPr>
      <w:r>
        <w:separator/>
      </w:r>
    </w:p>
  </w:footnote>
  <w:footnote w:type="continuationSeparator" w:id="0">
    <w:p w14:paraId="5D3166FE" w14:textId="77777777" w:rsidR="00BA47DC" w:rsidRDefault="00BA47DC">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2DEC30"/>
    <w:multiLevelType w:val="singleLevel"/>
    <w:tmpl w:val="752DEC30"/>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Q4NWRmZWJlYWNjM2NjYzVmMmM4NTk0NDAxZTQ3M2IifQ=="/>
  </w:docVars>
  <w:rsids>
    <w:rsidRoot w:val="40927FF1"/>
    <w:rsid w:val="00000A8B"/>
    <w:rsid w:val="00015505"/>
    <w:rsid w:val="00022405"/>
    <w:rsid w:val="000335DC"/>
    <w:rsid w:val="0007363D"/>
    <w:rsid w:val="0008103A"/>
    <w:rsid w:val="000868C5"/>
    <w:rsid w:val="000C743B"/>
    <w:rsid w:val="000F77E1"/>
    <w:rsid w:val="00101083"/>
    <w:rsid w:val="00127236"/>
    <w:rsid w:val="00181B4E"/>
    <w:rsid w:val="0019529E"/>
    <w:rsid w:val="001B47FA"/>
    <w:rsid w:val="001F4BFC"/>
    <w:rsid w:val="001F5D7C"/>
    <w:rsid w:val="002114F9"/>
    <w:rsid w:val="00212DEF"/>
    <w:rsid w:val="00241C22"/>
    <w:rsid w:val="00261050"/>
    <w:rsid w:val="00274650"/>
    <w:rsid w:val="00286762"/>
    <w:rsid w:val="00293972"/>
    <w:rsid w:val="002B5D9A"/>
    <w:rsid w:val="002D10BF"/>
    <w:rsid w:val="00304951"/>
    <w:rsid w:val="00310D6D"/>
    <w:rsid w:val="00323D15"/>
    <w:rsid w:val="00355540"/>
    <w:rsid w:val="00371DC8"/>
    <w:rsid w:val="0038763C"/>
    <w:rsid w:val="003A10AE"/>
    <w:rsid w:val="003A6F85"/>
    <w:rsid w:val="00411627"/>
    <w:rsid w:val="00444B54"/>
    <w:rsid w:val="004552E8"/>
    <w:rsid w:val="00467197"/>
    <w:rsid w:val="004804BD"/>
    <w:rsid w:val="00486310"/>
    <w:rsid w:val="004B2D8D"/>
    <w:rsid w:val="004C2D21"/>
    <w:rsid w:val="005053B6"/>
    <w:rsid w:val="00542841"/>
    <w:rsid w:val="005762A3"/>
    <w:rsid w:val="00593180"/>
    <w:rsid w:val="005B39E4"/>
    <w:rsid w:val="00620624"/>
    <w:rsid w:val="00652AC7"/>
    <w:rsid w:val="006632F0"/>
    <w:rsid w:val="00684ADA"/>
    <w:rsid w:val="00691F50"/>
    <w:rsid w:val="007471C2"/>
    <w:rsid w:val="007472D2"/>
    <w:rsid w:val="00753CF6"/>
    <w:rsid w:val="00767E3A"/>
    <w:rsid w:val="00781DD7"/>
    <w:rsid w:val="00782101"/>
    <w:rsid w:val="007A5D61"/>
    <w:rsid w:val="007B34E2"/>
    <w:rsid w:val="007B5CD1"/>
    <w:rsid w:val="007C0659"/>
    <w:rsid w:val="0089562A"/>
    <w:rsid w:val="008F2C59"/>
    <w:rsid w:val="0091365F"/>
    <w:rsid w:val="00915922"/>
    <w:rsid w:val="00942EA4"/>
    <w:rsid w:val="009442C1"/>
    <w:rsid w:val="009752EB"/>
    <w:rsid w:val="009911E5"/>
    <w:rsid w:val="009A5164"/>
    <w:rsid w:val="009E4D45"/>
    <w:rsid w:val="00A95108"/>
    <w:rsid w:val="00AA0513"/>
    <w:rsid w:val="00AA56F5"/>
    <w:rsid w:val="00AF194D"/>
    <w:rsid w:val="00B00AFB"/>
    <w:rsid w:val="00B56BB0"/>
    <w:rsid w:val="00B64391"/>
    <w:rsid w:val="00B81591"/>
    <w:rsid w:val="00B91E3C"/>
    <w:rsid w:val="00BA02A2"/>
    <w:rsid w:val="00BA2E5F"/>
    <w:rsid w:val="00BA47DC"/>
    <w:rsid w:val="00BB6B5A"/>
    <w:rsid w:val="00BD0B11"/>
    <w:rsid w:val="00C26750"/>
    <w:rsid w:val="00C65059"/>
    <w:rsid w:val="00C66E7C"/>
    <w:rsid w:val="00C81525"/>
    <w:rsid w:val="00C851D5"/>
    <w:rsid w:val="00C97E0D"/>
    <w:rsid w:val="00CB7685"/>
    <w:rsid w:val="00CD6F39"/>
    <w:rsid w:val="00CE3F76"/>
    <w:rsid w:val="00CF4E0A"/>
    <w:rsid w:val="00D16C80"/>
    <w:rsid w:val="00D30B62"/>
    <w:rsid w:val="00D42DB6"/>
    <w:rsid w:val="00E37ECA"/>
    <w:rsid w:val="00E53B91"/>
    <w:rsid w:val="00E764BF"/>
    <w:rsid w:val="00E90E06"/>
    <w:rsid w:val="00EE2F0D"/>
    <w:rsid w:val="00EE5EFD"/>
    <w:rsid w:val="00F2242F"/>
    <w:rsid w:val="00F4008C"/>
    <w:rsid w:val="00FA08A9"/>
    <w:rsid w:val="00FA096A"/>
    <w:rsid w:val="00FD045A"/>
    <w:rsid w:val="00FE2EE9"/>
    <w:rsid w:val="00FE621E"/>
    <w:rsid w:val="00FF45E3"/>
    <w:rsid w:val="03B73600"/>
    <w:rsid w:val="03C36E72"/>
    <w:rsid w:val="03D33559"/>
    <w:rsid w:val="04A40A52"/>
    <w:rsid w:val="052E1624"/>
    <w:rsid w:val="055B48F7"/>
    <w:rsid w:val="05DE61E6"/>
    <w:rsid w:val="06710E08"/>
    <w:rsid w:val="06D118A6"/>
    <w:rsid w:val="07061550"/>
    <w:rsid w:val="07AF7E3A"/>
    <w:rsid w:val="08280CD9"/>
    <w:rsid w:val="087150EF"/>
    <w:rsid w:val="094F59AC"/>
    <w:rsid w:val="0A1C108A"/>
    <w:rsid w:val="0A4C5E14"/>
    <w:rsid w:val="0A656ED5"/>
    <w:rsid w:val="0A690774"/>
    <w:rsid w:val="0B416FFB"/>
    <w:rsid w:val="0C436DA2"/>
    <w:rsid w:val="0C6D2071"/>
    <w:rsid w:val="0CB236FF"/>
    <w:rsid w:val="0D3D1A44"/>
    <w:rsid w:val="0F987405"/>
    <w:rsid w:val="11052878"/>
    <w:rsid w:val="12080872"/>
    <w:rsid w:val="12A367ED"/>
    <w:rsid w:val="14751165"/>
    <w:rsid w:val="14B06F9F"/>
    <w:rsid w:val="156D4E90"/>
    <w:rsid w:val="15DD358D"/>
    <w:rsid w:val="16436D08"/>
    <w:rsid w:val="17B2302E"/>
    <w:rsid w:val="188032E7"/>
    <w:rsid w:val="1A0F6516"/>
    <w:rsid w:val="1D862F93"/>
    <w:rsid w:val="1FAB4F33"/>
    <w:rsid w:val="20054643"/>
    <w:rsid w:val="20F6042F"/>
    <w:rsid w:val="249C7A2F"/>
    <w:rsid w:val="25D1703C"/>
    <w:rsid w:val="273932D9"/>
    <w:rsid w:val="28C606E7"/>
    <w:rsid w:val="28F2772E"/>
    <w:rsid w:val="299D3B3E"/>
    <w:rsid w:val="2A8C066D"/>
    <w:rsid w:val="2ABC4270"/>
    <w:rsid w:val="2CB91E46"/>
    <w:rsid w:val="2D7C3A6A"/>
    <w:rsid w:val="2E173CFF"/>
    <w:rsid w:val="300B0EF2"/>
    <w:rsid w:val="31943A79"/>
    <w:rsid w:val="31E85B72"/>
    <w:rsid w:val="332D7CE1"/>
    <w:rsid w:val="33884F17"/>
    <w:rsid w:val="346F6A70"/>
    <w:rsid w:val="34C91C8B"/>
    <w:rsid w:val="35F920FC"/>
    <w:rsid w:val="3644653E"/>
    <w:rsid w:val="37A4078E"/>
    <w:rsid w:val="3BDE7425"/>
    <w:rsid w:val="3E1C4614"/>
    <w:rsid w:val="3E5C147A"/>
    <w:rsid w:val="3F632CDC"/>
    <w:rsid w:val="3F786788"/>
    <w:rsid w:val="40927FF1"/>
    <w:rsid w:val="41F1637D"/>
    <w:rsid w:val="42C615B8"/>
    <w:rsid w:val="42E45EE2"/>
    <w:rsid w:val="430F11B1"/>
    <w:rsid w:val="43317379"/>
    <w:rsid w:val="435C0457"/>
    <w:rsid w:val="43E066A9"/>
    <w:rsid w:val="43E97C54"/>
    <w:rsid w:val="43F13AEA"/>
    <w:rsid w:val="451900C5"/>
    <w:rsid w:val="45AC0F39"/>
    <w:rsid w:val="45F428E0"/>
    <w:rsid w:val="463C2054"/>
    <w:rsid w:val="467F664E"/>
    <w:rsid w:val="46DB13AA"/>
    <w:rsid w:val="48A73C3A"/>
    <w:rsid w:val="4ABB39CC"/>
    <w:rsid w:val="4BED22AB"/>
    <w:rsid w:val="4F702FD7"/>
    <w:rsid w:val="505226DD"/>
    <w:rsid w:val="50F46C84"/>
    <w:rsid w:val="51A478AA"/>
    <w:rsid w:val="51F55A16"/>
    <w:rsid w:val="524B1ADA"/>
    <w:rsid w:val="5362532D"/>
    <w:rsid w:val="53A94D0A"/>
    <w:rsid w:val="543D36A4"/>
    <w:rsid w:val="55E02539"/>
    <w:rsid w:val="56BA722E"/>
    <w:rsid w:val="573C5E95"/>
    <w:rsid w:val="58B101BD"/>
    <w:rsid w:val="58DA5965"/>
    <w:rsid w:val="5A5F4374"/>
    <w:rsid w:val="5B157129"/>
    <w:rsid w:val="5B294982"/>
    <w:rsid w:val="5B950EA3"/>
    <w:rsid w:val="5C050F4B"/>
    <w:rsid w:val="5CF039A9"/>
    <w:rsid w:val="5ECE1AC8"/>
    <w:rsid w:val="5FA665A1"/>
    <w:rsid w:val="602A0F80"/>
    <w:rsid w:val="610C68D8"/>
    <w:rsid w:val="64104931"/>
    <w:rsid w:val="6481138B"/>
    <w:rsid w:val="651B358E"/>
    <w:rsid w:val="65206DF6"/>
    <w:rsid w:val="656A135F"/>
    <w:rsid w:val="65A215B9"/>
    <w:rsid w:val="65D61A32"/>
    <w:rsid w:val="66682954"/>
    <w:rsid w:val="68016A6B"/>
    <w:rsid w:val="68A33FC6"/>
    <w:rsid w:val="69362744"/>
    <w:rsid w:val="69411B2B"/>
    <w:rsid w:val="697F058F"/>
    <w:rsid w:val="6B4B4828"/>
    <w:rsid w:val="6B6A4927"/>
    <w:rsid w:val="6D6164F8"/>
    <w:rsid w:val="6D87154F"/>
    <w:rsid w:val="6E4678CD"/>
    <w:rsid w:val="6E69536A"/>
    <w:rsid w:val="6F0532E4"/>
    <w:rsid w:val="70877D29"/>
    <w:rsid w:val="70ED4030"/>
    <w:rsid w:val="72071122"/>
    <w:rsid w:val="737547B1"/>
    <w:rsid w:val="73FB2F08"/>
    <w:rsid w:val="748D1686"/>
    <w:rsid w:val="74CE4179"/>
    <w:rsid w:val="74D93044"/>
    <w:rsid w:val="75157FF9"/>
    <w:rsid w:val="75D92DD5"/>
    <w:rsid w:val="79D20267"/>
    <w:rsid w:val="7BD6507D"/>
    <w:rsid w:val="7C06069C"/>
    <w:rsid w:val="7C482A62"/>
    <w:rsid w:val="7CA835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7699B7E"/>
  <w15:docId w15:val="{7CB03535-3F49-476C-A317-C660D5A37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napToGrid w:val="0"/>
      <w:spacing w:before="60" w:after="60" w:line="312" w:lineRule="auto"/>
    </w:pPr>
    <w:rPr>
      <w:rFonts w:ascii="minorHAnsi" w:eastAsia="minorEastAsia" w:hAnsi="minorHAnsi"/>
      <w:color w:val="333333"/>
      <w:kern w:val="2"/>
      <w:sz w:val="22"/>
      <w:szCs w:val="22"/>
    </w:rPr>
  </w:style>
  <w:style w:type="paragraph" w:styleId="1">
    <w:name w:val="heading 1"/>
    <w:basedOn w:val="a"/>
    <w:next w:val="a"/>
    <w:uiPriority w:val="9"/>
    <w:qFormat/>
    <w:pPr>
      <w:keepNext/>
      <w:keepLines/>
      <w:spacing w:before="0" w:after="0" w:line="408" w:lineRule="auto"/>
      <w:outlineLvl w:val="0"/>
    </w:pPr>
    <w:rPr>
      <w:b/>
      <w:bCs/>
      <w:color w:val="1A1A1A"/>
      <w:sz w:val="36"/>
      <w:szCs w:val="36"/>
    </w:rPr>
  </w:style>
  <w:style w:type="paragraph" w:styleId="2">
    <w:name w:val="heading 2"/>
    <w:basedOn w:val="a"/>
    <w:next w:val="a"/>
    <w:uiPriority w:val="9"/>
    <w:qFormat/>
    <w:pPr>
      <w:keepNext/>
      <w:keepLines/>
      <w:spacing w:before="0" w:after="0" w:line="408" w:lineRule="auto"/>
      <w:outlineLvl w:val="1"/>
    </w:pPr>
    <w:rPr>
      <w:b/>
      <w:bCs/>
      <w:color w:val="1A1A1A"/>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qFormat/>
    <w:rPr>
      <w:b/>
      <w:bCs/>
    </w:rPr>
  </w:style>
  <w:style w:type="paragraph" w:styleId="a4">
    <w:name w:val="annotation text"/>
    <w:basedOn w:val="a"/>
    <w:link w:val="a6"/>
    <w:qFormat/>
  </w:style>
  <w:style w:type="paragraph" w:styleId="a7">
    <w:name w:val="footer"/>
    <w:basedOn w:val="a"/>
    <w:link w:val="a8"/>
    <w:uiPriority w:val="99"/>
    <w:qFormat/>
    <w:pPr>
      <w:tabs>
        <w:tab w:val="center" w:pos="4153"/>
        <w:tab w:val="right" w:pos="8306"/>
      </w:tabs>
      <w:spacing w:line="240" w:lineRule="auto"/>
    </w:pPr>
    <w:rPr>
      <w:sz w:val="18"/>
      <w:szCs w:val="18"/>
    </w:rPr>
  </w:style>
  <w:style w:type="paragraph" w:styleId="a9">
    <w:name w:val="header"/>
    <w:basedOn w:val="a"/>
    <w:link w:val="aa"/>
    <w:qFormat/>
    <w:pPr>
      <w:tabs>
        <w:tab w:val="center" w:pos="4153"/>
        <w:tab w:val="right" w:pos="8306"/>
      </w:tabs>
      <w:spacing w:line="240" w:lineRule="auto"/>
      <w:jc w:val="center"/>
    </w:pPr>
    <w:rPr>
      <w:sz w:val="18"/>
      <w:szCs w:val="18"/>
    </w:rPr>
  </w:style>
  <w:style w:type="character" w:styleId="ab">
    <w:name w:val="annotation reference"/>
    <w:basedOn w:val="a0"/>
    <w:qFormat/>
    <w:rPr>
      <w:sz w:val="21"/>
      <w:szCs w:val="21"/>
    </w:rPr>
  </w:style>
  <w:style w:type="table" w:styleId="ac">
    <w:name w:val="Table Grid"/>
    <w:basedOn w:val="a1"/>
    <w:uiPriority w:val="39"/>
    <w:qFormat/>
    <w:tblPr>
      <w:tblBorders>
        <w:top w:val="single" w:sz="6" w:space="0" w:color="CBCDD1"/>
        <w:left w:val="single" w:sz="6" w:space="0" w:color="CBCDD1"/>
        <w:bottom w:val="single" w:sz="6" w:space="0" w:color="CBCDD1"/>
        <w:right w:val="single" w:sz="6" w:space="0" w:color="CBCDD1"/>
        <w:insideH w:val="single" w:sz="6" w:space="0" w:color="CBCDD1"/>
        <w:insideV w:val="single" w:sz="6" w:space="0" w:color="CBCDD1"/>
      </w:tblBorders>
    </w:tblPr>
    <w:tcPr>
      <w:vAlign w:val="center"/>
    </w:tcPr>
  </w:style>
  <w:style w:type="paragraph" w:styleId="ad">
    <w:name w:val="List Paragraph"/>
    <w:basedOn w:val="a"/>
    <w:uiPriority w:val="99"/>
    <w:unhideWhenUsed/>
    <w:qFormat/>
    <w:pPr>
      <w:ind w:firstLineChars="200" w:firstLine="420"/>
    </w:pPr>
  </w:style>
  <w:style w:type="paragraph" w:customStyle="1" w:styleId="10">
    <w:name w:val="修订1"/>
    <w:hidden/>
    <w:uiPriority w:val="99"/>
    <w:unhideWhenUsed/>
    <w:qFormat/>
    <w:rPr>
      <w:rFonts w:ascii="minorHAnsi" w:eastAsia="minorEastAsia" w:hAnsi="minorHAnsi"/>
      <w:color w:val="333333"/>
      <w:kern w:val="2"/>
      <w:sz w:val="22"/>
      <w:szCs w:val="22"/>
    </w:rPr>
  </w:style>
  <w:style w:type="character" w:customStyle="1" w:styleId="a6">
    <w:name w:val="批注文字 字符"/>
    <w:basedOn w:val="a0"/>
    <w:link w:val="a4"/>
    <w:qFormat/>
    <w:rPr>
      <w:rFonts w:ascii="minorHAnsi" w:eastAsia="minorEastAsia" w:hAnsi="minorHAnsi"/>
      <w:color w:val="333333"/>
      <w:kern w:val="2"/>
      <w:sz w:val="22"/>
      <w:szCs w:val="22"/>
    </w:rPr>
  </w:style>
  <w:style w:type="character" w:customStyle="1" w:styleId="a5">
    <w:name w:val="批注主题 字符"/>
    <w:basedOn w:val="a6"/>
    <w:link w:val="a3"/>
    <w:qFormat/>
    <w:rPr>
      <w:rFonts w:ascii="minorHAnsi" w:eastAsia="minorEastAsia" w:hAnsi="minorHAnsi"/>
      <w:b/>
      <w:bCs/>
      <w:color w:val="333333"/>
      <w:kern w:val="2"/>
      <w:sz w:val="22"/>
      <w:szCs w:val="22"/>
    </w:rPr>
  </w:style>
  <w:style w:type="paragraph" w:customStyle="1" w:styleId="11">
    <w:name w:val="列表段落1"/>
    <w:basedOn w:val="a"/>
    <w:semiHidden/>
    <w:qFormat/>
    <w:pPr>
      <w:ind w:firstLineChars="200" w:firstLine="420"/>
    </w:pPr>
    <w:rPr>
      <w:rFonts w:cs="Times New Roman"/>
    </w:rPr>
  </w:style>
  <w:style w:type="paragraph" w:customStyle="1" w:styleId="20">
    <w:name w:val="修订2"/>
    <w:hidden/>
    <w:uiPriority w:val="99"/>
    <w:unhideWhenUsed/>
    <w:qFormat/>
    <w:rPr>
      <w:rFonts w:ascii="minorHAnsi" w:eastAsia="minorEastAsia" w:hAnsi="minorHAnsi"/>
      <w:color w:val="333333"/>
      <w:kern w:val="2"/>
      <w:sz w:val="22"/>
      <w:szCs w:val="22"/>
    </w:rPr>
  </w:style>
  <w:style w:type="character" w:customStyle="1" w:styleId="aa">
    <w:name w:val="页眉 字符"/>
    <w:basedOn w:val="a0"/>
    <w:link w:val="a9"/>
    <w:qFormat/>
    <w:rPr>
      <w:rFonts w:ascii="minorHAnsi" w:eastAsia="minorEastAsia" w:hAnsi="minorHAnsi"/>
      <w:color w:val="333333"/>
      <w:kern w:val="2"/>
      <w:sz w:val="18"/>
      <w:szCs w:val="18"/>
    </w:rPr>
  </w:style>
  <w:style w:type="character" w:customStyle="1" w:styleId="a8">
    <w:name w:val="页脚 字符"/>
    <w:basedOn w:val="a0"/>
    <w:link w:val="a7"/>
    <w:uiPriority w:val="99"/>
    <w:qFormat/>
    <w:rPr>
      <w:rFonts w:ascii="minorHAnsi" w:eastAsia="minorEastAsia" w:hAnsi="minorHAnsi"/>
      <w:color w:val="333333"/>
      <w:kern w:val="2"/>
      <w:sz w:val="18"/>
      <w:szCs w:val="18"/>
    </w:rPr>
  </w:style>
  <w:style w:type="paragraph" w:customStyle="1" w:styleId="3">
    <w:name w:val="修订3"/>
    <w:hidden/>
    <w:uiPriority w:val="99"/>
    <w:unhideWhenUsed/>
    <w:qFormat/>
    <w:rPr>
      <w:rFonts w:ascii="minorHAnsi" w:eastAsia="minorEastAsia" w:hAnsi="minorHAnsi"/>
      <w:color w:val="333333"/>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220.181.176.160/stdlinfo/servlet/com.sac.sacQuery.GjbzcxDetailServlet?std_code=GB%202759.2-2003"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19</Pages>
  <Words>1314</Words>
  <Characters>7491</Characters>
  <Application>Microsoft Office Word</Application>
  <DocSecurity>0</DocSecurity>
  <Lines>62</Lines>
  <Paragraphs>17</Paragraphs>
  <ScaleCrop>false</ScaleCrop>
  <Company/>
  <LinksUpToDate>false</LinksUpToDate>
  <CharactersWithSpaces>8788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Only one</dc:creator>
  <cp:lastModifiedBy>admin</cp:lastModifiedBy>
  <cp:revision>4</cp:revision>
  <cp:lastPrinted>2025-07-18T08:32:00Z</cp:lastPrinted>
  <dcterms:created xsi:type="dcterms:W3CDTF">2025-07-21T08:39:00Z</dcterms:created>
  <dcterms:modified xsi:type="dcterms:W3CDTF">2025-07-24T07:31:00Z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y fmtid="{D5CDD505-2E9C-101B-9397-08002B2CF9AE}" pid="3" name="ICV">
    <vt:lpwstr>22AD7A924B4846B495903136B0AC1ED4_13</vt:lpwstr>
  </property>
</Properties>
</file>