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0358CD2">
      <w:pPr>
        <w:spacing w:line="360" w:lineRule="auto"/>
        <w:rPr>
          <w:rFonts w:hint="eastAsia" w:ascii="黑体" w:hAnsi="黑体" w:eastAsia="黑体"/>
          <w:sz w:val="32"/>
          <w:szCs w:val="32"/>
        </w:rPr>
      </w:pPr>
      <w:r>
        <w:rPr>
          <w:rFonts w:ascii="黑体" w:hAnsi="黑体" w:eastAsia="黑体"/>
          <w:sz w:val="32"/>
          <w:szCs w:val="32"/>
        </w:rPr>
        <w:t>附件：</w:t>
      </w:r>
    </w:p>
    <w:p w14:paraId="52A2A819">
      <w:pPr>
        <w:jc w:val="center"/>
        <w:rPr>
          <w:rFonts w:hint="eastAsia" w:hAnsi="方正小标宋简体" w:eastAsia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2025年度</w:t>
      </w:r>
      <w:r>
        <w:rPr>
          <w:rFonts w:hAnsi="方正小标宋简体" w:eastAsia="方正小标宋简体"/>
          <w:sz w:val="36"/>
          <w:szCs w:val="36"/>
        </w:rPr>
        <w:t>社区服务配套建设</w:t>
      </w:r>
      <w:r>
        <w:rPr>
          <w:rFonts w:hint="eastAsia" w:hAnsi="方正小标宋简体" w:eastAsia="方正小标宋简体"/>
          <w:sz w:val="36"/>
          <w:szCs w:val="36"/>
        </w:rPr>
        <w:t>专项拟支持项目</w:t>
      </w:r>
    </w:p>
    <w:p w14:paraId="76B20674">
      <w:pPr>
        <w:pStyle w:val="2"/>
      </w:pPr>
    </w:p>
    <w:tbl>
      <w:tblPr>
        <w:tblStyle w:val="3"/>
        <w:tblW w:w="9644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6"/>
        <w:gridCol w:w="654"/>
        <w:gridCol w:w="1898"/>
        <w:gridCol w:w="4960"/>
        <w:gridCol w:w="1486"/>
      </w:tblGrid>
      <w:tr w14:paraId="18FF8BE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56" w:hRule="atLeast"/>
          <w:tblHeader/>
          <w:jc w:val="center"/>
        </w:trPr>
        <w:tc>
          <w:tcPr>
            <w:tcW w:w="646" w:type="dxa"/>
            <w:noWrap w:val="0"/>
            <w:vAlign w:val="center"/>
          </w:tcPr>
          <w:p w14:paraId="07F7FA64">
            <w:pPr>
              <w:ind w:left="-105" w:leftChars="-50" w:right="-107" w:rightChars="-51"/>
              <w:jc w:val="center"/>
              <w:rPr>
                <w:rFonts w:hint="eastAsia" w:ascii="黑体" w:hAnsi="仿宋" w:eastAsia="黑体"/>
                <w:sz w:val="24"/>
              </w:rPr>
            </w:pPr>
            <w:r>
              <w:rPr>
                <w:rFonts w:hint="eastAsia" w:ascii="黑体" w:hAnsi="仿宋" w:eastAsia="黑体"/>
                <w:sz w:val="24"/>
              </w:rPr>
              <w:t>辖区</w:t>
            </w:r>
          </w:p>
        </w:tc>
        <w:tc>
          <w:tcPr>
            <w:tcW w:w="654" w:type="dxa"/>
            <w:noWrap w:val="0"/>
            <w:vAlign w:val="center"/>
          </w:tcPr>
          <w:p w14:paraId="0FBEACD1">
            <w:pPr>
              <w:ind w:left="-105" w:leftChars="-50" w:right="-107" w:rightChars="-51"/>
              <w:jc w:val="center"/>
              <w:rPr>
                <w:rFonts w:ascii="黑体" w:hAnsi="仿宋" w:eastAsia="黑体"/>
                <w:sz w:val="24"/>
              </w:rPr>
            </w:pPr>
            <w:r>
              <w:rPr>
                <w:rFonts w:hint="eastAsia" w:ascii="黑体" w:hAnsi="仿宋" w:eastAsia="黑体"/>
                <w:sz w:val="24"/>
              </w:rPr>
              <w:t>序号</w:t>
            </w:r>
          </w:p>
        </w:tc>
        <w:tc>
          <w:tcPr>
            <w:tcW w:w="1898" w:type="dxa"/>
            <w:noWrap w:val="0"/>
            <w:vAlign w:val="center"/>
          </w:tcPr>
          <w:p w14:paraId="05CAB69B">
            <w:pPr>
              <w:ind w:left="-105" w:leftChars="-50" w:right="-107" w:rightChars="-51"/>
              <w:jc w:val="center"/>
              <w:rPr>
                <w:rFonts w:ascii="黑体" w:hAnsi="仿宋" w:eastAsia="黑体"/>
                <w:sz w:val="24"/>
              </w:rPr>
            </w:pPr>
            <w:r>
              <w:rPr>
                <w:rFonts w:hint="eastAsia" w:ascii="黑体" w:hAnsi="仿宋" w:eastAsia="黑体"/>
                <w:sz w:val="24"/>
              </w:rPr>
              <w:t>项目名称</w:t>
            </w:r>
          </w:p>
        </w:tc>
        <w:tc>
          <w:tcPr>
            <w:tcW w:w="4960" w:type="dxa"/>
            <w:noWrap w:val="0"/>
            <w:vAlign w:val="center"/>
          </w:tcPr>
          <w:p w14:paraId="7430527A">
            <w:pPr>
              <w:ind w:left="-105" w:leftChars="-50" w:right="-107" w:rightChars="-51"/>
              <w:jc w:val="center"/>
              <w:rPr>
                <w:rFonts w:ascii="黑体" w:hAnsi="仿宋" w:eastAsia="黑体"/>
                <w:sz w:val="24"/>
              </w:rPr>
            </w:pPr>
            <w:r>
              <w:rPr>
                <w:rFonts w:hint="eastAsia" w:ascii="黑体" w:hAnsi="仿宋" w:eastAsia="黑体"/>
                <w:sz w:val="24"/>
              </w:rPr>
              <w:t>建设内容</w:t>
            </w:r>
          </w:p>
        </w:tc>
        <w:tc>
          <w:tcPr>
            <w:tcW w:w="1486" w:type="dxa"/>
            <w:noWrap w:val="0"/>
            <w:vAlign w:val="center"/>
          </w:tcPr>
          <w:p w14:paraId="0D240F1E">
            <w:pPr>
              <w:ind w:left="-105" w:leftChars="-50" w:right="-107" w:rightChars="-51"/>
              <w:jc w:val="center"/>
              <w:rPr>
                <w:rFonts w:ascii="黑体" w:hAnsi="仿宋" w:eastAsia="黑体"/>
                <w:sz w:val="24"/>
              </w:rPr>
            </w:pPr>
            <w:r>
              <w:rPr>
                <w:rFonts w:hint="eastAsia" w:ascii="黑体" w:hAnsi="仿宋" w:eastAsia="黑体"/>
                <w:sz w:val="24"/>
              </w:rPr>
              <w:t>建设单位</w:t>
            </w:r>
          </w:p>
        </w:tc>
      </w:tr>
      <w:tr w14:paraId="5636307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99" w:hRule="atLeast"/>
          <w:tblHeader/>
          <w:jc w:val="center"/>
        </w:trPr>
        <w:tc>
          <w:tcPr>
            <w:tcW w:w="646" w:type="dxa"/>
            <w:vMerge w:val="restart"/>
            <w:noWrap w:val="0"/>
            <w:vAlign w:val="center"/>
          </w:tcPr>
          <w:p w14:paraId="61B0944D">
            <w:pPr>
              <w:jc w:val="center"/>
              <w:rPr>
                <w:rFonts w:hint="eastAsia" w:hAnsi="宋体"/>
                <w:szCs w:val="21"/>
              </w:rPr>
            </w:pPr>
            <w:r>
              <w:rPr>
                <w:rFonts w:hAnsi="宋体"/>
                <w:szCs w:val="21"/>
              </w:rPr>
              <w:t>天</w:t>
            </w:r>
          </w:p>
          <w:p w14:paraId="6E094A63">
            <w:pPr>
              <w:jc w:val="center"/>
              <w:rPr>
                <w:rFonts w:hint="eastAsia" w:hAnsi="宋体"/>
                <w:szCs w:val="21"/>
              </w:rPr>
            </w:pPr>
            <w:r>
              <w:rPr>
                <w:rFonts w:hAnsi="宋体"/>
                <w:szCs w:val="21"/>
              </w:rPr>
              <w:t>宁</w:t>
            </w:r>
          </w:p>
          <w:p w14:paraId="7E8A5B19">
            <w:pPr>
              <w:jc w:val="center"/>
              <w:rPr>
                <w:rFonts w:hAnsi="宋体"/>
                <w:szCs w:val="21"/>
              </w:rPr>
            </w:pPr>
            <w:r>
              <w:rPr>
                <w:rFonts w:hAnsi="宋体"/>
                <w:szCs w:val="21"/>
              </w:rPr>
              <w:t>区</w:t>
            </w:r>
          </w:p>
        </w:tc>
        <w:tc>
          <w:tcPr>
            <w:tcW w:w="654" w:type="dxa"/>
            <w:noWrap w:val="0"/>
            <w:vAlign w:val="center"/>
          </w:tcPr>
          <w:p w14:paraId="4D4467BF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1</w:t>
            </w:r>
          </w:p>
        </w:tc>
        <w:tc>
          <w:tcPr>
            <w:tcW w:w="1898" w:type="dxa"/>
            <w:noWrap w:val="0"/>
            <w:vAlign w:val="center"/>
          </w:tcPr>
          <w:p w14:paraId="30EE5D36">
            <w:pPr>
              <w:jc w:val="center"/>
              <w:rPr>
                <w:rFonts w:hAnsi="宋体"/>
                <w:szCs w:val="21"/>
              </w:rPr>
            </w:pPr>
            <w:r>
              <w:rPr>
                <w:rFonts w:hAnsi="宋体"/>
                <w:szCs w:val="21"/>
              </w:rPr>
              <w:t>盛世名门社区服务中心</w:t>
            </w:r>
            <w:r>
              <w:rPr>
                <w:rFonts w:hint="eastAsia" w:hAnsi="宋体"/>
                <w:szCs w:val="21"/>
              </w:rPr>
              <w:t>（</w:t>
            </w:r>
            <w:r>
              <w:rPr>
                <w:rFonts w:hAnsi="宋体"/>
                <w:szCs w:val="21"/>
              </w:rPr>
              <w:t>党群服务中心</w:t>
            </w:r>
            <w:r>
              <w:rPr>
                <w:rFonts w:hint="eastAsia" w:hAnsi="宋体"/>
                <w:szCs w:val="21"/>
              </w:rPr>
              <w:t>）</w:t>
            </w:r>
            <w:r>
              <w:rPr>
                <w:rFonts w:hAnsi="宋体"/>
                <w:szCs w:val="21"/>
              </w:rPr>
              <w:t>、聚博花园社区服务中心</w:t>
            </w:r>
            <w:r>
              <w:rPr>
                <w:rFonts w:hint="eastAsia" w:hAnsi="宋体"/>
                <w:szCs w:val="21"/>
              </w:rPr>
              <w:t>（</w:t>
            </w:r>
            <w:r>
              <w:rPr>
                <w:rFonts w:hAnsi="宋体"/>
                <w:szCs w:val="21"/>
              </w:rPr>
              <w:t>党群服务中心</w:t>
            </w:r>
            <w:r>
              <w:rPr>
                <w:rFonts w:hint="eastAsia" w:hAnsi="宋体"/>
                <w:szCs w:val="21"/>
              </w:rPr>
              <w:t>）</w:t>
            </w:r>
            <w:r>
              <w:rPr>
                <w:rFonts w:hAnsi="宋体"/>
                <w:szCs w:val="21"/>
              </w:rPr>
              <w:t>改造提升工程项目</w:t>
            </w:r>
          </w:p>
        </w:tc>
        <w:tc>
          <w:tcPr>
            <w:tcW w:w="4960" w:type="dxa"/>
            <w:noWrap w:val="0"/>
            <w:vAlign w:val="center"/>
          </w:tcPr>
          <w:p w14:paraId="3FD6D2C6">
            <w:pPr>
              <w:jc w:val="left"/>
              <w:rPr>
                <w:rFonts w:hAnsi="宋体"/>
                <w:szCs w:val="21"/>
              </w:rPr>
            </w:pPr>
            <w:r>
              <w:rPr>
                <w:rFonts w:hAnsi="宋体"/>
                <w:szCs w:val="21"/>
              </w:rPr>
              <w:t>聚博花园社区</w:t>
            </w:r>
            <w:r>
              <w:rPr>
                <w:rFonts w:hint="eastAsia" w:hAnsi="宋体"/>
                <w:szCs w:val="21"/>
              </w:rPr>
              <w:t>党群</w:t>
            </w:r>
            <w:r>
              <w:rPr>
                <w:rFonts w:hAnsi="宋体"/>
                <w:szCs w:val="21"/>
              </w:rPr>
              <w:t>服务中心项目位于聚博花园21幢，总改造面积约1008平方米，主要建设社区便民服务</w:t>
            </w:r>
            <w:r>
              <w:rPr>
                <w:rFonts w:hint="eastAsia" w:hAnsi="宋体"/>
                <w:szCs w:val="21"/>
              </w:rPr>
              <w:t>站</w:t>
            </w:r>
            <w:r>
              <w:rPr>
                <w:rFonts w:hAnsi="宋体"/>
                <w:szCs w:val="21"/>
              </w:rPr>
              <w:t>、调解室、助餐室等便民服务设施。</w:t>
            </w:r>
          </w:p>
          <w:p w14:paraId="680466F1">
            <w:pPr>
              <w:jc w:val="left"/>
              <w:rPr>
                <w:rFonts w:hAnsi="宋体"/>
                <w:szCs w:val="21"/>
              </w:rPr>
            </w:pPr>
            <w:r>
              <w:rPr>
                <w:rFonts w:hAnsi="宋体"/>
                <w:szCs w:val="21"/>
              </w:rPr>
              <w:t>盛世名门社区</w:t>
            </w:r>
            <w:r>
              <w:rPr>
                <w:rFonts w:hint="eastAsia" w:hAnsi="宋体"/>
                <w:szCs w:val="21"/>
              </w:rPr>
              <w:t>党群</w:t>
            </w:r>
            <w:r>
              <w:rPr>
                <w:rFonts w:hAnsi="宋体"/>
                <w:szCs w:val="21"/>
              </w:rPr>
              <w:t>服务中心升改造项目位于盛世名门花苑1幢一楼、2幢乙单元一楼，总改造面积约500平方米，主要建设便民服务</w:t>
            </w:r>
            <w:r>
              <w:rPr>
                <w:rFonts w:hint="eastAsia" w:hAnsi="宋体"/>
                <w:szCs w:val="21"/>
              </w:rPr>
              <w:t>站</w:t>
            </w:r>
            <w:r>
              <w:rPr>
                <w:rFonts w:hAnsi="宋体"/>
                <w:szCs w:val="21"/>
              </w:rPr>
              <w:t>、调解室等便民服务设施以及社区文化氛围布置等。</w:t>
            </w:r>
          </w:p>
        </w:tc>
        <w:tc>
          <w:tcPr>
            <w:tcW w:w="1486" w:type="dxa"/>
            <w:noWrap w:val="0"/>
            <w:vAlign w:val="center"/>
          </w:tcPr>
          <w:p w14:paraId="64DF483D">
            <w:pPr>
              <w:jc w:val="center"/>
              <w:rPr>
                <w:rFonts w:hint="eastAsia" w:hAnsi="宋体"/>
                <w:szCs w:val="21"/>
              </w:rPr>
            </w:pPr>
            <w:r>
              <w:rPr>
                <w:rFonts w:hAnsi="宋体"/>
                <w:szCs w:val="21"/>
              </w:rPr>
              <w:t>红梅街道</w:t>
            </w:r>
          </w:p>
          <w:p w14:paraId="1989EF13">
            <w:pPr>
              <w:jc w:val="center"/>
              <w:rPr>
                <w:rFonts w:hAnsi="宋体"/>
                <w:szCs w:val="21"/>
              </w:rPr>
            </w:pPr>
            <w:r>
              <w:rPr>
                <w:rFonts w:hAnsi="宋体"/>
                <w:szCs w:val="21"/>
              </w:rPr>
              <w:t>办事处</w:t>
            </w:r>
          </w:p>
        </w:tc>
      </w:tr>
      <w:tr w14:paraId="12FF0AC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88" w:hRule="atLeast"/>
          <w:tblHeader/>
          <w:jc w:val="center"/>
        </w:trPr>
        <w:tc>
          <w:tcPr>
            <w:tcW w:w="646" w:type="dxa"/>
            <w:vMerge w:val="continue"/>
            <w:noWrap w:val="0"/>
            <w:vAlign w:val="center"/>
          </w:tcPr>
          <w:p w14:paraId="00CFDBB2">
            <w:pPr>
              <w:jc w:val="center"/>
              <w:rPr>
                <w:rFonts w:hAnsi="宋体"/>
                <w:szCs w:val="21"/>
              </w:rPr>
            </w:pPr>
          </w:p>
        </w:tc>
        <w:tc>
          <w:tcPr>
            <w:tcW w:w="654" w:type="dxa"/>
            <w:noWrap w:val="0"/>
            <w:vAlign w:val="center"/>
          </w:tcPr>
          <w:p w14:paraId="319F7C31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2</w:t>
            </w:r>
          </w:p>
        </w:tc>
        <w:tc>
          <w:tcPr>
            <w:tcW w:w="1898" w:type="dxa"/>
            <w:noWrap w:val="0"/>
            <w:vAlign w:val="center"/>
          </w:tcPr>
          <w:p w14:paraId="0027E330">
            <w:pPr>
              <w:jc w:val="center"/>
              <w:rPr>
                <w:rFonts w:hAnsi="宋体"/>
                <w:szCs w:val="21"/>
              </w:rPr>
            </w:pPr>
            <w:r>
              <w:rPr>
                <w:rFonts w:hAnsi="宋体"/>
                <w:szCs w:val="21"/>
              </w:rPr>
              <w:t>焦溪社区综合养老服务中心（党群服务中心）改造项目</w:t>
            </w:r>
          </w:p>
        </w:tc>
        <w:tc>
          <w:tcPr>
            <w:tcW w:w="4960" w:type="dxa"/>
            <w:noWrap w:val="0"/>
            <w:vAlign w:val="center"/>
          </w:tcPr>
          <w:p w14:paraId="5A12D085">
            <w:pPr>
              <w:jc w:val="left"/>
              <w:rPr>
                <w:rFonts w:hAnsi="宋体"/>
                <w:szCs w:val="21"/>
              </w:rPr>
            </w:pPr>
            <w:r>
              <w:rPr>
                <w:rFonts w:hAnsi="宋体"/>
                <w:szCs w:val="21"/>
              </w:rPr>
              <w:t>项目位于常州市天宁区郑陆镇常焦路1-1号，总建筑面积约1200平方米，主要建设志愿服务驿站、助餐区、为老服务区、心理咨询、司法调解、妇女儿童微家以及社区老年人群公共活动空间等便民服务设施。</w:t>
            </w:r>
          </w:p>
        </w:tc>
        <w:tc>
          <w:tcPr>
            <w:tcW w:w="1486" w:type="dxa"/>
            <w:noWrap w:val="0"/>
            <w:vAlign w:val="center"/>
          </w:tcPr>
          <w:p w14:paraId="059CD014">
            <w:pPr>
              <w:jc w:val="center"/>
              <w:rPr>
                <w:rFonts w:hAnsi="宋体"/>
                <w:szCs w:val="21"/>
              </w:rPr>
            </w:pPr>
            <w:r>
              <w:rPr>
                <w:rFonts w:hAnsi="宋体"/>
                <w:szCs w:val="21"/>
              </w:rPr>
              <w:t>郑陆镇</w:t>
            </w:r>
          </w:p>
          <w:p w14:paraId="50B503AD">
            <w:pPr>
              <w:jc w:val="center"/>
              <w:rPr>
                <w:rFonts w:hAnsi="宋体"/>
                <w:szCs w:val="21"/>
              </w:rPr>
            </w:pPr>
            <w:r>
              <w:rPr>
                <w:rFonts w:hAnsi="宋体"/>
                <w:szCs w:val="21"/>
              </w:rPr>
              <w:t>人民政府</w:t>
            </w:r>
          </w:p>
        </w:tc>
      </w:tr>
      <w:tr w14:paraId="70725A2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71" w:hRule="atLeast"/>
          <w:tblHeader/>
          <w:jc w:val="center"/>
        </w:trPr>
        <w:tc>
          <w:tcPr>
            <w:tcW w:w="646" w:type="dxa"/>
            <w:vMerge w:val="continue"/>
            <w:noWrap w:val="0"/>
            <w:vAlign w:val="center"/>
          </w:tcPr>
          <w:p w14:paraId="2806CDF4">
            <w:pPr>
              <w:jc w:val="center"/>
              <w:rPr>
                <w:rFonts w:hAnsi="宋体"/>
                <w:szCs w:val="21"/>
              </w:rPr>
            </w:pPr>
          </w:p>
        </w:tc>
        <w:tc>
          <w:tcPr>
            <w:tcW w:w="654" w:type="dxa"/>
            <w:noWrap w:val="0"/>
            <w:vAlign w:val="center"/>
          </w:tcPr>
          <w:p w14:paraId="50EB0ACE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3</w:t>
            </w:r>
          </w:p>
        </w:tc>
        <w:tc>
          <w:tcPr>
            <w:tcW w:w="1898" w:type="dxa"/>
            <w:noWrap w:val="0"/>
            <w:vAlign w:val="center"/>
          </w:tcPr>
          <w:p w14:paraId="5014E0EB">
            <w:pPr>
              <w:jc w:val="center"/>
              <w:rPr>
                <w:rFonts w:hAnsi="宋体"/>
                <w:szCs w:val="21"/>
              </w:rPr>
            </w:pPr>
            <w:r>
              <w:rPr>
                <w:rFonts w:hAnsi="宋体"/>
                <w:szCs w:val="21"/>
              </w:rPr>
              <w:t>沁兰社区服务中心提升改造项目</w:t>
            </w:r>
          </w:p>
        </w:tc>
        <w:tc>
          <w:tcPr>
            <w:tcW w:w="4960" w:type="dxa"/>
            <w:noWrap w:val="0"/>
            <w:vAlign w:val="center"/>
          </w:tcPr>
          <w:p w14:paraId="31B1BC8D">
            <w:pPr>
              <w:jc w:val="left"/>
              <w:rPr>
                <w:rFonts w:hAnsi="宋体"/>
                <w:szCs w:val="21"/>
              </w:rPr>
            </w:pPr>
            <w:r>
              <w:rPr>
                <w:rFonts w:hAnsi="宋体"/>
                <w:szCs w:val="21"/>
              </w:rPr>
              <w:t>项目位于青龙街道沁兰雅苑16幢社区用房一、二层，改造面积863平方米，主要建设全科社工服务区共享厨房、儿童阅读区等便民服务实施。</w:t>
            </w:r>
          </w:p>
        </w:tc>
        <w:tc>
          <w:tcPr>
            <w:tcW w:w="1486" w:type="dxa"/>
            <w:noWrap w:val="0"/>
            <w:vAlign w:val="center"/>
          </w:tcPr>
          <w:p w14:paraId="1450339D">
            <w:pPr>
              <w:jc w:val="center"/>
              <w:rPr>
                <w:rFonts w:hint="eastAsia" w:hAnsi="宋体"/>
                <w:szCs w:val="21"/>
              </w:rPr>
            </w:pPr>
            <w:r>
              <w:rPr>
                <w:rFonts w:hAnsi="宋体"/>
                <w:szCs w:val="21"/>
              </w:rPr>
              <w:t>青龙街道</w:t>
            </w:r>
          </w:p>
          <w:p w14:paraId="45EDA6C2">
            <w:pPr>
              <w:jc w:val="center"/>
              <w:rPr>
                <w:rFonts w:hAnsi="宋体"/>
                <w:szCs w:val="21"/>
              </w:rPr>
            </w:pPr>
            <w:r>
              <w:rPr>
                <w:rFonts w:hAnsi="宋体"/>
                <w:szCs w:val="21"/>
              </w:rPr>
              <w:t>办事处</w:t>
            </w:r>
          </w:p>
        </w:tc>
      </w:tr>
      <w:tr w14:paraId="18DF147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28" w:hRule="atLeast"/>
          <w:tblHeader/>
          <w:jc w:val="center"/>
        </w:trPr>
        <w:tc>
          <w:tcPr>
            <w:tcW w:w="646" w:type="dxa"/>
            <w:vMerge w:val="restart"/>
            <w:noWrap w:val="0"/>
            <w:vAlign w:val="center"/>
          </w:tcPr>
          <w:p w14:paraId="33D4A7D8">
            <w:pPr>
              <w:jc w:val="center"/>
              <w:rPr>
                <w:rFonts w:hint="eastAsia" w:hAnsi="宋体"/>
                <w:szCs w:val="21"/>
              </w:rPr>
            </w:pPr>
            <w:r>
              <w:rPr>
                <w:rFonts w:hAnsi="宋体"/>
                <w:szCs w:val="21"/>
              </w:rPr>
              <w:t>钟</w:t>
            </w:r>
          </w:p>
          <w:p w14:paraId="6711F707">
            <w:pPr>
              <w:jc w:val="center"/>
              <w:rPr>
                <w:rFonts w:hint="eastAsia" w:hAnsi="宋体"/>
                <w:szCs w:val="21"/>
              </w:rPr>
            </w:pPr>
            <w:r>
              <w:rPr>
                <w:rFonts w:hAnsi="宋体"/>
                <w:szCs w:val="21"/>
              </w:rPr>
              <w:t>楼</w:t>
            </w:r>
          </w:p>
          <w:p w14:paraId="11AF045F">
            <w:pPr>
              <w:jc w:val="center"/>
              <w:rPr>
                <w:rFonts w:hAnsi="宋体"/>
                <w:szCs w:val="21"/>
              </w:rPr>
            </w:pPr>
            <w:r>
              <w:rPr>
                <w:rFonts w:hAnsi="宋体"/>
                <w:szCs w:val="21"/>
              </w:rPr>
              <w:t>区</w:t>
            </w:r>
          </w:p>
        </w:tc>
        <w:tc>
          <w:tcPr>
            <w:tcW w:w="654" w:type="dxa"/>
            <w:noWrap w:val="0"/>
            <w:vAlign w:val="center"/>
          </w:tcPr>
          <w:p w14:paraId="299D8E5E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4</w:t>
            </w:r>
          </w:p>
        </w:tc>
        <w:tc>
          <w:tcPr>
            <w:tcW w:w="1898" w:type="dxa"/>
            <w:noWrap w:val="0"/>
            <w:vAlign w:val="center"/>
          </w:tcPr>
          <w:p w14:paraId="748E7298">
            <w:pPr>
              <w:jc w:val="center"/>
              <w:rPr>
                <w:rFonts w:hAnsi="宋体"/>
                <w:szCs w:val="21"/>
              </w:rPr>
            </w:pPr>
            <w:r>
              <w:rPr>
                <w:rFonts w:hAnsi="宋体"/>
                <w:szCs w:val="21"/>
              </w:rPr>
              <w:t>五星街道社区服务设施提升改造工程项目</w:t>
            </w:r>
          </w:p>
        </w:tc>
        <w:tc>
          <w:tcPr>
            <w:tcW w:w="4960" w:type="dxa"/>
            <w:noWrap w:val="0"/>
            <w:vAlign w:val="center"/>
          </w:tcPr>
          <w:p w14:paraId="14BC4BA3">
            <w:pPr>
              <w:jc w:val="left"/>
              <w:rPr>
                <w:rFonts w:hAnsi="宋体"/>
                <w:szCs w:val="21"/>
              </w:rPr>
            </w:pPr>
            <w:r>
              <w:rPr>
                <w:rFonts w:hint="eastAsia" w:hAnsi="宋体"/>
                <w:szCs w:val="21"/>
              </w:rPr>
              <w:t>项目位于勤德家园4幢304、都市桃源会所64号3楼，对原勤德家园社区、都市桃源社区进行升级改造，总建筑约1123平方米，主要建设社区便民服务站、社区智慧就业服务站、多元复合共享书屋、儿童综合教育成长基地、老年活动室等便民服务设施。</w:t>
            </w:r>
          </w:p>
        </w:tc>
        <w:tc>
          <w:tcPr>
            <w:tcW w:w="1486" w:type="dxa"/>
            <w:noWrap w:val="0"/>
            <w:vAlign w:val="center"/>
          </w:tcPr>
          <w:p w14:paraId="1C20EA54">
            <w:pPr>
              <w:jc w:val="center"/>
              <w:rPr>
                <w:rFonts w:hint="eastAsia" w:hAnsi="宋体"/>
                <w:szCs w:val="21"/>
              </w:rPr>
            </w:pPr>
            <w:r>
              <w:rPr>
                <w:rFonts w:hAnsi="宋体"/>
                <w:szCs w:val="21"/>
              </w:rPr>
              <w:t>五星街道</w:t>
            </w:r>
          </w:p>
          <w:p w14:paraId="59186634">
            <w:pPr>
              <w:jc w:val="center"/>
              <w:rPr>
                <w:rFonts w:hAnsi="宋体"/>
                <w:szCs w:val="21"/>
              </w:rPr>
            </w:pPr>
            <w:r>
              <w:rPr>
                <w:rFonts w:hAnsi="宋体"/>
                <w:szCs w:val="21"/>
              </w:rPr>
              <w:t>办事处</w:t>
            </w:r>
          </w:p>
        </w:tc>
      </w:tr>
      <w:tr w14:paraId="343E955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97" w:hRule="atLeast"/>
          <w:tblHeader/>
          <w:jc w:val="center"/>
        </w:trPr>
        <w:tc>
          <w:tcPr>
            <w:tcW w:w="646" w:type="dxa"/>
            <w:vMerge w:val="continue"/>
            <w:noWrap w:val="0"/>
            <w:vAlign w:val="center"/>
          </w:tcPr>
          <w:p w14:paraId="11278B10">
            <w:pPr>
              <w:jc w:val="center"/>
              <w:rPr>
                <w:rFonts w:hAnsi="宋体"/>
                <w:szCs w:val="21"/>
              </w:rPr>
            </w:pPr>
          </w:p>
        </w:tc>
        <w:tc>
          <w:tcPr>
            <w:tcW w:w="654" w:type="dxa"/>
            <w:noWrap w:val="0"/>
            <w:vAlign w:val="center"/>
          </w:tcPr>
          <w:p w14:paraId="1EF642DC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5</w:t>
            </w:r>
          </w:p>
        </w:tc>
        <w:tc>
          <w:tcPr>
            <w:tcW w:w="1898" w:type="dxa"/>
            <w:noWrap w:val="0"/>
            <w:vAlign w:val="center"/>
          </w:tcPr>
          <w:p w14:paraId="0A7ECA5E">
            <w:pPr>
              <w:jc w:val="center"/>
              <w:rPr>
                <w:rFonts w:hAnsi="宋体"/>
                <w:szCs w:val="21"/>
              </w:rPr>
            </w:pPr>
            <w:r>
              <w:rPr>
                <w:rFonts w:hAnsi="宋体"/>
                <w:szCs w:val="21"/>
              </w:rPr>
              <w:t>清潭一社区综合养老服务中心建设项目</w:t>
            </w:r>
          </w:p>
        </w:tc>
        <w:tc>
          <w:tcPr>
            <w:tcW w:w="4960" w:type="dxa"/>
            <w:noWrap w:val="0"/>
            <w:vAlign w:val="center"/>
          </w:tcPr>
          <w:p w14:paraId="2445CF3F">
            <w:pPr>
              <w:jc w:val="left"/>
              <w:rPr>
                <w:rFonts w:hAnsi="宋体"/>
                <w:szCs w:val="21"/>
              </w:rPr>
            </w:pPr>
            <w:r>
              <w:rPr>
                <w:rFonts w:hint="eastAsia" w:hAnsi="宋体"/>
                <w:szCs w:val="21"/>
              </w:rPr>
              <w:t>项目</w:t>
            </w:r>
            <w:r>
              <w:rPr>
                <w:rFonts w:hAnsi="宋体"/>
                <w:szCs w:val="21"/>
              </w:rPr>
              <w:t>位于清潭一社区综合体内，总建筑面积约</w:t>
            </w:r>
            <w:r>
              <w:rPr>
                <w:rFonts w:hint="eastAsia" w:hAnsi="宋体"/>
                <w:szCs w:val="21"/>
              </w:rPr>
              <w:t>3000</w:t>
            </w:r>
            <w:r>
              <w:rPr>
                <w:rFonts w:hAnsi="宋体"/>
                <w:szCs w:val="21"/>
              </w:rPr>
              <w:t>平方米</w:t>
            </w:r>
            <w:r>
              <w:rPr>
                <w:rFonts w:hint="eastAsia" w:hAnsi="宋体"/>
                <w:szCs w:val="21"/>
              </w:rPr>
              <w:t>，主要</w:t>
            </w:r>
            <w:r>
              <w:rPr>
                <w:rFonts w:hAnsi="宋体"/>
                <w:szCs w:val="21"/>
              </w:rPr>
              <w:t>建设日间托老休息设施、中医理疗室、认知症照护设施、助浴助餐功能室</w:t>
            </w:r>
            <w:r>
              <w:rPr>
                <w:rFonts w:hint="eastAsia" w:hAnsi="宋体"/>
                <w:szCs w:val="21"/>
              </w:rPr>
              <w:t>等社区</w:t>
            </w:r>
            <w:r>
              <w:rPr>
                <w:rFonts w:hAnsi="宋体"/>
                <w:szCs w:val="21"/>
              </w:rPr>
              <w:t>养老服务设施。</w:t>
            </w:r>
          </w:p>
        </w:tc>
        <w:tc>
          <w:tcPr>
            <w:tcW w:w="1486" w:type="dxa"/>
            <w:noWrap w:val="0"/>
            <w:vAlign w:val="center"/>
          </w:tcPr>
          <w:p w14:paraId="68B48181">
            <w:pPr>
              <w:jc w:val="center"/>
              <w:rPr>
                <w:rFonts w:hint="eastAsia" w:hAnsi="宋体"/>
                <w:szCs w:val="21"/>
              </w:rPr>
            </w:pPr>
            <w:r>
              <w:rPr>
                <w:rFonts w:hAnsi="宋体"/>
                <w:szCs w:val="21"/>
              </w:rPr>
              <w:t>永红街道</w:t>
            </w:r>
          </w:p>
          <w:p w14:paraId="1887DE54">
            <w:pPr>
              <w:jc w:val="center"/>
              <w:rPr>
                <w:rFonts w:hAnsi="宋体"/>
                <w:szCs w:val="21"/>
              </w:rPr>
            </w:pPr>
            <w:r>
              <w:rPr>
                <w:rFonts w:hAnsi="宋体"/>
                <w:szCs w:val="21"/>
              </w:rPr>
              <w:t>办事处</w:t>
            </w:r>
          </w:p>
        </w:tc>
      </w:tr>
      <w:tr w14:paraId="42C0391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33" w:hRule="atLeast"/>
          <w:tblHeader/>
          <w:jc w:val="center"/>
        </w:trPr>
        <w:tc>
          <w:tcPr>
            <w:tcW w:w="646" w:type="dxa"/>
            <w:vMerge w:val="continue"/>
            <w:noWrap w:val="0"/>
            <w:vAlign w:val="center"/>
          </w:tcPr>
          <w:p w14:paraId="584B7E90">
            <w:pPr>
              <w:jc w:val="center"/>
              <w:rPr>
                <w:rFonts w:hAnsi="宋体"/>
                <w:szCs w:val="21"/>
              </w:rPr>
            </w:pPr>
          </w:p>
        </w:tc>
        <w:tc>
          <w:tcPr>
            <w:tcW w:w="654" w:type="dxa"/>
            <w:noWrap w:val="0"/>
            <w:vAlign w:val="center"/>
          </w:tcPr>
          <w:p w14:paraId="08216944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6</w:t>
            </w:r>
          </w:p>
        </w:tc>
        <w:tc>
          <w:tcPr>
            <w:tcW w:w="1898" w:type="dxa"/>
            <w:noWrap w:val="0"/>
            <w:vAlign w:val="center"/>
          </w:tcPr>
          <w:p w14:paraId="103E67FE">
            <w:pPr>
              <w:jc w:val="center"/>
              <w:rPr>
                <w:rFonts w:hAnsi="宋体"/>
                <w:szCs w:val="21"/>
              </w:rPr>
            </w:pPr>
            <w:r>
              <w:rPr>
                <w:rFonts w:hAnsi="宋体"/>
                <w:szCs w:val="21"/>
              </w:rPr>
              <w:t>中吴社区服务中心</w:t>
            </w:r>
            <w:r>
              <w:rPr>
                <w:rFonts w:hint="eastAsia" w:hAnsi="宋体"/>
                <w:szCs w:val="21"/>
              </w:rPr>
              <w:t>（</w:t>
            </w:r>
            <w:r>
              <w:rPr>
                <w:rFonts w:hAnsi="宋体"/>
                <w:szCs w:val="21"/>
              </w:rPr>
              <w:t>党群服务中心</w:t>
            </w:r>
            <w:r>
              <w:rPr>
                <w:rFonts w:hint="eastAsia" w:hAnsi="宋体"/>
                <w:szCs w:val="21"/>
              </w:rPr>
              <w:t>）建设项目</w:t>
            </w:r>
          </w:p>
        </w:tc>
        <w:tc>
          <w:tcPr>
            <w:tcW w:w="4960" w:type="dxa"/>
            <w:noWrap w:val="0"/>
            <w:vAlign w:val="center"/>
          </w:tcPr>
          <w:p w14:paraId="1EC0ABC2">
            <w:pPr>
              <w:jc w:val="left"/>
              <w:rPr>
                <w:rFonts w:hAnsi="宋体"/>
                <w:szCs w:val="21"/>
              </w:rPr>
            </w:pPr>
            <w:r>
              <w:rPr>
                <w:rFonts w:hint="eastAsia" w:hAnsi="宋体"/>
                <w:szCs w:val="21"/>
              </w:rPr>
              <w:t>项目位于常州市钟楼区邹区镇融映雅园14幢2号，利用融映雅园小区公共用房新建社区党群服务中心，总建筑面积3080平方米，主要建设万册图书馆、有光书院、残疾人之家、公共安全体验馆、居家养老服务站等便民服务设施。</w:t>
            </w:r>
          </w:p>
        </w:tc>
        <w:tc>
          <w:tcPr>
            <w:tcW w:w="1486" w:type="dxa"/>
            <w:noWrap w:val="0"/>
            <w:vAlign w:val="center"/>
          </w:tcPr>
          <w:p w14:paraId="6C2DD070">
            <w:pPr>
              <w:jc w:val="center"/>
              <w:rPr>
                <w:rFonts w:hint="eastAsia" w:hAnsi="宋体"/>
                <w:szCs w:val="21"/>
              </w:rPr>
            </w:pPr>
            <w:r>
              <w:rPr>
                <w:rFonts w:hAnsi="宋体"/>
                <w:szCs w:val="21"/>
              </w:rPr>
              <w:t>西林街道</w:t>
            </w:r>
          </w:p>
          <w:p w14:paraId="778659E9">
            <w:pPr>
              <w:jc w:val="center"/>
              <w:rPr>
                <w:rFonts w:hAnsi="宋体"/>
                <w:szCs w:val="21"/>
              </w:rPr>
            </w:pPr>
            <w:r>
              <w:rPr>
                <w:rFonts w:hAnsi="宋体"/>
                <w:szCs w:val="21"/>
              </w:rPr>
              <w:t>办事处</w:t>
            </w:r>
          </w:p>
        </w:tc>
      </w:tr>
      <w:tr w14:paraId="4283757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57" w:hRule="atLeast"/>
          <w:tblHeader/>
          <w:jc w:val="center"/>
        </w:trPr>
        <w:tc>
          <w:tcPr>
            <w:tcW w:w="646" w:type="dxa"/>
            <w:noWrap w:val="0"/>
            <w:vAlign w:val="center"/>
          </w:tcPr>
          <w:p w14:paraId="0C194B0E">
            <w:pPr>
              <w:jc w:val="center"/>
              <w:rPr>
                <w:rFonts w:hint="eastAsia" w:hAnsi="宋体"/>
                <w:szCs w:val="21"/>
              </w:rPr>
            </w:pPr>
            <w:r>
              <w:rPr>
                <w:rFonts w:hAnsi="宋体"/>
                <w:szCs w:val="21"/>
              </w:rPr>
              <w:t>武</w:t>
            </w:r>
          </w:p>
          <w:p w14:paraId="1F8B27D1">
            <w:pPr>
              <w:jc w:val="center"/>
              <w:rPr>
                <w:rFonts w:hint="eastAsia" w:hAnsi="宋体"/>
                <w:szCs w:val="21"/>
              </w:rPr>
            </w:pPr>
            <w:r>
              <w:rPr>
                <w:rFonts w:hAnsi="宋体"/>
                <w:szCs w:val="21"/>
              </w:rPr>
              <w:t>进</w:t>
            </w:r>
          </w:p>
          <w:p w14:paraId="5B14453B">
            <w:pPr>
              <w:jc w:val="center"/>
              <w:rPr>
                <w:rFonts w:hAnsi="宋体"/>
                <w:szCs w:val="21"/>
              </w:rPr>
            </w:pPr>
            <w:r>
              <w:rPr>
                <w:rFonts w:hAnsi="宋体"/>
                <w:szCs w:val="21"/>
              </w:rPr>
              <w:t>区</w:t>
            </w:r>
          </w:p>
        </w:tc>
        <w:tc>
          <w:tcPr>
            <w:tcW w:w="654" w:type="dxa"/>
            <w:noWrap w:val="0"/>
            <w:vAlign w:val="center"/>
          </w:tcPr>
          <w:p w14:paraId="463D7D0F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7</w:t>
            </w:r>
          </w:p>
        </w:tc>
        <w:tc>
          <w:tcPr>
            <w:tcW w:w="1898" w:type="dxa"/>
            <w:noWrap w:val="0"/>
            <w:vAlign w:val="center"/>
          </w:tcPr>
          <w:p w14:paraId="4653686D">
            <w:pPr>
              <w:jc w:val="center"/>
              <w:rPr>
                <w:rFonts w:hAnsi="宋体"/>
                <w:szCs w:val="21"/>
              </w:rPr>
            </w:pPr>
            <w:r>
              <w:rPr>
                <w:rFonts w:hAnsi="宋体"/>
                <w:szCs w:val="21"/>
              </w:rPr>
              <w:t>礼嘉镇建东村互助养老睦邻点装修改造工程项目</w:t>
            </w:r>
          </w:p>
        </w:tc>
        <w:tc>
          <w:tcPr>
            <w:tcW w:w="4960" w:type="dxa"/>
            <w:noWrap w:val="0"/>
            <w:vAlign w:val="center"/>
          </w:tcPr>
          <w:p w14:paraId="4007079C">
            <w:pPr>
              <w:jc w:val="left"/>
              <w:rPr>
                <w:rFonts w:hAnsi="宋体"/>
                <w:szCs w:val="21"/>
              </w:rPr>
            </w:pPr>
            <w:r>
              <w:rPr>
                <w:rFonts w:hAnsi="宋体"/>
                <w:szCs w:val="21"/>
              </w:rPr>
              <w:t>项目位于武进区礼嘉镇建东村，项目主要利用建东村原有公共用房装修改造成为老服务中心，总建筑面积约659平方米，主要设置居家养老服务中心、社区老年助餐点等</w:t>
            </w:r>
            <w:r>
              <w:rPr>
                <w:rFonts w:hint="eastAsia" w:hAnsi="宋体"/>
                <w:szCs w:val="21"/>
              </w:rPr>
              <w:t>社区</w:t>
            </w:r>
            <w:r>
              <w:rPr>
                <w:rFonts w:hAnsi="宋体"/>
                <w:szCs w:val="21"/>
              </w:rPr>
              <w:t>养老服务设施。</w:t>
            </w:r>
          </w:p>
        </w:tc>
        <w:tc>
          <w:tcPr>
            <w:tcW w:w="1486" w:type="dxa"/>
            <w:noWrap w:val="0"/>
            <w:vAlign w:val="center"/>
          </w:tcPr>
          <w:p w14:paraId="1CAA1EDC">
            <w:pPr>
              <w:jc w:val="center"/>
              <w:rPr>
                <w:rFonts w:hint="eastAsia" w:hAnsi="宋体"/>
                <w:szCs w:val="21"/>
              </w:rPr>
            </w:pPr>
            <w:r>
              <w:rPr>
                <w:rFonts w:hAnsi="宋体"/>
                <w:szCs w:val="21"/>
              </w:rPr>
              <w:t>礼嘉镇建东村</w:t>
            </w:r>
          </w:p>
          <w:p w14:paraId="7244F88C">
            <w:pPr>
              <w:jc w:val="center"/>
              <w:rPr>
                <w:rFonts w:hAnsi="宋体"/>
                <w:szCs w:val="21"/>
              </w:rPr>
            </w:pPr>
            <w:r>
              <w:rPr>
                <w:rFonts w:hAnsi="宋体"/>
                <w:szCs w:val="21"/>
              </w:rPr>
              <w:t>村民委员会</w:t>
            </w:r>
          </w:p>
        </w:tc>
      </w:tr>
      <w:tr w14:paraId="338CDF0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37" w:hRule="atLeast"/>
          <w:tblHeader/>
          <w:jc w:val="center"/>
        </w:trPr>
        <w:tc>
          <w:tcPr>
            <w:tcW w:w="646" w:type="dxa"/>
            <w:vMerge w:val="restart"/>
            <w:noWrap w:val="0"/>
            <w:vAlign w:val="center"/>
          </w:tcPr>
          <w:p w14:paraId="313836F7">
            <w:pPr>
              <w:jc w:val="center"/>
              <w:rPr>
                <w:rFonts w:hint="eastAsia" w:hAnsi="宋体"/>
                <w:szCs w:val="21"/>
              </w:rPr>
            </w:pPr>
            <w:r>
              <w:rPr>
                <w:rFonts w:hAnsi="宋体"/>
                <w:szCs w:val="21"/>
              </w:rPr>
              <w:t>新</w:t>
            </w:r>
          </w:p>
          <w:p w14:paraId="7ABAF52A">
            <w:pPr>
              <w:jc w:val="center"/>
              <w:rPr>
                <w:rFonts w:hint="eastAsia" w:hAnsi="宋体"/>
                <w:szCs w:val="21"/>
              </w:rPr>
            </w:pPr>
            <w:r>
              <w:rPr>
                <w:rFonts w:hAnsi="宋体"/>
                <w:szCs w:val="21"/>
              </w:rPr>
              <w:t>北</w:t>
            </w:r>
          </w:p>
          <w:p w14:paraId="17EB7F8E">
            <w:pPr>
              <w:jc w:val="center"/>
              <w:rPr>
                <w:rFonts w:hAnsi="宋体"/>
                <w:szCs w:val="21"/>
              </w:rPr>
            </w:pPr>
            <w:r>
              <w:rPr>
                <w:rFonts w:hAnsi="宋体"/>
                <w:szCs w:val="21"/>
              </w:rPr>
              <w:t>区</w:t>
            </w:r>
          </w:p>
        </w:tc>
        <w:tc>
          <w:tcPr>
            <w:tcW w:w="654" w:type="dxa"/>
            <w:noWrap w:val="0"/>
            <w:vAlign w:val="center"/>
          </w:tcPr>
          <w:p w14:paraId="1147F921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8</w:t>
            </w:r>
          </w:p>
        </w:tc>
        <w:tc>
          <w:tcPr>
            <w:tcW w:w="1898" w:type="dxa"/>
            <w:noWrap w:val="0"/>
            <w:vAlign w:val="center"/>
          </w:tcPr>
          <w:p w14:paraId="3489C321">
            <w:pPr>
              <w:jc w:val="center"/>
              <w:rPr>
                <w:rFonts w:hAnsi="宋体"/>
                <w:szCs w:val="21"/>
              </w:rPr>
            </w:pPr>
            <w:r>
              <w:rPr>
                <w:rFonts w:hAnsi="宋体"/>
                <w:szCs w:val="21"/>
              </w:rPr>
              <w:t>丽园社区综合服务中心</w:t>
            </w:r>
            <w:r>
              <w:rPr>
                <w:rFonts w:hint="eastAsia" w:hAnsi="宋体"/>
                <w:szCs w:val="21"/>
              </w:rPr>
              <w:t>（</w:t>
            </w:r>
            <w:r>
              <w:rPr>
                <w:rFonts w:hAnsi="宋体"/>
                <w:szCs w:val="21"/>
              </w:rPr>
              <w:t>党群服务中心</w:t>
            </w:r>
            <w:r>
              <w:rPr>
                <w:rFonts w:hint="eastAsia" w:hAnsi="宋体"/>
                <w:szCs w:val="21"/>
              </w:rPr>
              <w:t>）</w:t>
            </w:r>
            <w:r>
              <w:rPr>
                <w:rFonts w:hAnsi="宋体"/>
                <w:szCs w:val="21"/>
              </w:rPr>
              <w:t>建设项目</w:t>
            </w:r>
          </w:p>
        </w:tc>
        <w:tc>
          <w:tcPr>
            <w:tcW w:w="4960" w:type="dxa"/>
            <w:noWrap w:val="0"/>
            <w:vAlign w:val="center"/>
          </w:tcPr>
          <w:p w14:paraId="4F9504DB">
            <w:pPr>
              <w:jc w:val="left"/>
              <w:rPr>
                <w:rFonts w:hAnsi="宋体"/>
                <w:szCs w:val="21"/>
              </w:rPr>
            </w:pPr>
            <w:r>
              <w:rPr>
                <w:rFonts w:hAnsi="宋体"/>
                <w:szCs w:val="21"/>
              </w:rPr>
              <w:t>项目位于薛家镇丽园社区323幢107商铺，利用顺园八村二期公共用房新建社区</w:t>
            </w:r>
            <w:r>
              <w:rPr>
                <w:rFonts w:hint="eastAsia" w:hAnsi="宋体"/>
                <w:szCs w:val="21"/>
              </w:rPr>
              <w:t>综合</w:t>
            </w:r>
            <w:r>
              <w:rPr>
                <w:rFonts w:hAnsi="宋体"/>
                <w:szCs w:val="21"/>
              </w:rPr>
              <w:t>服务中心，总建筑面积288平方米，主要建设</w:t>
            </w:r>
            <w:r>
              <w:rPr>
                <w:rFonts w:hint="eastAsia" w:hAnsi="宋体"/>
                <w:szCs w:val="21"/>
              </w:rPr>
              <w:t>便民服务站</w:t>
            </w:r>
            <w:r>
              <w:rPr>
                <w:rFonts w:hAnsi="宋体"/>
                <w:szCs w:val="21"/>
              </w:rPr>
              <w:t>、调解室等便民服务设施。</w:t>
            </w:r>
          </w:p>
        </w:tc>
        <w:tc>
          <w:tcPr>
            <w:tcW w:w="1486" w:type="dxa"/>
            <w:noWrap w:val="0"/>
            <w:vAlign w:val="center"/>
          </w:tcPr>
          <w:p w14:paraId="44F72C8D">
            <w:pPr>
              <w:jc w:val="center"/>
              <w:rPr>
                <w:rFonts w:hAnsi="宋体"/>
                <w:szCs w:val="21"/>
              </w:rPr>
            </w:pPr>
            <w:r>
              <w:rPr>
                <w:rFonts w:hAnsi="宋体"/>
                <w:szCs w:val="21"/>
              </w:rPr>
              <w:t>薛家镇</w:t>
            </w:r>
          </w:p>
          <w:p w14:paraId="0225C417">
            <w:pPr>
              <w:jc w:val="center"/>
              <w:rPr>
                <w:rFonts w:hAnsi="宋体"/>
                <w:szCs w:val="21"/>
              </w:rPr>
            </w:pPr>
            <w:r>
              <w:rPr>
                <w:rFonts w:hAnsi="宋体"/>
                <w:szCs w:val="21"/>
              </w:rPr>
              <w:t>人民政府</w:t>
            </w:r>
          </w:p>
        </w:tc>
      </w:tr>
      <w:tr w14:paraId="407B64D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62" w:hRule="atLeast"/>
          <w:tblHeader/>
          <w:jc w:val="center"/>
        </w:trPr>
        <w:tc>
          <w:tcPr>
            <w:tcW w:w="646" w:type="dxa"/>
            <w:vMerge w:val="continue"/>
            <w:noWrap w:val="0"/>
            <w:vAlign w:val="center"/>
          </w:tcPr>
          <w:p w14:paraId="1809C84E">
            <w:pPr>
              <w:jc w:val="center"/>
              <w:rPr>
                <w:rFonts w:hAnsi="宋体"/>
                <w:szCs w:val="21"/>
              </w:rPr>
            </w:pPr>
          </w:p>
        </w:tc>
        <w:tc>
          <w:tcPr>
            <w:tcW w:w="654" w:type="dxa"/>
            <w:noWrap w:val="0"/>
            <w:vAlign w:val="center"/>
          </w:tcPr>
          <w:p w14:paraId="023938B1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9</w:t>
            </w:r>
          </w:p>
        </w:tc>
        <w:tc>
          <w:tcPr>
            <w:tcW w:w="1898" w:type="dxa"/>
            <w:noWrap w:val="0"/>
            <w:vAlign w:val="center"/>
          </w:tcPr>
          <w:p w14:paraId="21523DB2">
            <w:pPr>
              <w:jc w:val="center"/>
              <w:rPr>
                <w:rFonts w:hAnsi="宋体"/>
                <w:szCs w:val="21"/>
              </w:rPr>
            </w:pPr>
            <w:r>
              <w:rPr>
                <w:rFonts w:hAnsi="宋体"/>
                <w:szCs w:val="21"/>
              </w:rPr>
              <w:t>仙龙社区综合服务中心</w:t>
            </w:r>
            <w:r>
              <w:rPr>
                <w:rFonts w:hint="eastAsia" w:hAnsi="宋体"/>
                <w:szCs w:val="21"/>
              </w:rPr>
              <w:t>（</w:t>
            </w:r>
            <w:r>
              <w:rPr>
                <w:rFonts w:hAnsi="宋体"/>
                <w:szCs w:val="21"/>
              </w:rPr>
              <w:t>党群服务中心</w:t>
            </w:r>
            <w:r>
              <w:rPr>
                <w:rFonts w:hint="eastAsia" w:hAnsi="宋体"/>
                <w:szCs w:val="21"/>
              </w:rPr>
              <w:t>）</w:t>
            </w:r>
            <w:r>
              <w:rPr>
                <w:rFonts w:hAnsi="宋体"/>
                <w:szCs w:val="21"/>
              </w:rPr>
              <w:t>装修改造工程项目</w:t>
            </w:r>
          </w:p>
        </w:tc>
        <w:tc>
          <w:tcPr>
            <w:tcW w:w="4960" w:type="dxa"/>
            <w:noWrap w:val="0"/>
            <w:vAlign w:val="center"/>
          </w:tcPr>
          <w:p w14:paraId="79D93BF2">
            <w:pPr>
              <w:jc w:val="left"/>
              <w:rPr>
                <w:rFonts w:hAnsi="宋体"/>
                <w:szCs w:val="21"/>
              </w:rPr>
            </w:pPr>
            <w:r>
              <w:rPr>
                <w:rFonts w:hAnsi="宋体"/>
                <w:szCs w:val="21"/>
              </w:rPr>
              <w:t>项目位于三江花园5幢，利用原三江花园售楼处公共用房新建社区</w:t>
            </w:r>
            <w:r>
              <w:rPr>
                <w:rFonts w:hint="eastAsia" w:hAnsi="宋体"/>
                <w:szCs w:val="21"/>
              </w:rPr>
              <w:t>综合</w:t>
            </w:r>
            <w:r>
              <w:rPr>
                <w:rFonts w:hAnsi="宋体"/>
                <w:szCs w:val="21"/>
              </w:rPr>
              <w:t>服务中心，总建筑面积1515平方米，主要建设便民服务</w:t>
            </w:r>
            <w:r>
              <w:rPr>
                <w:rFonts w:hint="eastAsia" w:hAnsi="宋体"/>
                <w:szCs w:val="21"/>
              </w:rPr>
              <w:t>站</w:t>
            </w:r>
            <w:r>
              <w:rPr>
                <w:rFonts w:hAnsi="宋体"/>
                <w:szCs w:val="21"/>
              </w:rPr>
              <w:t>、调解室等便民服务设施。</w:t>
            </w:r>
          </w:p>
        </w:tc>
        <w:tc>
          <w:tcPr>
            <w:tcW w:w="1486" w:type="dxa"/>
            <w:noWrap w:val="0"/>
            <w:vAlign w:val="center"/>
          </w:tcPr>
          <w:p w14:paraId="0EED69B7">
            <w:pPr>
              <w:jc w:val="center"/>
              <w:rPr>
                <w:rFonts w:hint="eastAsia" w:hAnsi="宋体"/>
                <w:szCs w:val="21"/>
              </w:rPr>
            </w:pPr>
            <w:r>
              <w:rPr>
                <w:rFonts w:hAnsi="宋体"/>
                <w:szCs w:val="21"/>
              </w:rPr>
              <w:t>龙虎塘街道</w:t>
            </w:r>
          </w:p>
          <w:p w14:paraId="1C29C9B3">
            <w:pPr>
              <w:jc w:val="center"/>
              <w:rPr>
                <w:rFonts w:hAnsi="宋体"/>
                <w:szCs w:val="21"/>
              </w:rPr>
            </w:pPr>
            <w:r>
              <w:rPr>
                <w:rFonts w:hAnsi="宋体"/>
                <w:szCs w:val="21"/>
              </w:rPr>
              <w:t>办事处</w:t>
            </w:r>
          </w:p>
        </w:tc>
      </w:tr>
      <w:tr w14:paraId="0DEA890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86" w:hRule="atLeast"/>
          <w:tblHeader/>
          <w:jc w:val="center"/>
        </w:trPr>
        <w:tc>
          <w:tcPr>
            <w:tcW w:w="646" w:type="dxa"/>
            <w:vMerge w:val="continue"/>
            <w:noWrap w:val="0"/>
            <w:vAlign w:val="center"/>
          </w:tcPr>
          <w:p w14:paraId="6D31EA52">
            <w:pPr>
              <w:jc w:val="center"/>
              <w:rPr>
                <w:rFonts w:hAnsi="宋体"/>
                <w:szCs w:val="21"/>
              </w:rPr>
            </w:pPr>
          </w:p>
        </w:tc>
        <w:tc>
          <w:tcPr>
            <w:tcW w:w="654" w:type="dxa"/>
            <w:noWrap w:val="0"/>
            <w:vAlign w:val="center"/>
          </w:tcPr>
          <w:p w14:paraId="2F3642E2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10</w:t>
            </w:r>
          </w:p>
        </w:tc>
        <w:tc>
          <w:tcPr>
            <w:tcW w:w="1898" w:type="dxa"/>
            <w:noWrap w:val="0"/>
            <w:vAlign w:val="center"/>
          </w:tcPr>
          <w:p w14:paraId="1ABCDDED">
            <w:pPr>
              <w:jc w:val="center"/>
              <w:rPr>
                <w:rFonts w:hAnsi="宋体"/>
                <w:szCs w:val="21"/>
              </w:rPr>
            </w:pPr>
            <w:r>
              <w:rPr>
                <w:rFonts w:hAnsi="宋体"/>
                <w:szCs w:val="21"/>
              </w:rPr>
              <w:t>祁连山社区综合服务中心</w:t>
            </w:r>
            <w:r>
              <w:rPr>
                <w:rFonts w:hint="eastAsia" w:hAnsi="宋体"/>
                <w:szCs w:val="21"/>
              </w:rPr>
              <w:t>（</w:t>
            </w:r>
            <w:r>
              <w:rPr>
                <w:rFonts w:hAnsi="宋体"/>
                <w:szCs w:val="21"/>
              </w:rPr>
              <w:t>党群服务中心</w:t>
            </w:r>
            <w:r>
              <w:rPr>
                <w:rFonts w:hint="eastAsia" w:hAnsi="宋体"/>
                <w:szCs w:val="21"/>
              </w:rPr>
              <w:t>）</w:t>
            </w:r>
            <w:r>
              <w:rPr>
                <w:rFonts w:hAnsi="宋体"/>
                <w:szCs w:val="21"/>
              </w:rPr>
              <w:t>建设项目</w:t>
            </w:r>
          </w:p>
        </w:tc>
        <w:tc>
          <w:tcPr>
            <w:tcW w:w="4960" w:type="dxa"/>
            <w:noWrap w:val="0"/>
            <w:vAlign w:val="center"/>
          </w:tcPr>
          <w:p w14:paraId="5C78A7E5">
            <w:pPr>
              <w:jc w:val="left"/>
              <w:rPr>
                <w:rFonts w:hAnsi="宋体"/>
                <w:szCs w:val="21"/>
              </w:rPr>
            </w:pPr>
            <w:r>
              <w:rPr>
                <w:rFonts w:hAnsi="宋体"/>
                <w:szCs w:val="21"/>
              </w:rPr>
              <w:t>项目位于江欣花苑（百馨苑六期），利用祁连山社区公共用房1幢、13幢新建社区</w:t>
            </w:r>
            <w:r>
              <w:rPr>
                <w:rFonts w:hint="eastAsia" w:hAnsi="宋体"/>
                <w:szCs w:val="21"/>
              </w:rPr>
              <w:t>综合</w:t>
            </w:r>
            <w:r>
              <w:rPr>
                <w:rFonts w:hAnsi="宋体"/>
                <w:szCs w:val="21"/>
              </w:rPr>
              <w:t>服务中心，面积约1900平方米，主要建设便民服务</w:t>
            </w:r>
            <w:r>
              <w:rPr>
                <w:rFonts w:hint="eastAsia" w:hAnsi="宋体"/>
                <w:szCs w:val="21"/>
              </w:rPr>
              <w:t>站</w:t>
            </w:r>
            <w:r>
              <w:rPr>
                <w:rFonts w:hAnsi="宋体"/>
                <w:szCs w:val="21"/>
              </w:rPr>
              <w:t>、居家养老服务中心、调解室、心理咨询室等便民服务设施。</w:t>
            </w:r>
          </w:p>
        </w:tc>
        <w:tc>
          <w:tcPr>
            <w:tcW w:w="1486" w:type="dxa"/>
            <w:noWrap w:val="0"/>
            <w:vAlign w:val="center"/>
          </w:tcPr>
          <w:p w14:paraId="153A426A">
            <w:pPr>
              <w:jc w:val="center"/>
              <w:rPr>
                <w:rFonts w:hint="eastAsia" w:hAnsi="宋体"/>
                <w:szCs w:val="21"/>
              </w:rPr>
            </w:pPr>
            <w:r>
              <w:rPr>
                <w:rFonts w:hAnsi="宋体"/>
                <w:szCs w:val="21"/>
              </w:rPr>
              <w:t>春江街道</w:t>
            </w:r>
          </w:p>
          <w:p w14:paraId="37E15A06">
            <w:pPr>
              <w:jc w:val="center"/>
              <w:rPr>
                <w:rFonts w:hAnsi="宋体"/>
                <w:szCs w:val="21"/>
              </w:rPr>
            </w:pPr>
            <w:r>
              <w:rPr>
                <w:rFonts w:hAnsi="宋体"/>
                <w:szCs w:val="21"/>
              </w:rPr>
              <w:t>办事处</w:t>
            </w:r>
          </w:p>
        </w:tc>
      </w:tr>
    </w:tbl>
    <w:p w14:paraId="6B74EF7E">
      <w:pPr>
        <w:spacing w:line="360" w:lineRule="auto"/>
        <w:rPr>
          <w:rFonts w:ascii="Times New Roman" w:hAnsi="Times New Roman" w:eastAsia="仿宋_GB2312"/>
          <w:sz w:val="32"/>
          <w:szCs w:val="32"/>
        </w:rPr>
      </w:pPr>
    </w:p>
    <w:p w14:paraId="2D104360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5C91870"/>
    <w:rsid w:val="05C918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keepNext/>
      <w:keepLines/>
      <w:spacing w:line="576" w:lineRule="auto"/>
      <w:outlineLvl w:val="0"/>
    </w:pPr>
    <w:rPr>
      <w:rFonts w:ascii="Times New Roman" w:hAnsi="Times New Roman" w:eastAsia="方正小标宋简体"/>
      <w:kern w:val="44"/>
      <w:sz w:val="44"/>
      <w:szCs w:val="24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2025-07-28T07:58:00Z</dcterms:created>
  <dc:creator>李兔兔</dc:creator>
  <cp:lastModifiedBy>李兔兔</cp:lastModifiedBy>
  <dcterms:modified xsi:type="dcterms:W3CDTF">2025-07-28T07:59:12Z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0EB254EE72D94228B2D1B575CFD71624_11</vt:lpwstr>
  </property>
  <property fmtid="{D5CDD505-2E9C-101B-9397-08002B2CF9AE}" pid="4" name="KSOTemplateDocerSaveRecord">
    <vt:lpwstr>eyJoZGlkIjoiZmMxNjJhYjk2MmIyNzhhN2M2ZDFmZGM1NDgwNGRjMDgiLCJ1c2VySWQiOiIzOTMxOTQ5NDcifQ==</vt:lpwstr>
  </property>
</Properties>
</file>