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C26EF5">
        <w:trPr>
          <w:trHeight w:val="3592"/>
        </w:trPr>
        <w:tc>
          <w:tcPr>
            <w:tcW w:w="10402" w:type="dxa"/>
            <w:tcBorders>
              <w:top w:val="nil"/>
              <w:left w:val="nil"/>
              <w:bottom w:val="nil"/>
              <w:right w:val="nil"/>
            </w:tcBorders>
          </w:tcPr>
          <w:p w:rsidR="00C26EF5" w:rsidRDefault="00C26EF5">
            <w:pPr>
              <w:pStyle w:val="a4"/>
              <w:spacing w:line="360" w:lineRule="auto"/>
              <w:rPr>
                <w:rFonts w:ascii="仿宋" w:eastAsia="仿宋" w:hAnsi="仿宋" w:cs="仿宋"/>
                <w:b/>
                <w:bCs/>
                <w:color w:val="FF0000"/>
                <w:sz w:val="22"/>
                <w:szCs w:val="22"/>
              </w:rPr>
            </w:pPr>
          </w:p>
        </w:tc>
      </w:tr>
      <w:tr w:rsidR="00C26EF5">
        <w:trPr>
          <w:trHeight w:val="4945"/>
        </w:trPr>
        <w:tc>
          <w:tcPr>
            <w:tcW w:w="10402" w:type="dxa"/>
            <w:tcBorders>
              <w:top w:val="nil"/>
              <w:left w:val="nil"/>
              <w:bottom w:val="nil"/>
              <w:right w:val="nil"/>
            </w:tcBorders>
          </w:tcPr>
          <w:p w:rsidR="00C26EF5" w:rsidRDefault="004C7F7C">
            <w:pPr>
              <w:ind w:rightChars="129" w:right="284"/>
              <w:jc w:val="center"/>
              <w:rPr>
                <w:rFonts w:ascii="仿宋" w:eastAsia="仿宋" w:hAnsi="仿宋" w:cs="仿宋"/>
                <w:b/>
                <w:bCs/>
                <w:color w:val="FF0000"/>
              </w:rPr>
            </w:pPr>
            <w:r>
              <w:rPr>
                <w:rFonts w:ascii="宋体" w:eastAsia="宋体" w:hAnsi="宋体" w:cs="宋体"/>
                <w:b/>
                <w:sz w:val="52"/>
              </w:rPr>
              <w:t>2021</w:t>
            </w:r>
            <w:r>
              <w:rPr>
                <w:rFonts w:ascii="宋体" w:eastAsia="宋体" w:hAnsi="宋体" w:cs="宋体"/>
                <w:b/>
                <w:sz w:val="52"/>
              </w:rPr>
              <w:t>年度常州市生态环境局部门决算公开</w:t>
            </w:r>
          </w:p>
        </w:tc>
      </w:tr>
    </w:tbl>
    <w:p w:rsidR="00C26EF5" w:rsidRDefault="00C26EF5">
      <w:pPr>
        <w:ind w:rightChars="129" w:right="284"/>
        <w:jc w:val="both"/>
        <w:rPr>
          <w:rFonts w:ascii="宋体" w:eastAsia="宋体" w:hAnsi="宋体" w:cs="宋体"/>
          <w:b/>
          <w:bCs/>
          <w:sz w:val="52"/>
          <w:szCs w:val="52"/>
        </w:rPr>
        <w:sectPr w:rsidR="00C26EF5">
          <w:headerReference w:type="even" r:id="rId7"/>
          <w:headerReference w:type="default" r:id="rId8"/>
          <w:footerReference w:type="even" r:id="rId9"/>
          <w:footerReference w:type="default" r:id="rId10"/>
          <w:headerReference w:type="first" r:id="rId11"/>
          <w:footerReference w:type="first" r:id="rId12"/>
          <w:pgSz w:w="11906" w:h="16838"/>
          <w:pgMar w:top="1580" w:right="700" w:bottom="770" w:left="1020" w:header="170" w:footer="280" w:gutter="0"/>
          <w:cols w:space="720"/>
          <w:formProt w:val="0"/>
          <w:titlePg/>
          <w:docGrid w:linePitch="100"/>
        </w:sectPr>
      </w:pPr>
    </w:p>
    <w:p w:rsidR="00C26EF5" w:rsidRDefault="00C26EF5">
      <w:pPr>
        <w:pStyle w:val="a4"/>
        <w:spacing w:before="4"/>
        <w:rPr>
          <w:rFonts w:ascii="华文仿宋" w:eastAsia="华文仿宋" w:hAnsi="华文仿宋" w:cs="仿宋"/>
          <w:sz w:val="10"/>
        </w:rPr>
      </w:pPr>
    </w:p>
    <w:p w:rsidR="00C26EF5" w:rsidRDefault="004C7F7C">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C26EF5" w:rsidRDefault="00C26EF5">
      <w:pPr>
        <w:pStyle w:val="a4"/>
        <w:spacing w:before="7"/>
        <w:rPr>
          <w:rFonts w:ascii="仿宋" w:eastAsia="仿宋" w:hAnsi="仿宋" w:cs="仿宋"/>
          <w:sz w:val="27"/>
        </w:rPr>
      </w:pPr>
    </w:p>
    <w:p w:rsidR="00C26EF5" w:rsidRDefault="004C7F7C">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部门</w:t>
      </w:r>
      <w:r>
        <w:rPr>
          <w:rFonts w:ascii="黑体" w:eastAsia="黑体" w:hAnsi="黑体" w:cs="黑体" w:hint="eastAsia"/>
        </w:rPr>
        <w:t>概况</w:t>
      </w:r>
    </w:p>
    <w:p w:rsidR="00C26EF5" w:rsidRDefault="004C7F7C">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C26EF5" w:rsidRDefault="004C7F7C">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机构设置及决算单位构成情况</w:t>
      </w:r>
    </w:p>
    <w:p w:rsidR="00C26EF5" w:rsidRDefault="004C7F7C">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2021</w:t>
      </w:r>
      <w:r>
        <w:rPr>
          <w:rFonts w:ascii="仿宋" w:eastAsia="仿宋" w:hAnsi="仿宋" w:cs="仿宋" w:hint="eastAsia"/>
        </w:rPr>
        <w:t>年度主要工作完成情况</w:t>
      </w:r>
    </w:p>
    <w:p w:rsidR="00C26EF5" w:rsidRDefault="004C7F7C">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2021</w:t>
      </w:r>
      <w:r>
        <w:rPr>
          <w:rFonts w:ascii="黑体" w:eastAsia="黑体" w:hAnsi="黑体" w:cs="黑体" w:hint="eastAsia"/>
          <w:lang w:val="en-US"/>
        </w:rPr>
        <w:t>年度</w:t>
      </w:r>
      <w:r>
        <w:rPr>
          <w:rFonts w:ascii="黑体" w:eastAsia="黑体" w:hAnsi="黑体" w:cs="黑体"/>
        </w:rPr>
        <w:t>部门决算表</w:t>
      </w:r>
    </w:p>
    <w:p w:rsidR="00C26EF5" w:rsidRDefault="004C7F7C">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C26EF5" w:rsidRDefault="004C7F7C">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C26EF5" w:rsidRDefault="004C7F7C">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C26EF5" w:rsidRDefault="004C7F7C">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C26EF5" w:rsidRDefault="004C7F7C">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C26EF5" w:rsidRDefault="004C7F7C">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r>
        <w:rPr>
          <w:rFonts w:ascii="仿宋" w:eastAsia="仿宋" w:hAnsi="仿宋" w:cs="仿宋" w:hint="eastAsia"/>
        </w:rPr>
        <w:t xml:space="preserve"> </w:t>
      </w:r>
      <w:r>
        <w:rPr>
          <w:rFonts w:ascii="仿宋" w:eastAsia="仿宋" w:hAnsi="仿宋" w:cs="仿宋" w:hint="eastAsia"/>
        </w:rPr>
        <w:t>七、一般公共预算支出决算表（功能科目）</w:t>
      </w:r>
    </w:p>
    <w:p w:rsidR="00C26EF5" w:rsidRDefault="004C7F7C">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C26EF5" w:rsidRDefault="004C7F7C">
      <w:pPr>
        <w:pStyle w:val="a4"/>
        <w:spacing w:line="360"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九、一般公共预算“三公”经费、会议费、培训费支出决算表</w:t>
      </w:r>
    </w:p>
    <w:p w:rsidR="00C26EF5" w:rsidRDefault="004C7F7C">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C26EF5" w:rsidRDefault="004C7F7C">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C26EF5" w:rsidRDefault="004C7F7C">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、一般公共预算机关运行经费支出决算表</w:t>
      </w:r>
    </w:p>
    <w:p w:rsidR="00C26EF5" w:rsidRDefault="004C7F7C">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C26EF5" w:rsidRDefault="004C7F7C">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2021</w:t>
      </w:r>
      <w:r>
        <w:rPr>
          <w:rFonts w:ascii="黑体" w:eastAsia="黑体" w:hAnsi="黑体" w:cs="黑体" w:hint="eastAsia"/>
          <w:lang w:val="en-US"/>
        </w:rPr>
        <w:t>年度</w:t>
      </w:r>
      <w:r>
        <w:rPr>
          <w:rFonts w:ascii="黑体" w:eastAsia="黑体" w:hAnsi="黑体" w:cs="黑体"/>
        </w:rPr>
        <w:t>部门决算情况说明</w:t>
      </w:r>
    </w:p>
    <w:p w:rsidR="00C26EF5" w:rsidRDefault="004C7F7C">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C26EF5" w:rsidRDefault="00C26EF5">
      <w:pPr>
        <w:pStyle w:val="a4"/>
        <w:spacing w:line="235" w:lineRule="auto"/>
        <w:ind w:leftChars="300" w:left="669" w:right="2414" w:hanging="9"/>
        <w:jc w:val="both"/>
        <w:rPr>
          <w:rFonts w:ascii="仿宋" w:eastAsia="仿宋" w:hAnsi="仿宋" w:cs="仿宋"/>
        </w:rPr>
        <w:sectPr w:rsidR="00C26EF5">
          <w:footerReference w:type="default" r:id="rId13"/>
          <w:pgSz w:w="11906" w:h="16838"/>
          <w:pgMar w:top="1580" w:right="700" w:bottom="770" w:left="1020" w:header="283" w:footer="280" w:gutter="0"/>
          <w:pgNumType w:fmt="numberInDash" w:start="1"/>
          <w:cols w:space="720"/>
          <w:formProt w:val="0"/>
          <w:docGrid w:linePitch="100"/>
        </w:sectPr>
      </w:pPr>
    </w:p>
    <w:p w:rsidR="00C26EF5" w:rsidRDefault="00C26EF5">
      <w:pPr>
        <w:pStyle w:val="a4"/>
        <w:spacing w:before="1"/>
        <w:rPr>
          <w:rFonts w:ascii="华文仿宋" w:eastAsia="华文仿宋" w:hAnsi="华文仿宋" w:cs="仿宋"/>
          <w:sz w:val="14"/>
        </w:rPr>
      </w:pPr>
    </w:p>
    <w:p w:rsidR="00C26EF5" w:rsidRDefault="004C7F7C">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第一部分部门概况</w:t>
      </w:r>
    </w:p>
    <w:p w:rsidR="00C26EF5" w:rsidRDefault="00C26EF5">
      <w:pPr>
        <w:ind w:rightChars="229" w:right="504"/>
        <w:jc w:val="both"/>
      </w:pPr>
    </w:p>
    <w:p w:rsidR="00C26EF5" w:rsidRDefault="004C7F7C">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常州市生态环境局负责贯彻落实中央关于生态环境保护工作的方针政策和省委、市委的决策部署，在履行职责过程中坚持和加强党对全市生态环境保护工作的集中统一领导。主要职责是：</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落实执行生态环境基本制度。贯彻落实国家、省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态环境标准、基准和技术规范。</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（二）负责组织指导、协调全市生态文明建设工作，组织编制生态文明建设规划，开展生态文明建设考核和评价。</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（三）负责重大生态环境问题的统筹协调和监督管理。牵头协调全市范围内重特大环境污染事故和生态破坏事件的调查处理，指导协调辖市（</w:t>
      </w:r>
      <w:r>
        <w:rPr>
          <w:rFonts w:ascii="仿宋" w:eastAsia="仿宋" w:hAnsi="仿宋" w:cs="仿宋"/>
        </w:rPr>
        <w:t>区）政府重特大突发生态环境事件的应急处置、预警工作，牵头指导实施生态环境损害赔偿制度，协调解决有关跨区域环境污染纠纷，统筹协调全市重点区域、流域生态环境保护工作。</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（四）负责落实减排目标任务。组织实施地方污染物排放总量控制、排污许可证制度并监督管理，确定大气、水等纳污能力，提出实施总量控制的污染物名称和控制指标，组织制定和实</w:t>
      </w:r>
      <w:r>
        <w:rPr>
          <w:rFonts w:ascii="仿宋" w:eastAsia="仿宋" w:hAnsi="仿宋" w:cs="仿宋"/>
        </w:rPr>
        <w:lastRenderedPageBreak/>
        <w:t>施污染物减排计划，监督检查各辖市（区）污染物减排任务完成情况，实施生态环境保护目标责任制。</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（五）负责提出生态环境领域固定资产投资规模和方向、市财政性资金安排意见。按规定权限，审批、核准</w:t>
      </w:r>
      <w:r>
        <w:rPr>
          <w:rFonts w:ascii="仿宋" w:eastAsia="仿宋" w:hAnsi="仿宋" w:cs="仿宋"/>
        </w:rPr>
        <w:t>全市规划内和年度计划规模内固定资产投资项目，配合有关部门做好组织实施和监督工作。参与指导和推动循环经济和生态环保产业发展。</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环境污染防治的监督管理。贯彻执行国家、省关于大气、水、土壤、噪声、光、恶臭、固体废物、化学品、机动车等污染防治管理制度。指导协调和监督农村生态环境保护，会同有关部门监督管理饮用水水源地生态环境保护工作，组织指导城乡环境综合整治工作，监督指导农业面源污染治理工作。监督指导区域大气环境保护工作，组织实施区域大气污染联防联控协作机制。</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（七）贯彻落实省委、省政府和市委、市政府关于太</w:t>
      </w:r>
      <w:r>
        <w:rPr>
          <w:rFonts w:ascii="仿宋" w:eastAsia="仿宋" w:hAnsi="仿宋" w:cs="仿宋"/>
        </w:rPr>
        <w:t>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检查。统筹协调和监督全市水生态环境管理工作。</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（八）指导协调和监督生态保护修复工作。拟订生态保护规划，监督对生态环境有影响的自然资源开发利用活动、重要生态环境建设和生态破坏恢复工作。组织实施各类自然保护地生态环</w:t>
      </w:r>
      <w:r>
        <w:rPr>
          <w:rFonts w:ascii="仿宋" w:eastAsia="仿宋" w:hAnsi="仿宋" w:cs="仿宋"/>
        </w:rPr>
        <w:lastRenderedPageBreak/>
        <w:t>境监督管理工作。</w:t>
      </w:r>
      <w:r>
        <w:rPr>
          <w:rFonts w:ascii="仿宋" w:eastAsia="仿宋" w:hAnsi="仿宋" w:cs="仿宋"/>
        </w:rPr>
        <w:t>监督野生动植物保护、湿地生态环境保护等工作。监督生物技术环境安全，牵头生物物种（含生物遗传资源）工作，组织协调生物多样性保护工作，参与生态保护补偿工作。</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核与辐射安全的监督管理。对核技术应用、电磁辐射和伴有放射性矿产资源开发利用中的污染防治实施统一监督管理，会同有关部门负责放射性物质运输的监督管理，参与核事故应急处理，负责辐射环境事故应急处理工作，负责废旧放射源和放射性废物的管理，组织辐射环境监测。配合上级生态环境部门对市内核设施安全、核材料管制和民用核安全设备实施监督管理。</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（十）负责生态环境准</w:t>
      </w:r>
      <w:r>
        <w:rPr>
          <w:rFonts w:ascii="仿宋" w:eastAsia="仿宋" w:hAnsi="仿宋" w:cs="仿宋"/>
        </w:rPr>
        <w:t>入的监督管理。按规定组织审查重大经济和技术政策、发展规划以及重大经济开发计划的环境影响评价文件，按规定权限审批或审查辖区内开发建设区域、规划、项目环境影响评价文件。组织实施生态环境准入清单。</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负责生态环境监测工作。组织实施生态环境监测制度、规范和标准，落实执行生态环境监测质量管理制度。组织实施市级以下生态环境质量监测，组织实施污染源监督性监测、温室气体减排监测、应急监测、执法监测。负责全市生态环境监测网的建设和管理。</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（十二）统一负责生态环境监督执法。指导全市生态环境保护综合执法工作，组织开展全市生</w:t>
      </w:r>
      <w:r>
        <w:rPr>
          <w:rFonts w:ascii="仿宋" w:eastAsia="仿宋" w:hAnsi="仿宋" w:cs="仿宋"/>
        </w:rPr>
        <w:t>态环境保护执法检查活动，查处生态环境违法问题。组织拟订重特大突发生态环境事件和生态破坏事件的应急预案，指导调查处理工作。</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（十三）负责生态环境信息化工作。建设和管理生态环境信息网。实行生态环境质量公告制度，统一发布全市生态环境综合性报告和重大生态环境信息。</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组织指导和协调生态环境宣传教育工作。制定并组织实施生态环境保护宣传教育纲要，推动社会组织和公众参与生态环境保护。开展生态环境科技工作，组织生态环境重大科学研究和技术工程示范，推动生态环境技术管理体系建设。</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（十五）开展应对气候变化和生态环境对外合</w:t>
      </w:r>
      <w:r>
        <w:rPr>
          <w:rFonts w:ascii="仿宋" w:eastAsia="仿宋" w:hAnsi="仿宋" w:cs="仿宋"/>
        </w:rPr>
        <w:t>作交流工作。组织实施中央、省应对气候变化及温室气体减排的战略、规划和政策。归口管理全市生态环境国际合作和利用外资项目，组织协调市内有关生态环境国际条约的履约工作。</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（十六）完成市委、市政府交办的其他任务。</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职能转变。市生态环境局要统一行使生态和城乡各类污染排放监督管理与行政执法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w:t>
      </w:r>
      <w:r>
        <w:rPr>
          <w:rFonts w:ascii="仿宋" w:eastAsia="仿宋" w:hAnsi="仿宋" w:cs="仿宋"/>
        </w:rPr>
        <w:t>、企业为主体、社会组织和公众共同参与的生态环境治理体系，实行最严格的生态环境保护制度，严守生态保护红线和环境质量底线，坚决打好污染防治攻坚战，保障全市生态安全，为推进</w:t>
      </w:r>
      <w:r>
        <w:rPr>
          <w:rFonts w:ascii="仿宋" w:eastAsia="仿宋" w:hAnsi="仿宋" w:cs="仿宋"/>
        </w:rPr>
        <w:t>“</w:t>
      </w:r>
      <w:r>
        <w:rPr>
          <w:rFonts w:ascii="仿宋" w:eastAsia="仿宋" w:hAnsi="仿宋" w:cs="仿宋"/>
        </w:rPr>
        <w:t>两聚一高</w:t>
      </w:r>
      <w:r>
        <w:rPr>
          <w:rFonts w:ascii="仿宋" w:eastAsia="仿宋" w:hAnsi="仿宋" w:cs="仿宋"/>
        </w:rPr>
        <w:t>”</w:t>
      </w:r>
      <w:r>
        <w:rPr>
          <w:rFonts w:ascii="仿宋" w:eastAsia="仿宋" w:hAnsi="仿宋" w:cs="仿宋"/>
        </w:rPr>
        <w:t>新实践，建设美丽新常州奠定坚实生态环境基础。</w:t>
      </w:r>
    </w:p>
    <w:p w:rsidR="00C26EF5" w:rsidRDefault="004C7F7C">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部门</w:t>
      </w:r>
      <w:r>
        <w:rPr>
          <w:rFonts w:ascii="黑体" w:eastAsia="黑体" w:hAnsi="黑体" w:cs="黑体" w:hint="eastAsia"/>
        </w:rPr>
        <w:t>机构设置及决算单位构成情况</w:t>
      </w:r>
    </w:p>
    <w:p w:rsidR="00C26EF5" w:rsidRDefault="004C7F7C">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lastRenderedPageBreak/>
        <w:t>1.</w:t>
      </w:r>
      <w:bookmarkStart w:id="0" w:name="_GoBack"/>
      <w:bookmarkEnd w:id="0"/>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规划财务处、生态文明建设处（自然生态保护处）、政策法规处（科技标准处）、排污管理处、生态环境监测与信息处、水生态环境处（太湖水污染防治处）、大气环境处、土壤生态环境处、环境影响评价处、核与辐射环境管理处、</w:t>
      </w:r>
      <w:r>
        <w:rPr>
          <w:rFonts w:ascii="仿宋" w:eastAsia="仿宋" w:hAnsi="仿宋" w:cs="仿宋"/>
        </w:rPr>
        <w:t>固体废物与化学品处、组织人事处、机关党委。本部门下属单位包括</w:t>
      </w:r>
      <w:r>
        <w:rPr>
          <w:rFonts w:ascii="仿宋" w:eastAsia="仿宋" w:hAnsi="仿宋" w:cs="仿宋"/>
        </w:rPr>
        <w:t>:</w:t>
      </w:r>
      <w:r>
        <w:rPr>
          <w:rFonts w:ascii="仿宋" w:eastAsia="仿宋" w:hAnsi="仿宋" w:cs="仿宋"/>
        </w:rPr>
        <w:t>常州市生态环境综合行政执法局、常州市环境科学研究院、常州环保科技开发推广中心（自收自支单位）、常州市机动车排气污染监督管理中心、常州市生态环境监控中心。</w:t>
      </w:r>
    </w:p>
    <w:p w:rsidR="00C26EF5" w:rsidRDefault="004C7F7C">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2.</w:t>
      </w:r>
      <w:r>
        <w:rPr>
          <w:rFonts w:ascii="仿宋" w:eastAsia="仿宋" w:hAnsi="仿宋" w:cs="仿宋" w:hint="eastAsia"/>
        </w:rPr>
        <w:t>从决算单位构成看，纳入本</w:t>
      </w:r>
      <w:r>
        <w:rPr>
          <w:rFonts w:ascii="仿宋" w:eastAsia="仿宋" w:hAnsi="仿宋" w:cs="仿宋" w:hint="eastAsia"/>
          <w:lang w:val="en-US"/>
        </w:rPr>
        <w:t>部门</w:t>
      </w:r>
      <w:r>
        <w:rPr>
          <w:rFonts w:ascii="仿宋" w:eastAsia="仿宋" w:hAnsi="仿宋" w:cs="仿宋" w:hint="eastAsia"/>
        </w:rPr>
        <w:t>2021</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汇总决算编制范围的预算单位共计</w:t>
      </w:r>
      <w:r>
        <w:rPr>
          <w:rFonts w:ascii="仿宋" w:eastAsia="仿宋" w:hAnsi="仿宋" w:cs="仿宋"/>
        </w:rPr>
        <w:t>5</w:t>
      </w:r>
      <w:r>
        <w:rPr>
          <w:rFonts w:ascii="仿宋" w:eastAsia="仿宋" w:hAnsi="仿宋" w:cs="仿宋" w:hint="eastAsia"/>
        </w:rPr>
        <w:t>家，具体包括：</w:t>
      </w:r>
      <w:r>
        <w:rPr>
          <w:rFonts w:ascii="仿宋" w:eastAsia="仿宋" w:hAnsi="仿宋" w:cs="仿宋"/>
        </w:rPr>
        <w:t>常州市生态环境局本级、常州市生态环境综合行政执法局、常州市机动车排气污染监督管理中心、常州市环境科学研究院、常州市生态环境监控中心。</w:t>
      </w:r>
    </w:p>
    <w:p w:rsidR="00C26EF5" w:rsidRDefault="004C7F7C">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2021</w:t>
      </w:r>
      <w:r>
        <w:rPr>
          <w:rFonts w:ascii="黑体" w:eastAsia="黑体" w:hAnsi="黑体" w:cs="黑体" w:hint="eastAsia"/>
        </w:rPr>
        <w:t>年度主要工作完成情况</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2021</w:t>
      </w:r>
      <w:r>
        <w:rPr>
          <w:rFonts w:ascii="仿宋" w:eastAsia="仿宋" w:hAnsi="仿宋" w:cs="仿宋"/>
        </w:rPr>
        <w:t>年，全市生态环境系统深入贯彻习近平生态文明思想，全面落实市委、市政府和省生态环境厅决策部署，以</w:t>
      </w:r>
      <w:r>
        <w:rPr>
          <w:rFonts w:ascii="仿宋" w:eastAsia="仿宋" w:hAnsi="仿宋" w:cs="仿宋"/>
        </w:rPr>
        <w:t>“</w:t>
      </w:r>
      <w:r>
        <w:rPr>
          <w:rFonts w:ascii="仿宋" w:eastAsia="仿宋" w:hAnsi="仿宋" w:cs="仿宋"/>
        </w:rPr>
        <w:t>生态环境质量只能更好、不能变坏</w:t>
      </w:r>
      <w:r>
        <w:rPr>
          <w:rFonts w:ascii="仿宋" w:eastAsia="仿宋" w:hAnsi="仿宋" w:cs="仿宋"/>
        </w:rPr>
        <w:t>”</w:t>
      </w:r>
      <w:r>
        <w:rPr>
          <w:rFonts w:ascii="仿宋" w:eastAsia="仿宋" w:hAnsi="仿宋" w:cs="仿宋"/>
        </w:rPr>
        <w:t>为底线，突出源头治理，协同减污降碳，深入打好污染防治攻坚战，以环境质量稳步改善的实践成果，交出了一份群众满意的</w:t>
      </w:r>
      <w:r>
        <w:rPr>
          <w:rFonts w:ascii="仿宋" w:eastAsia="仿宋" w:hAnsi="仿宋" w:cs="仿宋"/>
        </w:rPr>
        <w:t>“</w:t>
      </w:r>
      <w:r>
        <w:rPr>
          <w:rFonts w:ascii="仿宋" w:eastAsia="仿宋" w:hAnsi="仿宋" w:cs="仿宋"/>
        </w:rPr>
        <w:t>环保答卷</w:t>
      </w:r>
      <w:r>
        <w:rPr>
          <w:rFonts w:ascii="仿宋" w:eastAsia="仿宋" w:hAnsi="仿宋" w:cs="仿宋"/>
        </w:rPr>
        <w:t>”</w:t>
      </w:r>
      <w:r>
        <w:rPr>
          <w:rFonts w:ascii="仿宋" w:eastAsia="仿宋" w:hAnsi="仿宋" w:cs="仿宋"/>
        </w:rPr>
        <w:t>。</w:t>
      </w:r>
      <w:r>
        <w:rPr>
          <w:rFonts w:ascii="仿宋" w:eastAsia="仿宋" w:hAnsi="仿宋" w:cs="仿宋"/>
        </w:rPr>
        <w:t>2021</w:t>
      </w:r>
      <w:r>
        <w:rPr>
          <w:rFonts w:ascii="仿宋" w:eastAsia="仿宋" w:hAnsi="仿宋" w:cs="仿宋"/>
        </w:rPr>
        <w:t>年全市</w:t>
      </w:r>
      <w:r>
        <w:rPr>
          <w:rFonts w:ascii="仿宋" w:eastAsia="仿宋" w:hAnsi="仿宋" w:cs="仿宋"/>
        </w:rPr>
        <w:t>PM2.5</w:t>
      </w:r>
      <w:r>
        <w:rPr>
          <w:rFonts w:ascii="仿宋" w:eastAsia="仿宋" w:hAnsi="仿宋" w:cs="仿宋"/>
        </w:rPr>
        <w:t>浓度</w:t>
      </w:r>
      <w:r>
        <w:rPr>
          <w:rFonts w:ascii="仿宋" w:eastAsia="仿宋" w:hAnsi="仿宋" w:cs="仿宋"/>
        </w:rPr>
        <w:t>36</w:t>
      </w:r>
      <w:r>
        <w:rPr>
          <w:rFonts w:ascii="仿宋" w:eastAsia="仿宋" w:hAnsi="仿宋" w:cs="仿宋"/>
        </w:rPr>
        <w:t>微克</w:t>
      </w:r>
      <w:r>
        <w:rPr>
          <w:rFonts w:ascii="仿宋" w:eastAsia="仿宋" w:hAnsi="仿宋" w:cs="仿宋"/>
        </w:rPr>
        <w:t>/</w:t>
      </w:r>
      <w:r>
        <w:rPr>
          <w:rFonts w:ascii="仿宋" w:eastAsia="仿宋" w:hAnsi="仿宋" w:cs="仿宋"/>
        </w:rPr>
        <w:t>立方米，同比下降</w:t>
      </w:r>
      <w:r>
        <w:rPr>
          <w:rFonts w:ascii="仿宋" w:eastAsia="仿宋" w:hAnsi="仿宋" w:cs="仿宋"/>
        </w:rPr>
        <w:t>7.7%</w:t>
      </w:r>
      <w:r>
        <w:rPr>
          <w:rFonts w:ascii="仿宋" w:eastAsia="仿宋" w:hAnsi="仿宋" w:cs="仿宋"/>
        </w:rPr>
        <w:t>，空气优良天数比率达</w:t>
      </w:r>
      <w:r>
        <w:rPr>
          <w:rFonts w:ascii="仿宋" w:eastAsia="仿宋" w:hAnsi="仿宋" w:cs="仿宋"/>
        </w:rPr>
        <w:t>76.4%</w:t>
      </w:r>
      <w:r>
        <w:rPr>
          <w:rFonts w:ascii="仿宋" w:eastAsia="仿宋" w:hAnsi="仿宋" w:cs="仿宋"/>
        </w:rPr>
        <w:t>。国、省考断面优</w:t>
      </w:r>
      <w:r>
        <w:rPr>
          <w:rFonts w:ascii="仿宋" w:eastAsia="仿宋" w:hAnsi="仿宋" w:cs="仿宋"/>
        </w:rPr>
        <w:t>Ⅲ</w:t>
      </w:r>
      <w:r>
        <w:rPr>
          <w:rFonts w:ascii="仿宋" w:eastAsia="仿宋" w:hAnsi="仿宋" w:cs="仿宋"/>
        </w:rPr>
        <w:t>比例分别为</w:t>
      </w:r>
      <w:r>
        <w:rPr>
          <w:rFonts w:ascii="仿宋" w:eastAsia="仿宋" w:hAnsi="仿宋" w:cs="仿宋"/>
        </w:rPr>
        <w:t>80%</w:t>
      </w:r>
      <w:r>
        <w:rPr>
          <w:rFonts w:ascii="仿宋" w:eastAsia="仿宋" w:hAnsi="仿宋" w:cs="仿宋"/>
        </w:rPr>
        <w:t>、</w:t>
      </w:r>
      <w:r>
        <w:rPr>
          <w:rFonts w:ascii="仿宋" w:eastAsia="仿宋" w:hAnsi="仿宋" w:cs="仿宋"/>
        </w:rPr>
        <w:t>92.2%</w:t>
      </w:r>
      <w:r>
        <w:rPr>
          <w:rFonts w:ascii="仿宋" w:eastAsia="仿宋" w:hAnsi="仿宋" w:cs="仿宋"/>
        </w:rPr>
        <w:t>，均超额完成省下达的目标任务，所有河流断面首次均达</w:t>
      </w:r>
      <w:r>
        <w:rPr>
          <w:rFonts w:ascii="仿宋" w:eastAsia="仿宋" w:hAnsi="仿宋" w:cs="仿宋"/>
        </w:rPr>
        <w:t>Ⅲ</w:t>
      </w:r>
      <w:r>
        <w:rPr>
          <w:rFonts w:ascii="仿宋" w:eastAsia="仿宋" w:hAnsi="仿宋" w:cs="仿宋"/>
        </w:rPr>
        <w:t>类。太湖湖体总磷、总氮浓度分别下降</w:t>
      </w:r>
      <w:r>
        <w:rPr>
          <w:rFonts w:ascii="仿宋" w:eastAsia="仿宋" w:hAnsi="仿宋" w:cs="仿宋"/>
        </w:rPr>
        <w:t>35.4%</w:t>
      </w:r>
      <w:r>
        <w:rPr>
          <w:rFonts w:ascii="仿宋" w:eastAsia="仿宋" w:hAnsi="仿宋" w:cs="仿宋"/>
        </w:rPr>
        <w:t>和</w:t>
      </w:r>
      <w:r>
        <w:rPr>
          <w:rFonts w:ascii="仿宋" w:eastAsia="仿宋" w:hAnsi="仿宋" w:cs="仿宋"/>
        </w:rPr>
        <w:t>13.2%</w:t>
      </w:r>
      <w:r>
        <w:rPr>
          <w:rFonts w:ascii="仿宋" w:eastAsia="仿宋" w:hAnsi="仿宋" w:cs="仿宋"/>
        </w:rPr>
        <w:t>，</w:t>
      </w:r>
      <w:r>
        <w:rPr>
          <w:rFonts w:ascii="仿宋" w:eastAsia="仿宋" w:hAnsi="仿宋" w:cs="仿宋"/>
        </w:rPr>
        <w:t>4</w:t>
      </w:r>
      <w:r>
        <w:rPr>
          <w:rFonts w:ascii="仿宋" w:eastAsia="仿宋" w:hAnsi="仿宋" w:cs="仿宋"/>
        </w:rPr>
        <w:t>条</w:t>
      </w:r>
      <w:r>
        <w:rPr>
          <w:rFonts w:ascii="仿宋" w:eastAsia="仿宋" w:hAnsi="仿宋" w:cs="仿宋"/>
        </w:rPr>
        <w:t>入湖河道首次全部达到省</w:t>
      </w:r>
      <w:r>
        <w:rPr>
          <w:rFonts w:ascii="仿宋" w:eastAsia="仿宋" w:hAnsi="仿宋" w:cs="仿宋"/>
        </w:rPr>
        <w:lastRenderedPageBreak/>
        <w:t>定考核目标，连续</w:t>
      </w:r>
      <w:r>
        <w:rPr>
          <w:rFonts w:ascii="仿宋" w:eastAsia="仿宋" w:hAnsi="仿宋" w:cs="仿宋"/>
        </w:rPr>
        <w:t>14</w:t>
      </w:r>
      <w:r>
        <w:rPr>
          <w:rFonts w:ascii="仿宋" w:eastAsia="仿宋" w:hAnsi="仿宋" w:cs="仿宋"/>
        </w:rPr>
        <w:t>年实现</w:t>
      </w:r>
      <w:r>
        <w:rPr>
          <w:rFonts w:ascii="仿宋" w:eastAsia="仿宋" w:hAnsi="仿宋" w:cs="仿宋"/>
        </w:rPr>
        <w:t>“</w:t>
      </w:r>
      <w:r>
        <w:rPr>
          <w:rFonts w:ascii="仿宋" w:eastAsia="仿宋" w:hAnsi="仿宋" w:cs="仿宋"/>
        </w:rPr>
        <w:t>两个确保</w:t>
      </w:r>
      <w:r>
        <w:rPr>
          <w:rFonts w:ascii="仿宋" w:eastAsia="仿宋" w:hAnsi="仿宋" w:cs="仿宋"/>
        </w:rPr>
        <w:t>”</w:t>
      </w:r>
      <w:r>
        <w:rPr>
          <w:rFonts w:ascii="仿宋" w:eastAsia="仿宋" w:hAnsi="仿宋" w:cs="仿宋"/>
        </w:rPr>
        <w:t>。</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一是强力推进治理修复，扎实改善生态环境质量。以</w:t>
      </w:r>
      <w:r>
        <w:rPr>
          <w:rFonts w:ascii="仿宋" w:eastAsia="仿宋" w:hAnsi="仿宋" w:cs="仿宋"/>
        </w:rPr>
        <w:t>“</w:t>
      </w:r>
      <w:r>
        <w:rPr>
          <w:rFonts w:ascii="仿宋" w:eastAsia="仿宋" w:hAnsi="仿宋" w:cs="仿宋"/>
        </w:rPr>
        <w:t>首季争优</w:t>
      </w:r>
      <w:r>
        <w:rPr>
          <w:rFonts w:ascii="仿宋" w:eastAsia="仿宋" w:hAnsi="仿宋" w:cs="仿宋"/>
        </w:rPr>
        <w:t>”“</w:t>
      </w:r>
      <w:r>
        <w:rPr>
          <w:rFonts w:ascii="仿宋" w:eastAsia="仿宋" w:hAnsi="仿宋" w:cs="仿宋"/>
        </w:rPr>
        <w:t>春夏攻坚</w:t>
      </w:r>
      <w:r>
        <w:rPr>
          <w:rFonts w:ascii="仿宋" w:eastAsia="仿宋" w:hAnsi="仿宋" w:cs="仿宋"/>
        </w:rPr>
        <w:t>”“</w:t>
      </w:r>
      <w:r>
        <w:rPr>
          <w:rFonts w:ascii="仿宋" w:eastAsia="仿宋" w:hAnsi="仿宋" w:cs="仿宋"/>
        </w:rPr>
        <w:t>百日攻坚</w:t>
      </w:r>
      <w:r>
        <w:rPr>
          <w:rFonts w:ascii="仿宋" w:eastAsia="仿宋" w:hAnsi="仿宋" w:cs="仿宋"/>
        </w:rPr>
        <w:t>”</w:t>
      </w:r>
      <w:r>
        <w:rPr>
          <w:rFonts w:ascii="仿宋" w:eastAsia="仿宋" w:hAnsi="仿宋" w:cs="仿宋"/>
        </w:rPr>
        <w:t>等专项行动为抓手，组织实施</w:t>
      </w:r>
      <w:r>
        <w:rPr>
          <w:rFonts w:ascii="仿宋" w:eastAsia="仿宋" w:hAnsi="仿宋" w:cs="仿宋"/>
        </w:rPr>
        <w:t>2722</w:t>
      </w:r>
      <w:r>
        <w:rPr>
          <w:rFonts w:ascii="仿宋" w:eastAsia="仿宋" w:hAnsi="仿宋" w:cs="仿宋"/>
        </w:rPr>
        <w:t>项治污工程，全力打好蓝天碧水净土保卫战。严格推进空气质量排名、落实水质断面</w:t>
      </w:r>
      <w:r>
        <w:rPr>
          <w:rFonts w:ascii="仿宋" w:eastAsia="仿宋" w:hAnsi="仿宋" w:cs="仿宋"/>
        </w:rPr>
        <w:t>“</w:t>
      </w:r>
      <w:r>
        <w:rPr>
          <w:rFonts w:ascii="仿宋" w:eastAsia="仿宋" w:hAnsi="仿宋" w:cs="仿宋"/>
        </w:rPr>
        <w:t>旬预警、月会商、季通报</w:t>
      </w:r>
      <w:r>
        <w:rPr>
          <w:rFonts w:ascii="仿宋" w:eastAsia="仿宋" w:hAnsi="仿宋" w:cs="仿宋"/>
        </w:rPr>
        <w:t>”</w:t>
      </w:r>
      <w:r>
        <w:rPr>
          <w:rFonts w:ascii="仿宋" w:eastAsia="仿宋" w:hAnsi="仿宋" w:cs="仿宋"/>
        </w:rPr>
        <w:t>达标保障机制，定时定向传导治污攻坚压力。完成火电、钢铁行业超低排放改造，持续推进</w:t>
      </w:r>
      <w:r>
        <w:rPr>
          <w:rFonts w:ascii="仿宋" w:eastAsia="仿宋" w:hAnsi="仿宋" w:cs="仿宋"/>
        </w:rPr>
        <w:t>“</w:t>
      </w:r>
      <w:r>
        <w:rPr>
          <w:rFonts w:ascii="仿宋" w:eastAsia="仿宋" w:hAnsi="仿宋" w:cs="仿宋"/>
        </w:rPr>
        <w:t>危污乱散低</w:t>
      </w:r>
      <w:r>
        <w:rPr>
          <w:rFonts w:ascii="仿宋" w:eastAsia="仿宋" w:hAnsi="仿宋" w:cs="仿宋"/>
        </w:rPr>
        <w:t>”</w:t>
      </w:r>
      <w:r>
        <w:rPr>
          <w:rFonts w:ascii="仿宋" w:eastAsia="仿宋" w:hAnsi="仿宋" w:cs="仿宋"/>
        </w:rPr>
        <w:t>出清提升行动，关停取缔</w:t>
      </w:r>
      <w:r>
        <w:rPr>
          <w:rFonts w:ascii="仿宋" w:eastAsia="仿宋" w:hAnsi="仿宋" w:cs="仿宋"/>
        </w:rPr>
        <w:t>“</w:t>
      </w:r>
      <w:r>
        <w:rPr>
          <w:rFonts w:ascii="仿宋" w:eastAsia="仿宋" w:hAnsi="仿宋" w:cs="仿宋"/>
        </w:rPr>
        <w:t>散乱污</w:t>
      </w:r>
      <w:r>
        <w:rPr>
          <w:rFonts w:ascii="仿宋" w:eastAsia="仿宋" w:hAnsi="仿宋" w:cs="仿宋"/>
        </w:rPr>
        <w:t>”</w:t>
      </w:r>
      <w:r>
        <w:rPr>
          <w:rFonts w:ascii="仿宋" w:eastAsia="仿宋" w:hAnsi="仿宋" w:cs="仿宋"/>
        </w:rPr>
        <w:t>企业</w:t>
      </w:r>
      <w:r>
        <w:rPr>
          <w:rFonts w:ascii="仿宋" w:eastAsia="仿宋" w:hAnsi="仿宋" w:cs="仿宋"/>
        </w:rPr>
        <w:t>2357</w:t>
      </w:r>
      <w:r>
        <w:rPr>
          <w:rFonts w:ascii="仿宋" w:eastAsia="仿宋" w:hAnsi="仿宋" w:cs="仿宋"/>
        </w:rPr>
        <w:t>家。强力推进汛期水质保障，大力开展</w:t>
      </w:r>
      <w:r>
        <w:rPr>
          <w:rFonts w:ascii="仿宋" w:eastAsia="仿宋" w:hAnsi="仿宋" w:cs="仿宋"/>
        </w:rPr>
        <w:t>“</w:t>
      </w:r>
      <w:r>
        <w:rPr>
          <w:rFonts w:ascii="仿宋" w:eastAsia="仿宋" w:hAnsi="仿宋" w:cs="仿宋"/>
        </w:rPr>
        <w:t>保</w:t>
      </w:r>
      <w:r>
        <w:rPr>
          <w:rFonts w:ascii="仿宋" w:eastAsia="仿宋" w:hAnsi="仿宋" w:cs="仿宋"/>
        </w:rPr>
        <w:t>Ⅲ</w:t>
      </w:r>
      <w:r>
        <w:rPr>
          <w:rFonts w:ascii="仿宋" w:eastAsia="仿宋" w:hAnsi="仿宋" w:cs="仿宋"/>
        </w:rPr>
        <w:t>增</w:t>
      </w:r>
      <w:r>
        <w:rPr>
          <w:rFonts w:ascii="仿宋" w:eastAsia="仿宋" w:hAnsi="仿宋" w:cs="仿宋"/>
        </w:rPr>
        <w:t>Ⅲ”</w:t>
      </w:r>
      <w:r>
        <w:rPr>
          <w:rFonts w:ascii="仿宋" w:eastAsia="仿宋" w:hAnsi="仿宋" w:cs="仿宋"/>
        </w:rPr>
        <w:t>攻坚行动，京杭运河五牧断面首次达</w:t>
      </w:r>
      <w:r>
        <w:rPr>
          <w:rFonts w:ascii="仿宋" w:eastAsia="仿宋" w:hAnsi="仿宋" w:cs="仿宋"/>
        </w:rPr>
        <w:t>Ⅲ</w:t>
      </w:r>
      <w:r>
        <w:rPr>
          <w:rFonts w:ascii="仿宋" w:eastAsia="仿宋" w:hAnsi="仿宋" w:cs="仿宋"/>
        </w:rPr>
        <w:t>，积极推进区域</w:t>
      </w:r>
      <w:r>
        <w:rPr>
          <w:rFonts w:ascii="仿宋" w:eastAsia="仿宋" w:hAnsi="仿宋" w:cs="仿宋"/>
        </w:rPr>
        <w:t>水污染物平衡核算，持续开展入江（湖）排污口溯源整治，率先启动流域涉磷企业排查整治。全面完成农用地土壤污染状况详查和重点行业企业用地土壤污染状况调查。系统谋划生态中轴，持续深化生态绿城建设，增核</w:t>
      </w:r>
      <w:r>
        <w:rPr>
          <w:rFonts w:ascii="仿宋" w:eastAsia="仿宋" w:hAnsi="仿宋" w:cs="仿宋"/>
        </w:rPr>
        <w:t>5774</w:t>
      </w:r>
      <w:r>
        <w:rPr>
          <w:rFonts w:ascii="仿宋" w:eastAsia="仿宋" w:hAnsi="仿宋" w:cs="仿宋"/>
        </w:rPr>
        <w:t>亩、扩绿</w:t>
      </w:r>
      <w:r>
        <w:rPr>
          <w:rFonts w:ascii="仿宋" w:eastAsia="仿宋" w:hAnsi="仿宋" w:cs="仿宋"/>
        </w:rPr>
        <w:t>3623</w:t>
      </w:r>
      <w:r>
        <w:rPr>
          <w:rFonts w:ascii="仿宋" w:eastAsia="仿宋" w:hAnsi="仿宋" w:cs="仿宋"/>
        </w:rPr>
        <w:t>亩、连网</w:t>
      </w:r>
      <w:r>
        <w:rPr>
          <w:rFonts w:ascii="仿宋" w:eastAsia="仿宋" w:hAnsi="仿宋" w:cs="仿宋"/>
        </w:rPr>
        <w:t>140</w:t>
      </w:r>
      <w:r>
        <w:rPr>
          <w:rFonts w:ascii="仿宋" w:eastAsia="仿宋" w:hAnsi="仿宋" w:cs="仿宋"/>
        </w:rPr>
        <w:t>公里，建成</w:t>
      </w:r>
      <w:r>
        <w:rPr>
          <w:rFonts w:ascii="仿宋" w:eastAsia="仿宋" w:hAnsi="仿宋" w:cs="仿宋"/>
        </w:rPr>
        <w:t>6</w:t>
      </w:r>
      <w:r>
        <w:rPr>
          <w:rFonts w:ascii="仿宋" w:eastAsia="仿宋" w:hAnsi="仿宋" w:cs="仿宋"/>
        </w:rPr>
        <w:t>个生态安全缓冲区。开展</w:t>
      </w:r>
      <w:r>
        <w:rPr>
          <w:rFonts w:ascii="仿宋" w:eastAsia="仿宋" w:hAnsi="仿宋" w:cs="仿宋"/>
        </w:rPr>
        <w:t>“</w:t>
      </w:r>
      <w:r>
        <w:rPr>
          <w:rFonts w:ascii="仿宋" w:eastAsia="仿宋" w:hAnsi="仿宋" w:cs="仿宋"/>
        </w:rPr>
        <w:t>绿盾</w:t>
      </w:r>
      <w:r>
        <w:rPr>
          <w:rFonts w:ascii="仿宋" w:eastAsia="仿宋" w:hAnsi="仿宋" w:cs="仿宋"/>
        </w:rPr>
        <w:t>2021”</w:t>
      </w:r>
      <w:r>
        <w:rPr>
          <w:rFonts w:ascii="仿宋" w:eastAsia="仿宋" w:hAnsi="仿宋" w:cs="仿宋"/>
        </w:rPr>
        <w:t>强化监督检查，推动生态破坏问题核查整改。我市荣获省打好污染防治攻坚战考核</w:t>
      </w:r>
      <w:r>
        <w:rPr>
          <w:rFonts w:ascii="仿宋" w:eastAsia="仿宋" w:hAnsi="仿宋" w:cs="仿宋"/>
        </w:rPr>
        <w:t>“</w:t>
      </w:r>
      <w:r>
        <w:rPr>
          <w:rFonts w:ascii="仿宋" w:eastAsia="仿宋" w:hAnsi="仿宋" w:cs="仿宋"/>
        </w:rPr>
        <w:t>优秀</w:t>
      </w:r>
      <w:r>
        <w:rPr>
          <w:rFonts w:ascii="仿宋" w:eastAsia="仿宋" w:hAnsi="仿宋" w:cs="仿宋"/>
        </w:rPr>
        <w:t>”</w:t>
      </w:r>
      <w:r>
        <w:rPr>
          <w:rFonts w:ascii="仿宋" w:eastAsia="仿宋" w:hAnsi="仿宋" w:cs="仿宋"/>
        </w:rPr>
        <w:t>等次，公众生态环境满意度稳步提升，人民群众生态环境获得感幸福感安全感不断增强。</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二是重拳开展环境执法，有力震慑环境违法行为。开展外勤派驻点（所）规范化建</w:t>
      </w:r>
      <w:r>
        <w:rPr>
          <w:rFonts w:ascii="仿宋" w:eastAsia="仿宋" w:hAnsi="仿宋" w:cs="仿宋"/>
        </w:rPr>
        <w:t>设，全面加强对执法队伍的统一管理。推进全市污染源自动监测监控全覆盖，全面使用统一行政处罚系统，实现环境执法全过程信息化管理。全省率先成立环境执法情报专班，加大科技手段应用，提高远程执法、非现场监管能力。累计下达处罚决定</w:t>
      </w:r>
      <w:r>
        <w:rPr>
          <w:rFonts w:ascii="仿宋" w:eastAsia="仿宋" w:hAnsi="仿宋" w:cs="仿宋"/>
        </w:rPr>
        <w:t>1117</w:t>
      </w:r>
      <w:r>
        <w:rPr>
          <w:rFonts w:ascii="仿宋" w:eastAsia="仿宋" w:hAnsi="仿宋" w:cs="仿宋"/>
        </w:rPr>
        <w:t>件、罚款金额</w:t>
      </w:r>
      <w:r>
        <w:rPr>
          <w:rFonts w:ascii="仿宋" w:eastAsia="仿宋" w:hAnsi="仿宋" w:cs="仿宋"/>
        </w:rPr>
        <w:t>1.2</w:t>
      </w:r>
      <w:r>
        <w:rPr>
          <w:rFonts w:ascii="仿宋" w:eastAsia="仿宋" w:hAnsi="仿宋" w:cs="仿宋"/>
        </w:rPr>
        <w:t>亿元，分别同比上升</w:t>
      </w:r>
      <w:r>
        <w:rPr>
          <w:rFonts w:ascii="仿宋" w:eastAsia="仿宋" w:hAnsi="仿宋" w:cs="仿宋"/>
        </w:rPr>
        <w:lastRenderedPageBreak/>
        <w:t>10.7%</w:t>
      </w:r>
      <w:r>
        <w:rPr>
          <w:rFonts w:ascii="仿宋" w:eastAsia="仿宋" w:hAnsi="仿宋" w:cs="仿宋"/>
        </w:rPr>
        <w:t>、</w:t>
      </w:r>
      <w:r>
        <w:rPr>
          <w:rFonts w:ascii="仿宋" w:eastAsia="仿宋" w:hAnsi="仿宋" w:cs="仿宋"/>
        </w:rPr>
        <w:t>32.3%</w:t>
      </w:r>
      <w:r>
        <w:rPr>
          <w:rFonts w:ascii="仿宋" w:eastAsia="仿宋" w:hAnsi="仿宋" w:cs="仿宋"/>
        </w:rPr>
        <w:t>，联合公安机关侦办环境污染犯罪案件</w:t>
      </w:r>
      <w:r>
        <w:rPr>
          <w:rFonts w:ascii="仿宋" w:eastAsia="仿宋" w:hAnsi="仿宋" w:cs="仿宋"/>
        </w:rPr>
        <w:t>15</w:t>
      </w:r>
      <w:r>
        <w:rPr>
          <w:rFonts w:ascii="仿宋" w:eastAsia="仿宋" w:hAnsi="仿宋" w:cs="仿宋"/>
        </w:rPr>
        <w:t>件，抓获嫌疑人</w:t>
      </w:r>
      <w:r>
        <w:rPr>
          <w:rFonts w:ascii="仿宋" w:eastAsia="仿宋" w:hAnsi="仿宋" w:cs="仿宋"/>
        </w:rPr>
        <w:t>109</w:t>
      </w:r>
      <w:r>
        <w:rPr>
          <w:rFonts w:ascii="仿宋" w:eastAsia="仿宋" w:hAnsi="仿宋" w:cs="仿宋"/>
        </w:rPr>
        <w:t>人，严肃查处了</w:t>
      </w:r>
      <w:r>
        <w:rPr>
          <w:rFonts w:ascii="仿宋" w:eastAsia="仿宋" w:hAnsi="仿宋" w:cs="仿宋"/>
        </w:rPr>
        <w:t>“‘1011’</w:t>
      </w:r>
      <w:r>
        <w:rPr>
          <w:rFonts w:ascii="仿宋" w:eastAsia="仿宋" w:hAnsi="仿宋" w:cs="仿宋"/>
        </w:rPr>
        <w:t>危险废物非法处置案</w:t>
      </w:r>
      <w:r>
        <w:rPr>
          <w:rFonts w:ascii="仿宋" w:eastAsia="仿宋" w:hAnsi="仿宋" w:cs="仿宋"/>
        </w:rPr>
        <w:t>”</w:t>
      </w:r>
      <w:r>
        <w:rPr>
          <w:rFonts w:ascii="仿宋" w:eastAsia="仿宋" w:hAnsi="仿宋" w:cs="仿宋"/>
        </w:rPr>
        <w:t>等一批典型违法案件，执法力度保持全省前列。市执法局获最高检、公安部、生态环境部</w:t>
      </w:r>
      <w:r>
        <w:rPr>
          <w:rFonts w:ascii="仿宋" w:eastAsia="仿宋" w:hAnsi="仿宋" w:cs="仿宋"/>
        </w:rPr>
        <w:t>“</w:t>
      </w:r>
      <w:r>
        <w:rPr>
          <w:rFonts w:ascii="仿宋" w:eastAsia="仿宋" w:hAnsi="仿宋" w:cs="仿宋"/>
        </w:rPr>
        <w:t>打击危险废物环境违法犯罪行为活动表现突出集</w:t>
      </w:r>
      <w:r>
        <w:rPr>
          <w:rFonts w:ascii="仿宋" w:eastAsia="仿宋" w:hAnsi="仿宋" w:cs="仿宋"/>
        </w:rPr>
        <w:t>体</w:t>
      </w:r>
      <w:r>
        <w:rPr>
          <w:rFonts w:ascii="仿宋" w:eastAsia="仿宋" w:hAnsi="仿宋" w:cs="仿宋"/>
        </w:rPr>
        <w:t>”</w:t>
      </w:r>
      <w:r>
        <w:rPr>
          <w:rFonts w:ascii="仿宋" w:eastAsia="仿宋" w:hAnsi="仿宋" w:cs="仿宋"/>
        </w:rPr>
        <w:t>、五年四获</w:t>
      </w:r>
      <w:r>
        <w:rPr>
          <w:rFonts w:ascii="仿宋" w:eastAsia="仿宋" w:hAnsi="仿宋" w:cs="仿宋"/>
        </w:rPr>
        <w:t>“</w:t>
      </w:r>
      <w:r>
        <w:rPr>
          <w:rFonts w:ascii="仿宋" w:eastAsia="仿宋" w:hAnsi="仿宋" w:cs="仿宋"/>
        </w:rPr>
        <w:t>全国环境执法大练兵表现突出集体</w:t>
      </w:r>
      <w:r>
        <w:rPr>
          <w:rFonts w:ascii="仿宋" w:eastAsia="仿宋" w:hAnsi="仿宋" w:cs="仿宋"/>
        </w:rPr>
        <w:t>”</w:t>
      </w:r>
      <w:r>
        <w:rPr>
          <w:rFonts w:ascii="仿宋" w:eastAsia="仿宋" w:hAnsi="仿宋" w:cs="仿宋"/>
        </w:rPr>
        <w:t>，武进生态环境局、新北生态环境局入围</w:t>
      </w:r>
      <w:r>
        <w:rPr>
          <w:rFonts w:ascii="仿宋" w:eastAsia="仿宋" w:hAnsi="仿宋" w:cs="仿宋"/>
        </w:rPr>
        <w:t>2021</w:t>
      </w:r>
      <w:r>
        <w:rPr>
          <w:rFonts w:ascii="仿宋" w:eastAsia="仿宋" w:hAnsi="仿宋" w:cs="仿宋"/>
        </w:rPr>
        <w:t>年度全国环境执法大练兵表现突出集体评选，执法工作成为我市生态环境保护的</w:t>
      </w:r>
      <w:r>
        <w:rPr>
          <w:rFonts w:ascii="仿宋" w:eastAsia="仿宋" w:hAnsi="仿宋" w:cs="仿宋"/>
        </w:rPr>
        <w:t>“</w:t>
      </w:r>
      <w:r>
        <w:rPr>
          <w:rFonts w:ascii="仿宋" w:eastAsia="仿宋" w:hAnsi="仿宋" w:cs="仿宋"/>
        </w:rPr>
        <w:t>金名片</w:t>
      </w:r>
      <w:r>
        <w:rPr>
          <w:rFonts w:ascii="仿宋" w:eastAsia="仿宋" w:hAnsi="仿宋" w:cs="仿宋"/>
        </w:rPr>
        <w:t>”</w:t>
      </w:r>
      <w:r>
        <w:rPr>
          <w:rFonts w:ascii="仿宋" w:eastAsia="仿宋" w:hAnsi="仿宋" w:cs="仿宋"/>
        </w:rPr>
        <w:t>。</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三是坚决守住安全底线，全面消解环境风险隐患。扎实推进中央、省级生态环境保护督察以及长江经济带警示片披露问题整改。聚焦中央生态环境保护督察重点关注内容，开展大排查、大起底、大整治，梳理排定</w:t>
      </w:r>
      <w:r>
        <w:rPr>
          <w:rFonts w:ascii="仿宋" w:eastAsia="仿宋" w:hAnsi="仿宋" w:cs="仿宋"/>
        </w:rPr>
        <w:t>38</w:t>
      </w:r>
      <w:r>
        <w:rPr>
          <w:rFonts w:ascii="仿宋" w:eastAsia="仿宋" w:hAnsi="仿宋" w:cs="仿宋"/>
        </w:rPr>
        <w:t>个突出问题，实行</w:t>
      </w:r>
      <w:r>
        <w:rPr>
          <w:rFonts w:ascii="仿宋" w:eastAsia="仿宋" w:hAnsi="仿宋" w:cs="仿宋"/>
        </w:rPr>
        <w:t>“</w:t>
      </w:r>
      <w:r>
        <w:rPr>
          <w:rFonts w:ascii="仿宋" w:eastAsia="仿宋" w:hAnsi="仿宋" w:cs="仿宋"/>
        </w:rPr>
        <w:t>领导挂包制</w:t>
      </w:r>
      <w:r>
        <w:rPr>
          <w:rFonts w:ascii="仿宋" w:eastAsia="仿宋" w:hAnsi="仿宋" w:cs="仿宋"/>
        </w:rPr>
        <w:t>”</w:t>
      </w:r>
      <w:r>
        <w:rPr>
          <w:rFonts w:ascii="仿宋" w:eastAsia="仿宋" w:hAnsi="仿宋" w:cs="仿宋"/>
        </w:rPr>
        <w:t>。扎实推进危险废物安全生产专项整治三年行动，全面完成省人大《固废法》执法检查工作，新增危废处置能力</w:t>
      </w:r>
      <w:r>
        <w:rPr>
          <w:rFonts w:ascii="仿宋" w:eastAsia="仿宋" w:hAnsi="仿宋" w:cs="仿宋"/>
        </w:rPr>
        <w:t>28</w:t>
      </w:r>
      <w:r>
        <w:rPr>
          <w:rFonts w:ascii="仿宋" w:eastAsia="仿宋" w:hAnsi="仿宋" w:cs="仿宋"/>
        </w:rPr>
        <w:t>万吨</w:t>
      </w:r>
      <w:r>
        <w:rPr>
          <w:rFonts w:ascii="仿宋" w:eastAsia="仿宋" w:hAnsi="仿宋" w:cs="仿宋"/>
        </w:rPr>
        <w:t>/</w:t>
      </w:r>
      <w:r>
        <w:rPr>
          <w:rFonts w:ascii="仿宋" w:eastAsia="仿宋" w:hAnsi="仿宋" w:cs="仿宋"/>
        </w:rPr>
        <w:t>年。组织</w:t>
      </w:r>
      <w:r>
        <w:rPr>
          <w:rFonts w:ascii="仿宋" w:eastAsia="仿宋" w:hAnsi="仿宋" w:cs="仿宋"/>
        </w:rPr>
        <w:t>开展全市突发环境事件与辐射事故应急综合演练，着力提升辐射安全规范化监管水平。规范加强信访举报办理，信访举报总量、越级信访量同比分别下降</w:t>
      </w:r>
      <w:r>
        <w:rPr>
          <w:rFonts w:ascii="仿宋" w:eastAsia="仿宋" w:hAnsi="仿宋" w:cs="仿宋"/>
        </w:rPr>
        <w:t>2%</w:t>
      </w:r>
      <w:r>
        <w:rPr>
          <w:rFonts w:ascii="仿宋" w:eastAsia="仿宋" w:hAnsi="仿宋" w:cs="仿宋"/>
        </w:rPr>
        <w:t>、</w:t>
      </w:r>
      <w:r>
        <w:rPr>
          <w:rFonts w:ascii="仿宋" w:eastAsia="仿宋" w:hAnsi="仿宋" w:cs="仿宋"/>
        </w:rPr>
        <w:t>26.7%</w:t>
      </w:r>
      <w:r>
        <w:rPr>
          <w:rFonts w:ascii="仿宋" w:eastAsia="仿宋" w:hAnsi="仿宋" w:cs="仿宋"/>
        </w:rPr>
        <w:t>。全面做好疫情防控工作，牵头医废消毒专班，抓紧抓实疫情防控生态环境保护工作，确保做到医疗废物、废水应收尽收、应处尽处。</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四是围绕大局主动作为，服务经济发展成效明显。创新开展省级以上开发区生态环境高质量提升行动，被评为全省</w:t>
      </w:r>
      <w:r>
        <w:rPr>
          <w:rFonts w:ascii="仿宋" w:eastAsia="仿宋" w:hAnsi="仿宋" w:cs="仿宋"/>
        </w:rPr>
        <w:t>“</w:t>
      </w:r>
      <w:r>
        <w:rPr>
          <w:rFonts w:ascii="仿宋" w:eastAsia="仿宋" w:hAnsi="仿宋" w:cs="仿宋"/>
        </w:rPr>
        <w:t>十佳生态环境治理改革创新案例</w:t>
      </w:r>
      <w:r>
        <w:rPr>
          <w:rFonts w:ascii="仿宋" w:eastAsia="仿宋" w:hAnsi="仿宋" w:cs="仿宋"/>
        </w:rPr>
        <w:t>”</w:t>
      </w:r>
      <w:r>
        <w:rPr>
          <w:rFonts w:ascii="仿宋" w:eastAsia="仿宋" w:hAnsi="仿宋" w:cs="仿宋"/>
        </w:rPr>
        <w:t>。深化</w:t>
      </w:r>
      <w:r>
        <w:rPr>
          <w:rFonts w:ascii="仿宋" w:eastAsia="仿宋" w:hAnsi="仿宋" w:cs="仿宋"/>
        </w:rPr>
        <w:t>“</w:t>
      </w:r>
      <w:r>
        <w:rPr>
          <w:rFonts w:ascii="仿宋" w:eastAsia="仿宋" w:hAnsi="仿宋" w:cs="仿宋"/>
        </w:rPr>
        <w:t>企业环保接待日</w:t>
      </w:r>
      <w:r>
        <w:rPr>
          <w:rFonts w:ascii="仿宋" w:eastAsia="仿宋" w:hAnsi="仿宋" w:cs="仿宋"/>
        </w:rPr>
        <w:t>”</w:t>
      </w:r>
      <w:r>
        <w:rPr>
          <w:rFonts w:ascii="仿宋" w:eastAsia="仿宋" w:hAnsi="仿宋" w:cs="仿宋"/>
        </w:rPr>
        <w:t>制度，累计帮助</w:t>
      </w:r>
      <w:r>
        <w:rPr>
          <w:rFonts w:ascii="仿宋" w:eastAsia="仿宋" w:hAnsi="仿宋" w:cs="仿宋"/>
        </w:rPr>
        <w:t>290</w:t>
      </w:r>
      <w:r>
        <w:rPr>
          <w:rFonts w:ascii="仿宋" w:eastAsia="仿宋" w:hAnsi="仿宋" w:cs="仿宋"/>
        </w:rPr>
        <w:t>家企业解决</w:t>
      </w:r>
      <w:r>
        <w:rPr>
          <w:rFonts w:ascii="仿宋" w:eastAsia="仿宋" w:hAnsi="仿宋" w:cs="仿宋"/>
        </w:rPr>
        <w:t>390</w:t>
      </w:r>
      <w:r>
        <w:rPr>
          <w:rFonts w:ascii="仿宋" w:eastAsia="仿宋" w:hAnsi="仿宋" w:cs="仿宋"/>
        </w:rPr>
        <w:t>项治污难题。建立环保应急管控停限</w:t>
      </w:r>
      <w:r>
        <w:rPr>
          <w:rFonts w:ascii="仿宋" w:eastAsia="仿宋" w:hAnsi="仿宋" w:cs="仿宋"/>
        </w:rPr>
        <w:lastRenderedPageBreak/>
        <w:t>产豁免机制，强化</w:t>
      </w:r>
      <w:r>
        <w:rPr>
          <w:rFonts w:ascii="仿宋" w:eastAsia="仿宋" w:hAnsi="仿宋" w:cs="仿宋"/>
        </w:rPr>
        <w:t>“</w:t>
      </w:r>
      <w:r>
        <w:rPr>
          <w:rFonts w:ascii="仿宋" w:eastAsia="仿宋" w:hAnsi="仿宋" w:cs="仿宋"/>
        </w:rPr>
        <w:t>干好干坏不一样</w:t>
      </w:r>
      <w:r>
        <w:rPr>
          <w:rFonts w:ascii="仿宋" w:eastAsia="仿宋" w:hAnsi="仿宋" w:cs="仿宋"/>
        </w:rPr>
        <w:t>”</w:t>
      </w:r>
      <w:r>
        <w:rPr>
          <w:rFonts w:ascii="仿宋" w:eastAsia="仿宋" w:hAnsi="仿宋" w:cs="仿宋"/>
        </w:rPr>
        <w:t>的鲜明导向。充分发挥绿色金融作用，推荐</w:t>
      </w:r>
      <w:r>
        <w:rPr>
          <w:rFonts w:ascii="仿宋" w:eastAsia="仿宋" w:hAnsi="仿宋" w:cs="仿宋"/>
        </w:rPr>
        <w:t>11</w:t>
      </w:r>
      <w:r>
        <w:rPr>
          <w:rFonts w:ascii="仿宋" w:eastAsia="仿宋" w:hAnsi="仿宋" w:cs="仿宋"/>
        </w:rPr>
        <w:t>家企业纳入</w:t>
      </w:r>
      <w:r>
        <w:rPr>
          <w:rFonts w:ascii="仿宋" w:eastAsia="仿宋" w:hAnsi="仿宋" w:cs="仿宋"/>
        </w:rPr>
        <w:t>“</w:t>
      </w:r>
      <w:r>
        <w:rPr>
          <w:rFonts w:ascii="仿宋" w:eastAsia="仿宋" w:hAnsi="仿宋" w:cs="仿宋"/>
        </w:rPr>
        <w:t>环保贷</w:t>
      </w:r>
      <w:r>
        <w:rPr>
          <w:rFonts w:ascii="仿宋" w:eastAsia="仿宋" w:hAnsi="仿宋" w:cs="仿宋"/>
        </w:rPr>
        <w:t>”</w:t>
      </w:r>
      <w:r>
        <w:rPr>
          <w:rFonts w:ascii="仿宋" w:eastAsia="仿宋" w:hAnsi="仿宋" w:cs="仿宋"/>
        </w:rPr>
        <w:t>储备库管理，</w:t>
      </w:r>
      <w:r>
        <w:rPr>
          <w:rFonts w:ascii="仿宋" w:eastAsia="仿宋" w:hAnsi="仿宋" w:cs="仿宋"/>
        </w:rPr>
        <w:t>3</w:t>
      </w:r>
      <w:r>
        <w:rPr>
          <w:rFonts w:ascii="仿宋" w:eastAsia="仿宋" w:hAnsi="仿宋" w:cs="仿宋"/>
        </w:rPr>
        <w:t>个优质项目成功获得</w:t>
      </w:r>
      <w:r>
        <w:rPr>
          <w:rFonts w:ascii="仿宋" w:eastAsia="仿宋" w:hAnsi="仿宋" w:cs="仿宋"/>
        </w:rPr>
        <w:t>1.36</w:t>
      </w:r>
      <w:r>
        <w:rPr>
          <w:rFonts w:ascii="仿宋" w:eastAsia="仿宋" w:hAnsi="仿宋" w:cs="仿宋"/>
        </w:rPr>
        <w:t>亿元贷款。全市共争取到上级补助资金约</w:t>
      </w:r>
      <w:r>
        <w:rPr>
          <w:rFonts w:ascii="仿宋" w:eastAsia="仿宋" w:hAnsi="仿宋" w:cs="仿宋"/>
        </w:rPr>
        <w:t>8.7</w:t>
      </w:r>
      <w:r>
        <w:rPr>
          <w:rFonts w:ascii="仿宋" w:eastAsia="仿宋" w:hAnsi="仿宋" w:cs="仿宋"/>
        </w:rPr>
        <w:t>亿元。建成投运</w:t>
      </w:r>
      <w:r>
        <w:rPr>
          <w:rFonts w:ascii="仿宋" w:eastAsia="仿宋" w:hAnsi="仿宋" w:cs="仿宋"/>
        </w:rPr>
        <w:t>8</w:t>
      </w:r>
      <w:r>
        <w:rPr>
          <w:rFonts w:ascii="仿宋" w:eastAsia="仿宋" w:hAnsi="仿宋" w:cs="仿宋"/>
        </w:rPr>
        <w:t>个</w:t>
      </w:r>
      <w:r>
        <w:rPr>
          <w:rFonts w:ascii="仿宋" w:eastAsia="仿宋" w:hAnsi="仿宋" w:cs="仿宋"/>
        </w:rPr>
        <w:t>“</w:t>
      </w:r>
      <w:r>
        <w:rPr>
          <w:rFonts w:ascii="仿宋" w:eastAsia="仿宋" w:hAnsi="仿宋" w:cs="仿宋"/>
        </w:rPr>
        <w:t>绿岛</w:t>
      </w:r>
      <w:r>
        <w:rPr>
          <w:rFonts w:ascii="仿宋" w:eastAsia="仿宋" w:hAnsi="仿宋" w:cs="仿宋"/>
        </w:rPr>
        <w:t>”</w:t>
      </w:r>
      <w:r>
        <w:rPr>
          <w:rFonts w:ascii="仿宋" w:eastAsia="仿宋" w:hAnsi="仿宋" w:cs="仿宋"/>
        </w:rPr>
        <w:t>项目，帮助中小企业降低治理成本。做好重大项目全过程服务，完成</w:t>
      </w:r>
      <w:r>
        <w:rPr>
          <w:rFonts w:ascii="仿宋" w:eastAsia="仿宋" w:hAnsi="仿宋" w:cs="仿宋"/>
        </w:rPr>
        <w:t>147</w:t>
      </w:r>
      <w:r>
        <w:rPr>
          <w:rFonts w:ascii="仿宋" w:eastAsia="仿宋" w:hAnsi="仿宋" w:cs="仿宋"/>
        </w:rPr>
        <w:t>个市重点项目环评审批手续，全力保障项目落地见效。建成小微危废集中收集点</w:t>
      </w:r>
      <w:r>
        <w:rPr>
          <w:rFonts w:ascii="仿宋" w:eastAsia="仿宋" w:hAnsi="仿宋" w:cs="仿宋"/>
        </w:rPr>
        <w:t>7</w:t>
      </w:r>
      <w:r>
        <w:rPr>
          <w:rFonts w:ascii="仿宋" w:eastAsia="仿宋" w:hAnsi="仿宋" w:cs="仿宋"/>
        </w:rPr>
        <w:t>个，累计服务企业</w:t>
      </w:r>
      <w:r>
        <w:rPr>
          <w:rFonts w:ascii="仿宋" w:eastAsia="仿宋" w:hAnsi="仿宋" w:cs="仿宋"/>
        </w:rPr>
        <w:t>2000</w:t>
      </w:r>
      <w:r>
        <w:rPr>
          <w:rFonts w:ascii="仿宋" w:eastAsia="仿宋" w:hAnsi="仿宋" w:cs="仿宋"/>
        </w:rPr>
        <w:t>余家，较好解决小量危废处置难、处置成本高等问题。</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五是始终坚持夯基固本，环境治理能力显著提升。严格落实</w:t>
      </w:r>
      <w:r>
        <w:rPr>
          <w:rFonts w:ascii="仿宋" w:eastAsia="仿宋" w:hAnsi="仿宋" w:cs="仿宋"/>
        </w:rPr>
        <w:t>“</w:t>
      </w:r>
      <w:r>
        <w:rPr>
          <w:rFonts w:ascii="仿宋" w:eastAsia="仿宋" w:hAnsi="仿宋" w:cs="仿宋"/>
        </w:rPr>
        <w:t>三线一单</w:t>
      </w:r>
      <w:r>
        <w:rPr>
          <w:rFonts w:ascii="仿宋" w:eastAsia="仿宋" w:hAnsi="仿宋" w:cs="仿宋"/>
        </w:rPr>
        <w:t>”</w:t>
      </w:r>
      <w:r>
        <w:rPr>
          <w:rFonts w:ascii="仿宋" w:eastAsia="仿宋" w:hAnsi="仿宋" w:cs="仿宋"/>
        </w:rPr>
        <w:t>生态环境分区管控要求，全面推进排污许可核发登记工作</w:t>
      </w:r>
      <w:r>
        <w:rPr>
          <w:rFonts w:ascii="仿宋" w:eastAsia="仿宋" w:hAnsi="仿宋" w:cs="仿宋"/>
        </w:rPr>
        <w:t>，率先推进园区限值限量管理。会同检察院、公安局出台《关于加强生态环境损害赔偿工作联动意见》，全市环保信用参评企业位于全省前列。大力推动环境基础设施建设，十个省级以上工业园区均配备上下风向空气站；</w:t>
      </w:r>
      <w:r>
        <w:rPr>
          <w:rFonts w:ascii="仿宋" w:eastAsia="仿宋" w:hAnsi="仿宋" w:cs="仿宋"/>
        </w:rPr>
        <w:t>1013</w:t>
      </w:r>
      <w:r>
        <w:rPr>
          <w:rFonts w:ascii="仿宋" w:eastAsia="仿宋" w:hAnsi="仿宋" w:cs="仿宋"/>
        </w:rPr>
        <w:t>家重点排污单位安装了用电、工况监控设施；建成危废全生命周期监控系统；先后出台《常州市扬尘污染防治管理办法》《常州市大气污染防治管理办法》等政府规章，为依法治污、科学治污、精准治污提供有力支撑。建成市生态环境监控中心、指挥调度中心，率先形成一流的监测监控能力，垂管体制下全员考核经验做法入选省委组织部干部考核案例</w:t>
      </w:r>
      <w:r>
        <w:rPr>
          <w:rFonts w:ascii="仿宋" w:eastAsia="仿宋" w:hAnsi="仿宋" w:cs="仿宋"/>
        </w:rPr>
        <w:t>汇编。</w:t>
      </w:r>
    </w:p>
    <w:p w:rsidR="00C26EF5" w:rsidRDefault="004C7F7C">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六是推进全面从严治党，队伍精神面貌明显改善。扎实推进党史学习教育走深走实，深入开展</w:t>
      </w:r>
      <w:r>
        <w:rPr>
          <w:rFonts w:ascii="仿宋" w:eastAsia="仿宋" w:hAnsi="仿宋" w:cs="仿宋"/>
        </w:rPr>
        <w:t>“</w:t>
      </w:r>
      <w:r>
        <w:rPr>
          <w:rFonts w:ascii="仿宋" w:eastAsia="仿宋" w:hAnsi="仿宋" w:cs="仿宋"/>
        </w:rPr>
        <w:t>我为群众办实事</w:t>
      </w:r>
      <w:r>
        <w:rPr>
          <w:rFonts w:ascii="仿宋" w:eastAsia="仿宋" w:hAnsi="仿宋" w:cs="仿宋"/>
        </w:rPr>
        <w:t>”</w:t>
      </w:r>
      <w:r>
        <w:rPr>
          <w:rFonts w:ascii="仿宋" w:eastAsia="仿宋" w:hAnsi="仿宋" w:cs="仿宋"/>
        </w:rPr>
        <w:t>活动，有力提振干事创业、担当作为的精气神。推动党管意识形态向基层</w:t>
      </w:r>
      <w:r>
        <w:rPr>
          <w:rFonts w:ascii="仿宋" w:eastAsia="仿宋" w:hAnsi="仿宋" w:cs="仿宋"/>
        </w:rPr>
        <w:lastRenderedPageBreak/>
        <w:t>延伸，将廉政风险隐患排查整治范围扩大到全系统，联合驻局纪检组开展十大典型问题整改情况</w:t>
      </w:r>
      <w:r>
        <w:rPr>
          <w:rFonts w:ascii="仿宋" w:eastAsia="仿宋" w:hAnsi="仿宋" w:cs="仿宋"/>
        </w:rPr>
        <w:t>“</w:t>
      </w:r>
      <w:r>
        <w:rPr>
          <w:rFonts w:ascii="仿宋" w:eastAsia="仿宋" w:hAnsi="仿宋" w:cs="仿宋"/>
        </w:rPr>
        <w:t>回头看</w:t>
      </w:r>
      <w:r>
        <w:rPr>
          <w:rFonts w:ascii="仿宋" w:eastAsia="仿宋" w:hAnsi="仿宋" w:cs="仿宋"/>
        </w:rPr>
        <w:t>”</w:t>
      </w:r>
      <w:r>
        <w:rPr>
          <w:rFonts w:ascii="仿宋" w:eastAsia="仿宋" w:hAnsi="仿宋" w:cs="仿宋"/>
        </w:rPr>
        <w:t>联合督查。扎实开展廉政警示教育活动，签订党风廉政建设责任书，制定责任清单。大力开展形式主义、官僚主义集中整治，严格落实基层减负要求。全面加强基层党组织建设，建成</w:t>
      </w:r>
      <w:r>
        <w:rPr>
          <w:rFonts w:ascii="仿宋" w:eastAsia="仿宋" w:hAnsi="仿宋" w:cs="仿宋"/>
        </w:rPr>
        <w:t>16</w:t>
      </w:r>
      <w:r>
        <w:rPr>
          <w:rFonts w:ascii="仿宋" w:eastAsia="仿宋" w:hAnsi="仿宋" w:cs="仿宋"/>
        </w:rPr>
        <w:t>个</w:t>
      </w:r>
      <w:r>
        <w:rPr>
          <w:rFonts w:ascii="仿宋" w:eastAsia="仿宋" w:hAnsi="仿宋" w:cs="仿宋"/>
        </w:rPr>
        <w:t>“</w:t>
      </w:r>
      <w:r>
        <w:rPr>
          <w:rFonts w:ascii="仿宋" w:eastAsia="仿宋" w:hAnsi="仿宋" w:cs="仿宋"/>
        </w:rPr>
        <w:t>党员之家</w:t>
      </w:r>
      <w:r>
        <w:rPr>
          <w:rFonts w:ascii="仿宋" w:eastAsia="仿宋" w:hAnsi="仿宋" w:cs="仿宋"/>
        </w:rPr>
        <w:t>”</w:t>
      </w:r>
      <w:r>
        <w:rPr>
          <w:rFonts w:ascii="仿宋" w:eastAsia="仿宋" w:hAnsi="仿宋" w:cs="仿宋"/>
        </w:rPr>
        <w:t>活动阵地，</w:t>
      </w:r>
      <w:r>
        <w:rPr>
          <w:rFonts w:ascii="仿宋" w:eastAsia="仿宋" w:hAnsi="仿宋" w:cs="仿宋"/>
        </w:rPr>
        <w:t>11</w:t>
      </w:r>
      <w:r>
        <w:rPr>
          <w:rFonts w:ascii="仿宋" w:eastAsia="仿宋" w:hAnsi="仿宋" w:cs="仿宋"/>
        </w:rPr>
        <w:t>个基层所实现党建标准化规范化建设，组建</w:t>
      </w:r>
      <w:r>
        <w:rPr>
          <w:rFonts w:ascii="仿宋" w:eastAsia="仿宋" w:hAnsi="仿宋" w:cs="仿宋"/>
        </w:rPr>
        <w:t>“</w:t>
      </w:r>
      <w:r>
        <w:rPr>
          <w:rFonts w:ascii="仿宋" w:eastAsia="仿宋" w:hAnsi="仿宋" w:cs="仿宋"/>
        </w:rPr>
        <w:t>先锋绿源通</w:t>
      </w:r>
      <w:r>
        <w:rPr>
          <w:rFonts w:ascii="仿宋" w:eastAsia="仿宋" w:hAnsi="仿宋" w:cs="仿宋"/>
        </w:rPr>
        <w:t>”</w:t>
      </w:r>
      <w:r>
        <w:rPr>
          <w:rFonts w:ascii="仿宋" w:eastAsia="仿宋" w:hAnsi="仿宋" w:cs="仿宋"/>
        </w:rPr>
        <w:t>党</w:t>
      </w:r>
      <w:r>
        <w:rPr>
          <w:rFonts w:ascii="仿宋" w:eastAsia="仿宋" w:hAnsi="仿宋" w:cs="仿宋"/>
        </w:rPr>
        <w:t>建联盟。聘请</w:t>
      </w:r>
      <w:r>
        <w:rPr>
          <w:rFonts w:ascii="仿宋" w:eastAsia="仿宋" w:hAnsi="仿宋" w:cs="仿宋"/>
        </w:rPr>
        <w:t>10</w:t>
      </w:r>
      <w:r>
        <w:rPr>
          <w:rFonts w:ascii="仿宋" w:eastAsia="仿宋" w:hAnsi="仿宋" w:cs="仿宋"/>
        </w:rPr>
        <w:t>名民主党派、无党派人士担任特约生态环境保护监督员，充分发挥建言献策和监督、咨询、联络作用。打造</w:t>
      </w:r>
      <w:r>
        <w:rPr>
          <w:rFonts w:ascii="仿宋" w:eastAsia="仿宋" w:hAnsi="仿宋" w:cs="仿宋"/>
        </w:rPr>
        <w:t>“</w:t>
      </w:r>
      <w:r>
        <w:rPr>
          <w:rFonts w:ascii="仿宋" w:eastAsia="仿宋" w:hAnsi="仿宋" w:cs="仿宋"/>
        </w:rPr>
        <w:t>团结向善、勇毅向上</w:t>
      </w:r>
      <w:r>
        <w:rPr>
          <w:rFonts w:ascii="仿宋" w:eastAsia="仿宋" w:hAnsi="仿宋" w:cs="仿宋"/>
        </w:rPr>
        <w:t>”</w:t>
      </w:r>
      <w:r>
        <w:rPr>
          <w:rFonts w:ascii="仿宋" w:eastAsia="仿宋" w:hAnsi="仿宋" w:cs="仿宋"/>
        </w:rPr>
        <w:t>文化内核，荣获</w:t>
      </w:r>
      <w:r>
        <w:rPr>
          <w:rFonts w:ascii="仿宋" w:eastAsia="仿宋" w:hAnsi="仿宋" w:cs="仿宋"/>
        </w:rPr>
        <w:t>“</w:t>
      </w:r>
      <w:r>
        <w:rPr>
          <w:rFonts w:ascii="仿宋" w:eastAsia="仿宋" w:hAnsi="仿宋" w:cs="仿宋"/>
        </w:rPr>
        <w:t>省级文明单位</w:t>
      </w:r>
      <w:r>
        <w:rPr>
          <w:rFonts w:ascii="仿宋" w:eastAsia="仿宋" w:hAnsi="仿宋" w:cs="仿宋"/>
        </w:rPr>
        <w:t>”</w:t>
      </w:r>
      <w:r>
        <w:rPr>
          <w:rFonts w:ascii="仿宋" w:eastAsia="仿宋" w:hAnsi="仿宋" w:cs="仿宋"/>
        </w:rPr>
        <w:t>等</w:t>
      </w:r>
      <w:r>
        <w:rPr>
          <w:rFonts w:ascii="仿宋" w:eastAsia="仿宋" w:hAnsi="仿宋" w:cs="仿宋"/>
        </w:rPr>
        <w:t>27</w:t>
      </w:r>
      <w:r>
        <w:rPr>
          <w:rFonts w:ascii="仿宋" w:eastAsia="仿宋" w:hAnsi="仿宋" w:cs="仿宋"/>
        </w:rPr>
        <w:t>个先进集体，系统内涌现出</w:t>
      </w:r>
      <w:r>
        <w:rPr>
          <w:rFonts w:ascii="仿宋" w:eastAsia="仿宋" w:hAnsi="仿宋" w:cs="仿宋"/>
        </w:rPr>
        <w:t>“</w:t>
      </w:r>
      <w:r>
        <w:rPr>
          <w:rFonts w:ascii="仿宋" w:eastAsia="仿宋" w:hAnsi="仿宋" w:cs="仿宋"/>
        </w:rPr>
        <w:t>江苏省最美生态环境工作者</w:t>
      </w:r>
      <w:r>
        <w:rPr>
          <w:rFonts w:ascii="仿宋" w:eastAsia="仿宋" w:hAnsi="仿宋" w:cs="仿宋"/>
        </w:rPr>
        <w:t>”“</w:t>
      </w:r>
      <w:r>
        <w:rPr>
          <w:rFonts w:ascii="仿宋" w:eastAsia="仿宋" w:hAnsi="仿宋" w:cs="仿宋"/>
        </w:rPr>
        <w:t>全国环境执法大练兵表现突出个人</w:t>
      </w:r>
      <w:r>
        <w:rPr>
          <w:rFonts w:ascii="仿宋" w:eastAsia="仿宋" w:hAnsi="仿宋" w:cs="仿宋"/>
        </w:rPr>
        <w:t>”</w:t>
      </w:r>
      <w:r>
        <w:rPr>
          <w:rFonts w:ascii="仿宋" w:eastAsia="仿宋" w:hAnsi="仿宋" w:cs="仿宋"/>
        </w:rPr>
        <w:t>等一大批先进典型。</w:t>
      </w:r>
    </w:p>
    <w:p w:rsidR="00C26EF5" w:rsidRDefault="00C26EF5">
      <w:pPr>
        <w:pStyle w:val="a4"/>
        <w:spacing w:line="235" w:lineRule="auto"/>
        <w:ind w:leftChars="300" w:left="669" w:right="2414" w:hanging="9"/>
        <w:jc w:val="both"/>
        <w:rPr>
          <w:rFonts w:ascii="仿宋" w:eastAsia="仿宋" w:hAnsi="仿宋" w:cs="仿宋"/>
        </w:rPr>
        <w:sectPr w:rsidR="00C26EF5">
          <w:footerReference w:type="default" r:id="rId14"/>
          <w:pgSz w:w="11906" w:h="16838"/>
          <w:pgMar w:top="1580" w:right="700" w:bottom="770" w:left="1020" w:header="283" w:footer="280" w:gutter="0"/>
          <w:pgNumType w:fmt="numberInDash"/>
          <w:cols w:space="720"/>
          <w:formProt w:val="0"/>
          <w:docGrid w:linePitch="100"/>
        </w:sectPr>
      </w:pPr>
    </w:p>
    <w:p w:rsidR="00C26EF5" w:rsidRDefault="00C26EF5">
      <w:pPr>
        <w:pStyle w:val="a4"/>
        <w:spacing w:line="360" w:lineRule="auto"/>
        <w:ind w:leftChars="200" w:left="440" w:rightChars="229" w:right="504" w:firstLine="658"/>
        <w:jc w:val="both"/>
        <w:rPr>
          <w:rFonts w:ascii="仿宋" w:eastAsia="仿宋" w:hAnsi="仿宋" w:cs="仿宋"/>
          <w:lang w:val="en-US"/>
        </w:rPr>
      </w:pPr>
    </w:p>
    <w:p w:rsidR="00C26EF5" w:rsidRDefault="00C26EF5">
      <w:pPr>
        <w:pStyle w:val="10"/>
        <w:tabs>
          <w:tab w:val="left" w:pos="1609"/>
        </w:tabs>
        <w:spacing w:before="12" w:line="300" w:lineRule="auto"/>
        <w:ind w:left="340" w:right="567" w:firstLine="0"/>
        <w:jc w:val="center"/>
        <w:rPr>
          <w:rFonts w:ascii="仿宋" w:eastAsia="仿宋" w:hAnsi="仿宋" w:cs="仿宋"/>
          <w:b/>
          <w:bCs/>
          <w:sz w:val="44"/>
          <w:szCs w:val="44"/>
        </w:rPr>
      </w:pPr>
    </w:p>
    <w:p w:rsidR="00C26EF5" w:rsidRDefault="00C26EF5">
      <w:pPr>
        <w:pStyle w:val="10"/>
        <w:tabs>
          <w:tab w:val="left" w:pos="1609"/>
        </w:tabs>
        <w:spacing w:before="12" w:line="300" w:lineRule="auto"/>
        <w:ind w:left="340" w:right="567" w:firstLine="0"/>
        <w:jc w:val="center"/>
        <w:rPr>
          <w:rFonts w:ascii="仿宋" w:eastAsia="仿宋" w:hAnsi="仿宋" w:cs="仿宋"/>
          <w:b/>
          <w:bCs/>
          <w:sz w:val="44"/>
          <w:szCs w:val="44"/>
        </w:rPr>
      </w:pPr>
    </w:p>
    <w:p w:rsidR="00C26EF5" w:rsidRDefault="00C26EF5">
      <w:pPr>
        <w:pStyle w:val="10"/>
        <w:tabs>
          <w:tab w:val="left" w:pos="1609"/>
        </w:tabs>
        <w:spacing w:before="12" w:line="300" w:lineRule="auto"/>
        <w:ind w:left="340" w:right="567" w:firstLine="0"/>
        <w:jc w:val="center"/>
        <w:rPr>
          <w:rFonts w:ascii="仿宋" w:eastAsia="仿宋" w:hAnsi="仿宋" w:cs="仿宋"/>
          <w:b/>
          <w:bCs/>
          <w:sz w:val="44"/>
          <w:szCs w:val="44"/>
        </w:rPr>
      </w:pPr>
    </w:p>
    <w:p w:rsidR="00C26EF5" w:rsidRDefault="00C26EF5">
      <w:pPr>
        <w:pStyle w:val="10"/>
        <w:tabs>
          <w:tab w:val="left" w:pos="1609"/>
        </w:tabs>
        <w:spacing w:before="12" w:line="300" w:lineRule="auto"/>
        <w:ind w:left="340" w:right="567" w:firstLine="0"/>
        <w:jc w:val="center"/>
        <w:rPr>
          <w:rFonts w:ascii="仿宋" w:eastAsia="仿宋" w:hAnsi="仿宋" w:cs="仿宋"/>
          <w:b/>
          <w:bCs/>
          <w:sz w:val="44"/>
          <w:szCs w:val="44"/>
        </w:rPr>
      </w:pPr>
    </w:p>
    <w:p w:rsidR="00C26EF5" w:rsidRDefault="00C26EF5">
      <w:pPr>
        <w:pStyle w:val="10"/>
        <w:tabs>
          <w:tab w:val="left" w:pos="1609"/>
        </w:tabs>
        <w:spacing w:before="12" w:line="300" w:lineRule="auto"/>
        <w:ind w:left="340" w:right="567" w:firstLine="0"/>
        <w:jc w:val="center"/>
        <w:rPr>
          <w:rFonts w:ascii="仿宋" w:eastAsia="仿宋" w:hAnsi="仿宋" w:cs="仿宋"/>
          <w:b/>
          <w:bCs/>
          <w:sz w:val="44"/>
          <w:szCs w:val="44"/>
        </w:rPr>
      </w:pPr>
    </w:p>
    <w:p w:rsidR="00C26EF5" w:rsidRDefault="00C26EF5">
      <w:pPr>
        <w:pStyle w:val="10"/>
        <w:tabs>
          <w:tab w:val="left" w:pos="1609"/>
        </w:tabs>
        <w:spacing w:before="12" w:line="300" w:lineRule="auto"/>
        <w:ind w:left="340" w:right="567" w:firstLine="0"/>
        <w:jc w:val="center"/>
        <w:rPr>
          <w:rFonts w:ascii="仿宋" w:eastAsia="仿宋" w:hAnsi="仿宋" w:cs="仿宋"/>
          <w:b/>
          <w:bCs/>
          <w:sz w:val="44"/>
          <w:szCs w:val="44"/>
        </w:rPr>
      </w:pPr>
    </w:p>
    <w:p w:rsidR="00C26EF5" w:rsidRDefault="004C7F7C">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C26EF5" w:rsidRDefault="004C7F7C">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常州市生态环境局</w:t>
      </w:r>
    </w:p>
    <w:p w:rsidR="00C26EF5" w:rsidRDefault="004C7F7C">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2021</w:t>
      </w:r>
      <w:r>
        <w:rPr>
          <w:rFonts w:ascii="宋体" w:eastAsia="宋体" w:hAnsi="宋体" w:cs="宋体" w:hint="eastAsia"/>
          <w:b/>
          <w:bCs/>
          <w:sz w:val="36"/>
          <w:szCs w:val="36"/>
        </w:rPr>
        <w:t>年度</w:t>
      </w:r>
      <w:r>
        <w:rPr>
          <w:rFonts w:ascii="宋体" w:eastAsia="宋体" w:hAnsi="宋体" w:cs="宋体" w:hint="eastAsia"/>
          <w:b/>
          <w:bCs/>
          <w:sz w:val="36"/>
          <w:szCs w:val="36"/>
          <w:lang w:val="en-US"/>
        </w:rPr>
        <w:t>部门</w:t>
      </w:r>
      <w:r>
        <w:rPr>
          <w:rFonts w:ascii="宋体" w:eastAsia="宋体" w:hAnsi="宋体" w:cs="宋体"/>
          <w:b/>
          <w:sz w:val="36"/>
        </w:rPr>
        <w:t>决算表</w:t>
      </w:r>
    </w:p>
    <w:tbl>
      <w:tblPr>
        <w:tblW w:w="10447" w:type="dxa"/>
        <w:jc w:val="center"/>
        <w:tblLayout w:type="fixed"/>
        <w:tblLook w:val="04A0"/>
      </w:tblPr>
      <w:tblGrid>
        <w:gridCol w:w="3784"/>
        <w:gridCol w:w="1461"/>
        <w:gridCol w:w="2035"/>
        <w:gridCol w:w="1709"/>
        <w:gridCol w:w="1458"/>
      </w:tblGrid>
      <w:tr w:rsidR="00C26EF5">
        <w:trPr>
          <w:trHeight w:val="544"/>
          <w:jc w:val="center"/>
        </w:trPr>
        <w:tc>
          <w:tcPr>
            <w:tcW w:w="10447" w:type="dxa"/>
            <w:gridSpan w:val="5"/>
          </w:tcPr>
          <w:p w:rsidR="00C26EF5" w:rsidRDefault="004C7F7C">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C26EF5">
        <w:trPr>
          <w:trHeight w:val="348"/>
          <w:jc w:val="center"/>
        </w:trPr>
        <w:tc>
          <w:tcPr>
            <w:tcW w:w="3784" w:type="dxa"/>
          </w:tcPr>
          <w:p w:rsidR="00C26EF5" w:rsidRDefault="00C26EF5">
            <w:pPr>
              <w:rPr>
                <w:rFonts w:ascii="仿宋" w:eastAsia="仿宋" w:hAnsi="仿宋" w:cs="仿宋"/>
                <w:color w:val="000000"/>
                <w:sz w:val="20"/>
              </w:rPr>
            </w:pPr>
          </w:p>
        </w:tc>
        <w:tc>
          <w:tcPr>
            <w:tcW w:w="1461" w:type="dxa"/>
          </w:tcPr>
          <w:p w:rsidR="00C26EF5" w:rsidRDefault="00C26EF5">
            <w:pPr>
              <w:rPr>
                <w:rFonts w:ascii="仿宋" w:eastAsia="仿宋" w:hAnsi="仿宋" w:cs="仿宋"/>
                <w:color w:val="000000"/>
                <w:sz w:val="20"/>
              </w:rPr>
            </w:pPr>
          </w:p>
        </w:tc>
        <w:tc>
          <w:tcPr>
            <w:tcW w:w="5202" w:type="dxa"/>
            <w:gridSpan w:val="3"/>
          </w:tcPr>
          <w:p w:rsidR="00C26EF5" w:rsidRDefault="004C7F7C">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C26EF5">
        <w:trPr>
          <w:trHeight w:val="333"/>
          <w:jc w:val="center"/>
        </w:trPr>
        <w:tc>
          <w:tcPr>
            <w:tcW w:w="7280" w:type="dxa"/>
            <w:gridSpan w:val="3"/>
            <w:tcBorders>
              <w:bottom w:val="single" w:sz="4" w:space="0" w:color="000000"/>
            </w:tcBorders>
            <w:vAlign w:val="center"/>
          </w:tcPr>
          <w:p w:rsidR="00C26EF5" w:rsidRDefault="004C7F7C">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color w:val="000000"/>
                <w:lang w:eastAsia="ar-SA"/>
              </w:rPr>
              <w:t>常州市生态环境局</w:t>
            </w:r>
          </w:p>
        </w:tc>
        <w:tc>
          <w:tcPr>
            <w:tcW w:w="3167" w:type="dxa"/>
            <w:gridSpan w:val="2"/>
            <w:tcBorders>
              <w:bottom w:val="single" w:sz="4" w:space="0" w:color="000000"/>
            </w:tcBorders>
            <w:vAlign w:val="center"/>
          </w:tcPr>
          <w:p w:rsidR="00C26EF5" w:rsidRDefault="004C7F7C">
            <w:pPr>
              <w:jc w:val="right"/>
              <w:rPr>
                <w:rFonts w:ascii="仿宋" w:eastAsia="仿宋" w:hAnsi="仿宋" w:cs="仿宋"/>
                <w:color w:val="000000"/>
              </w:rPr>
            </w:pPr>
            <w:r>
              <w:rPr>
                <w:rFonts w:ascii="仿宋" w:eastAsia="仿宋" w:hAnsi="仿宋" w:cs="仿宋" w:hint="eastAsia"/>
                <w:color w:val="000000"/>
              </w:rPr>
              <w:t>金额单位：万元</w:t>
            </w:r>
          </w:p>
        </w:tc>
      </w:tr>
      <w:tr w:rsidR="00C26EF5">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color w:val="000000"/>
                <w:lang w:eastAsia="ar-SA"/>
              </w:rPr>
              <w:t>支出</w:t>
            </w:r>
          </w:p>
        </w:tc>
      </w:tr>
      <w:tr w:rsidR="00C26EF5">
        <w:trPr>
          <w:trHeight w:val="39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color w:val="000000"/>
              </w:rPr>
              <w:t>项目</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color w:val="000000"/>
                <w:lang w:eastAsia="ar-SA"/>
              </w:rPr>
              <w:t>决算数</w:t>
            </w: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一、一般公共预算财政拨款收入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61,735.79</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二、政府性基金预算财政拨款收入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三、国有资本经营预算财政拨款收入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四、上级补助收入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五、事业收入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610.47</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六、经营收入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210.12</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16.11</w:t>
            </w: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七、附属单位上缴收入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rPr>
                <w:rFonts w:ascii="仿宋" w:eastAsia="仿宋" w:hAnsi="仿宋" w:cs="仿宋"/>
              </w:rPr>
            </w:pPr>
            <w:r>
              <w:rPr>
                <w:rFonts w:ascii="仿宋" w:eastAsia="仿宋" w:hAnsi="仿宋" w:cs="仿宋" w:hint="eastAsia"/>
                <w:sz w:val="20"/>
                <w:lang w:eastAsia="ar-SA"/>
              </w:rPr>
              <w:t>八、其他收入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59.68</w:t>
            </w: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118.34</w:t>
            </w: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61,494.97</w:t>
            </w: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964.91</w:t>
            </w: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C26EF5">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keepNext/>
              <w:keepLines/>
              <w:jc w:val="right"/>
              <w:rPr>
                <w:rFonts w:ascii="仿宋" w:eastAsia="仿宋" w:hAnsi="仿宋" w:cs="仿宋"/>
                <w:color w:val="000000"/>
                <w:lang w:eastAsia="ar-SA"/>
              </w:rPr>
            </w:pPr>
          </w:p>
        </w:tc>
      </w:tr>
      <w:tr w:rsidR="00C26EF5">
        <w:trPr>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color w:val="000000"/>
              </w:rPr>
            </w:pPr>
            <w:r>
              <w:rPr>
                <w:rFonts w:ascii="仿宋" w:eastAsia="仿宋" w:hAnsi="仿宋" w:cs="仿宋" w:hint="eastAsia"/>
                <w:color w:val="000000"/>
                <w:lang w:eastAsia="ar-SA"/>
              </w:rPr>
              <w:t>62,556.38</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color w:val="000000"/>
              </w:rPr>
            </w:pPr>
            <w:r>
              <w:rPr>
                <w:rFonts w:ascii="仿宋" w:eastAsia="仿宋" w:hAnsi="仿宋" w:cs="仿宋" w:hint="eastAsia"/>
                <w:color w:val="000000"/>
                <w:lang w:eastAsia="ar-SA"/>
              </w:rPr>
              <w:t>62,654.01</w:t>
            </w:r>
          </w:p>
        </w:tc>
      </w:tr>
      <w:tr w:rsidR="00C26EF5">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color w:val="000000"/>
              </w:rPr>
            </w:pPr>
          </w:p>
        </w:tc>
      </w:tr>
      <w:tr w:rsidR="00C26EF5">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color w:val="000000"/>
                <w:lang w:eastAsia="ar-SA"/>
              </w:rPr>
            </w:pPr>
            <w:r>
              <w:rPr>
                <w:rFonts w:ascii="仿宋" w:eastAsia="仿宋" w:hAnsi="仿宋" w:cs="仿宋" w:hint="eastAsia"/>
                <w:color w:val="000000"/>
                <w:lang w:eastAsia="ar-SA"/>
              </w:rPr>
              <w:t>111.80</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color w:val="000000"/>
              </w:rPr>
            </w:pPr>
            <w:r>
              <w:rPr>
                <w:rFonts w:ascii="仿宋" w:eastAsia="仿宋" w:hAnsi="仿宋" w:cs="仿宋" w:hint="eastAsia"/>
                <w:color w:val="000000"/>
                <w:lang w:eastAsia="ar-SA"/>
              </w:rPr>
              <w:t>14.17</w:t>
            </w:r>
          </w:p>
        </w:tc>
      </w:tr>
      <w:tr w:rsidR="00C26EF5">
        <w:trPr>
          <w:trHeight w:val="383"/>
          <w:jc w:val="center"/>
        </w:trPr>
        <w:tc>
          <w:tcPr>
            <w:tcW w:w="3784" w:type="dxa"/>
            <w:tcBorders>
              <w:top w:val="single" w:sz="4" w:space="0" w:color="000000"/>
              <w:left w:val="single" w:sz="4" w:space="0" w:color="000000"/>
              <w:bottom w:val="single" w:sz="4" w:space="0" w:color="000000"/>
              <w:right w:val="single" w:sz="4" w:space="0" w:color="000000"/>
            </w:tcBorders>
          </w:tcPr>
          <w:p w:rsidR="00C26EF5" w:rsidRDefault="00C26EF5">
            <w:pPr>
              <w:rPr>
                <w:rFonts w:ascii="仿宋" w:eastAsia="仿宋" w:hAnsi="仿宋" w:cs="仿宋"/>
                <w:color w:val="000000"/>
              </w:rPr>
            </w:pPr>
          </w:p>
        </w:tc>
        <w:tc>
          <w:tcPr>
            <w:tcW w:w="1461" w:type="dxa"/>
            <w:tcBorders>
              <w:top w:val="single" w:sz="4" w:space="0" w:color="000000"/>
              <w:left w:val="single" w:sz="4" w:space="0" w:color="000000"/>
              <w:bottom w:val="single" w:sz="4" w:space="0" w:color="000000"/>
              <w:right w:val="single" w:sz="4" w:space="0" w:color="000000"/>
            </w:tcBorders>
          </w:tcPr>
          <w:p w:rsidR="00C26EF5" w:rsidRDefault="00C26EF5">
            <w:pPr>
              <w:rPr>
                <w:rFonts w:ascii="仿宋" w:eastAsia="仿宋" w:hAnsi="仿宋" w:cs="仿宋"/>
                <w:color w:val="000000"/>
              </w:rPr>
            </w:pPr>
          </w:p>
        </w:tc>
        <w:tc>
          <w:tcPr>
            <w:tcW w:w="3744" w:type="dxa"/>
            <w:gridSpan w:val="2"/>
            <w:tcBorders>
              <w:top w:val="single" w:sz="4" w:space="0" w:color="000000"/>
              <w:left w:val="single" w:sz="4" w:space="0" w:color="000000"/>
              <w:bottom w:val="single" w:sz="4" w:space="0" w:color="000000"/>
              <w:right w:val="single" w:sz="4" w:space="0" w:color="000000"/>
            </w:tcBorders>
          </w:tcPr>
          <w:p w:rsidR="00C26EF5" w:rsidRDefault="00C26EF5">
            <w:pPr>
              <w:rPr>
                <w:rFonts w:ascii="仿宋" w:eastAsia="仿宋" w:hAnsi="仿宋" w:cs="仿宋"/>
                <w:color w:val="000000"/>
              </w:rPr>
            </w:pPr>
          </w:p>
        </w:tc>
        <w:tc>
          <w:tcPr>
            <w:tcW w:w="1458" w:type="dxa"/>
            <w:tcBorders>
              <w:top w:val="single" w:sz="4" w:space="0" w:color="000000"/>
              <w:left w:val="single" w:sz="4" w:space="0" w:color="000000"/>
              <w:bottom w:val="single" w:sz="4" w:space="0" w:color="000000"/>
              <w:right w:val="single" w:sz="4" w:space="0" w:color="000000"/>
            </w:tcBorders>
          </w:tcPr>
          <w:p w:rsidR="00C26EF5" w:rsidRDefault="00C26EF5">
            <w:pPr>
              <w:rPr>
                <w:rFonts w:ascii="仿宋" w:eastAsia="仿宋" w:hAnsi="仿宋" w:cs="仿宋"/>
                <w:color w:val="000000"/>
              </w:rPr>
            </w:pPr>
          </w:p>
        </w:tc>
      </w:tr>
      <w:tr w:rsidR="00C26EF5">
        <w:trPr>
          <w:cantSplit/>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61"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color w:val="000000"/>
              </w:rPr>
            </w:pPr>
            <w:r>
              <w:rPr>
                <w:rFonts w:ascii="仿宋" w:eastAsia="仿宋" w:hAnsi="仿宋" w:cs="仿宋" w:hint="eastAsia"/>
                <w:color w:val="000000"/>
                <w:lang w:eastAsia="ar-SA"/>
              </w:rPr>
              <w:t>62,668.18</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58"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color w:val="000000"/>
              </w:rPr>
            </w:pPr>
            <w:r>
              <w:rPr>
                <w:rFonts w:ascii="仿宋" w:eastAsia="仿宋" w:hAnsi="仿宋" w:cs="仿宋" w:hint="eastAsia"/>
                <w:color w:val="000000"/>
                <w:lang w:eastAsia="ar-SA"/>
              </w:rPr>
              <w:t>62,668.18</w:t>
            </w:r>
          </w:p>
        </w:tc>
      </w:tr>
    </w:tbl>
    <w:p w:rsidR="00C26EF5" w:rsidRDefault="004C7F7C">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C26EF5" w:rsidRDefault="00C26EF5">
      <w:pPr>
        <w:spacing w:before="66"/>
        <w:jc w:val="both"/>
        <w:rPr>
          <w:rFonts w:ascii="仿宋" w:eastAsia="仿宋" w:hAnsi="仿宋" w:cs="仿宋"/>
          <w:color w:val="000000"/>
        </w:rPr>
        <w:sectPr w:rsidR="00C26EF5">
          <w:footerReference w:type="default" r:id="rId15"/>
          <w:pgSz w:w="11906" w:h="16838"/>
          <w:pgMar w:top="720" w:right="720" w:bottom="720" w:left="720" w:header="170" w:footer="280" w:gutter="0"/>
          <w:pgNumType w:fmt="numberInDash"/>
          <w:cols w:space="720"/>
          <w:formProt w:val="0"/>
          <w:docGrid w:linePitch="100"/>
        </w:sectPr>
      </w:pPr>
    </w:p>
    <w:tbl>
      <w:tblPr>
        <w:tblW w:w="15439" w:type="dxa"/>
        <w:jc w:val="center"/>
        <w:tblLayout w:type="fixed"/>
        <w:tblLook w:val="04A0"/>
      </w:tblPr>
      <w:tblGrid>
        <w:gridCol w:w="1115"/>
        <w:gridCol w:w="2925"/>
        <w:gridCol w:w="1592"/>
        <w:gridCol w:w="1604"/>
        <w:gridCol w:w="1565"/>
        <w:gridCol w:w="1396"/>
        <w:gridCol w:w="1578"/>
        <w:gridCol w:w="1174"/>
        <w:gridCol w:w="1277"/>
        <w:gridCol w:w="1213"/>
      </w:tblGrid>
      <w:tr w:rsidR="00C26EF5">
        <w:trPr>
          <w:trHeight w:val="627"/>
          <w:jc w:val="center"/>
        </w:trPr>
        <w:tc>
          <w:tcPr>
            <w:tcW w:w="15439" w:type="dxa"/>
            <w:gridSpan w:val="10"/>
            <w:vAlign w:val="center"/>
          </w:tcPr>
          <w:p w:rsidR="00C26EF5" w:rsidRDefault="004C7F7C">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C26EF5">
        <w:trPr>
          <w:trHeight w:val="314"/>
          <w:jc w:val="center"/>
        </w:trPr>
        <w:tc>
          <w:tcPr>
            <w:tcW w:w="4040" w:type="dxa"/>
            <w:gridSpan w:val="2"/>
            <w:vAlign w:val="center"/>
          </w:tcPr>
          <w:p w:rsidR="00C26EF5" w:rsidRDefault="00C26EF5">
            <w:pPr>
              <w:pStyle w:val="TableParagraph"/>
              <w:jc w:val="center"/>
              <w:rPr>
                <w:rFonts w:ascii="仿宋" w:eastAsia="仿宋" w:hAnsi="仿宋" w:cs="仿宋"/>
              </w:rPr>
            </w:pPr>
          </w:p>
        </w:tc>
        <w:tc>
          <w:tcPr>
            <w:tcW w:w="1592" w:type="dxa"/>
            <w:vAlign w:val="center"/>
          </w:tcPr>
          <w:p w:rsidR="00C26EF5" w:rsidRDefault="00C26EF5">
            <w:pPr>
              <w:pStyle w:val="TableParagraph"/>
              <w:jc w:val="center"/>
              <w:rPr>
                <w:rFonts w:ascii="仿宋" w:eastAsia="仿宋" w:hAnsi="仿宋" w:cs="仿宋"/>
              </w:rPr>
            </w:pPr>
          </w:p>
        </w:tc>
        <w:tc>
          <w:tcPr>
            <w:tcW w:w="1604" w:type="dxa"/>
            <w:vAlign w:val="center"/>
          </w:tcPr>
          <w:p w:rsidR="00C26EF5" w:rsidRDefault="00C26EF5">
            <w:pPr>
              <w:pStyle w:val="TableParagraph"/>
              <w:jc w:val="center"/>
              <w:rPr>
                <w:rFonts w:ascii="仿宋" w:eastAsia="仿宋" w:hAnsi="仿宋" w:cs="仿宋"/>
              </w:rPr>
            </w:pPr>
          </w:p>
        </w:tc>
        <w:tc>
          <w:tcPr>
            <w:tcW w:w="1565" w:type="dxa"/>
            <w:vAlign w:val="center"/>
          </w:tcPr>
          <w:p w:rsidR="00C26EF5" w:rsidRDefault="00C26EF5">
            <w:pPr>
              <w:pStyle w:val="TableParagraph"/>
              <w:jc w:val="center"/>
              <w:rPr>
                <w:rFonts w:ascii="仿宋" w:eastAsia="仿宋" w:hAnsi="仿宋" w:cs="仿宋"/>
              </w:rPr>
            </w:pPr>
          </w:p>
        </w:tc>
        <w:tc>
          <w:tcPr>
            <w:tcW w:w="2974" w:type="dxa"/>
            <w:gridSpan w:val="2"/>
            <w:vAlign w:val="center"/>
          </w:tcPr>
          <w:p w:rsidR="00C26EF5" w:rsidRDefault="00C26EF5">
            <w:pPr>
              <w:pStyle w:val="TableParagraph"/>
              <w:jc w:val="center"/>
              <w:rPr>
                <w:rFonts w:ascii="仿宋" w:eastAsia="仿宋" w:hAnsi="仿宋" w:cs="仿宋"/>
              </w:rPr>
            </w:pPr>
          </w:p>
        </w:tc>
        <w:tc>
          <w:tcPr>
            <w:tcW w:w="1174" w:type="dxa"/>
            <w:vAlign w:val="center"/>
          </w:tcPr>
          <w:p w:rsidR="00C26EF5" w:rsidRDefault="00C26EF5">
            <w:pPr>
              <w:pStyle w:val="TableParagraph"/>
              <w:jc w:val="center"/>
              <w:rPr>
                <w:rFonts w:ascii="仿宋" w:eastAsia="仿宋" w:hAnsi="仿宋" w:cs="仿宋"/>
              </w:rPr>
            </w:pPr>
          </w:p>
        </w:tc>
        <w:tc>
          <w:tcPr>
            <w:tcW w:w="2490" w:type="dxa"/>
            <w:gridSpan w:val="2"/>
            <w:vAlign w:val="center"/>
          </w:tcPr>
          <w:p w:rsidR="00C26EF5" w:rsidRDefault="004C7F7C">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C26EF5">
        <w:trPr>
          <w:trHeight w:val="376"/>
          <w:jc w:val="center"/>
        </w:trPr>
        <w:tc>
          <w:tcPr>
            <w:tcW w:w="12949" w:type="dxa"/>
            <w:gridSpan w:val="8"/>
            <w:vAlign w:val="center"/>
          </w:tcPr>
          <w:p w:rsidR="00C26EF5" w:rsidRDefault="004C7F7C">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2490" w:type="dxa"/>
            <w:gridSpan w:val="2"/>
            <w:vAlign w:val="center"/>
          </w:tcPr>
          <w:p w:rsidR="00C26EF5" w:rsidRDefault="004C7F7C">
            <w:pPr>
              <w:pStyle w:val="TableParagraph"/>
              <w:jc w:val="right"/>
              <w:rPr>
                <w:rFonts w:ascii="仿宋" w:eastAsia="仿宋" w:hAnsi="仿宋" w:cs="仿宋"/>
              </w:rPr>
            </w:pPr>
            <w:r>
              <w:rPr>
                <w:rFonts w:ascii="仿宋" w:eastAsia="仿宋" w:hAnsi="仿宋" w:cs="仿宋" w:hint="eastAsia"/>
              </w:rPr>
              <w:t>金额单位：万元</w:t>
            </w:r>
          </w:p>
        </w:tc>
      </w:tr>
      <w:tr w:rsidR="00C26EF5">
        <w:trPr>
          <w:cantSplit/>
          <w:trHeight w:val="312"/>
          <w:jc w:val="center"/>
        </w:trPr>
        <w:tc>
          <w:tcPr>
            <w:tcW w:w="4040" w:type="dxa"/>
            <w:gridSpan w:val="2"/>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w:t>
            </w:r>
          </w:p>
        </w:tc>
        <w:tc>
          <w:tcPr>
            <w:tcW w:w="1592"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本年收入合计</w:t>
            </w:r>
          </w:p>
        </w:tc>
        <w:tc>
          <w:tcPr>
            <w:tcW w:w="1604"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财政拨款收入</w:t>
            </w:r>
          </w:p>
        </w:tc>
        <w:tc>
          <w:tcPr>
            <w:tcW w:w="1565"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上级补助收入</w:t>
            </w:r>
          </w:p>
        </w:tc>
        <w:tc>
          <w:tcPr>
            <w:tcW w:w="1396" w:type="dxa"/>
            <w:vMerge w:val="restart"/>
            <w:tcBorders>
              <w:top w:val="single" w:sz="4" w:space="0" w:color="000000"/>
              <w:lef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财政专户管理教育收费</w:t>
            </w:r>
          </w:p>
        </w:tc>
        <w:tc>
          <w:tcPr>
            <w:tcW w:w="1578" w:type="dxa"/>
            <w:vMerge w:val="restart"/>
            <w:tcBorders>
              <w:top w:val="single" w:sz="4" w:space="0" w:color="000000"/>
              <w:lef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174"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经营收入</w:t>
            </w:r>
          </w:p>
        </w:tc>
        <w:tc>
          <w:tcPr>
            <w:tcW w:w="1277"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附属单位上缴收入</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其他收入</w:t>
            </w:r>
          </w:p>
        </w:tc>
      </w:tr>
      <w:tr w:rsidR="00C26EF5">
        <w:trPr>
          <w:cantSplit/>
          <w:trHeight w:val="220"/>
          <w:jc w:val="center"/>
        </w:trPr>
        <w:tc>
          <w:tcPr>
            <w:tcW w:w="1115"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功能分类</w:t>
            </w:r>
          </w:p>
          <w:p w:rsidR="00C26EF5" w:rsidRDefault="004C7F7C">
            <w:pPr>
              <w:pStyle w:val="TableParagraph"/>
              <w:jc w:val="center"/>
              <w:rPr>
                <w:rFonts w:ascii="仿宋" w:eastAsia="仿宋" w:hAnsi="仿宋" w:cs="仿宋"/>
              </w:rPr>
            </w:pPr>
            <w:r>
              <w:rPr>
                <w:rFonts w:ascii="仿宋" w:eastAsia="仿宋" w:hAnsi="仿宋" w:cs="仿宋" w:hint="eastAsia"/>
              </w:rPr>
              <w:t>科目编码</w:t>
            </w:r>
          </w:p>
        </w:tc>
        <w:tc>
          <w:tcPr>
            <w:tcW w:w="2925"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1592" w:type="dxa"/>
            <w:vMerge/>
            <w:tcBorders>
              <w:left w:val="single" w:sz="4" w:space="0" w:color="000000"/>
              <w:bottom w:val="single" w:sz="4" w:space="0" w:color="000000"/>
            </w:tcBorders>
          </w:tcPr>
          <w:p w:rsidR="00C26EF5" w:rsidRDefault="00C26EF5">
            <w:pPr>
              <w:rPr>
                <w:rFonts w:ascii="仿宋" w:eastAsia="仿宋" w:hAnsi="仿宋" w:cs="仿宋"/>
              </w:rPr>
            </w:pPr>
          </w:p>
        </w:tc>
        <w:tc>
          <w:tcPr>
            <w:tcW w:w="1604" w:type="dxa"/>
            <w:vMerge/>
            <w:tcBorders>
              <w:left w:val="single" w:sz="4" w:space="0" w:color="000000"/>
              <w:bottom w:val="single" w:sz="4" w:space="0" w:color="000000"/>
            </w:tcBorders>
          </w:tcPr>
          <w:p w:rsidR="00C26EF5" w:rsidRDefault="00C26EF5">
            <w:pPr>
              <w:rPr>
                <w:rFonts w:ascii="仿宋" w:eastAsia="仿宋" w:hAnsi="仿宋" w:cs="仿宋"/>
              </w:rPr>
            </w:pPr>
          </w:p>
        </w:tc>
        <w:tc>
          <w:tcPr>
            <w:tcW w:w="1565" w:type="dxa"/>
            <w:vMerge/>
            <w:tcBorders>
              <w:left w:val="single" w:sz="4" w:space="0" w:color="000000"/>
              <w:bottom w:val="single" w:sz="4" w:space="0" w:color="000000"/>
            </w:tcBorders>
          </w:tcPr>
          <w:p w:rsidR="00C26EF5" w:rsidRDefault="00C26EF5">
            <w:pPr>
              <w:rPr>
                <w:rFonts w:ascii="仿宋" w:eastAsia="仿宋" w:hAnsi="仿宋" w:cs="仿宋"/>
              </w:rPr>
            </w:pPr>
          </w:p>
        </w:tc>
        <w:tc>
          <w:tcPr>
            <w:tcW w:w="1396" w:type="dxa"/>
            <w:vMerge/>
            <w:tcBorders>
              <w:left w:val="single" w:sz="4" w:space="0" w:color="000000"/>
              <w:bottom w:val="single" w:sz="4" w:space="0" w:color="000000"/>
            </w:tcBorders>
            <w:vAlign w:val="center"/>
          </w:tcPr>
          <w:p w:rsidR="00C26EF5" w:rsidRDefault="00C26EF5">
            <w:pPr>
              <w:pStyle w:val="TableParagraph"/>
              <w:jc w:val="center"/>
              <w:rPr>
                <w:rFonts w:ascii="仿宋" w:eastAsia="仿宋" w:hAnsi="仿宋" w:cs="仿宋"/>
              </w:rPr>
            </w:pPr>
          </w:p>
        </w:tc>
        <w:tc>
          <w:tcPr>
            <w:tcW w:w="1578" w:type="dxa"/>
            <w:vMerge/>
            <w:tcBorders>
              <w:left w:val="single" w:sz="4" w:space="0" w:color="000000"/>
              <w:bottom w:val="single" w:sz="4" w:space="0" w:color="000000"/>
            </w:tcBorders>
            <w:vAlign w:val="center"/>
          </w:tcPr>
          <w:p w:rsidR="00C26EF5" w:rsidRDefault="00C26EF5">
            <w:pPr>
              <w:pStyle w:val="TableParagraph"/>
              <w:jc w:val="center"/>
              <w:rPr>
                <w:rFonts w:ascii="仿宋" w:eastAsia="仿宋" w:hAnsi="仿宋" w:cs="仿宋"/>
              </w:rPr>
            </w:pPr>
          </w:p>
        </w:tc>
        <w:tc>
          <w:tcPr>
            <w:tcW w:w="1174" w:type="dxa"/>
            <w:vMerge/>
            <w:tcBorders>
              <w:left w:val="single" w:sz="4" w:space="0" w:color="000000"/>
              <w:bottom w:val="single" w:sz="4" w:space="0" w:color="000000"/>
            </w:tcBorders>
          </w:tcPr>
          <w:p w:rsidR="00C26EF5" w:rsidRDefault="00C26EF5">
            <w:pPr>
              <w:rPr>
                <w:rFonts w:ascii="仿宋" w:eastAsia="仿宋" w:hAnsi="仿宋" w:cs="仿宋"/>
              </w:rPr>
            </w:pPr>
          </w:p>
        </w:tc>
        <w:tc>
          <w:tcPr>
            <w:tcW w:w="1277" w:type="dxa"/>
            <w:vMerge/>
            <w:tcBorders>
              <w:left w:val="single" w:sz="4" w:space="0" w:color="000000"/>
              <w:bottom w:val="single" w:sz="4" w:space="0" w:color="000000"/>
            </w:tcBorders>
          </w:tcPr>
          <w:p w:rsidR="00C26EF5" w:rsidRDefault="00C26EF5">
            <w:pPr>
              <w:rPr>
                <w:rFonts w:ascii="仿宋" w:eastAsia="仿宋" w:hAnsi="仿宋" w:cs="仿宋"/>
              </w:rPr>
            </w:pPr>
          </w:p>
        </w:tc>
        <w:tc>
          <w:tcPr>
            <w:tcW w:w="1213"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rPr>
            </w:pPr>
          </w:p>
        </w:tc>
      </w:tr>
      <w:tr w:rsidR="00C26EF5">
        <w:trPr>
          <w:cantSplit/>
          <w:trHeight w:hRule="exact" w:val="432"/>
          <w:jc w:val="center"/>
        </w:trPr>
        <w:tc>
          <w:tcPr>
            <w:tcW w:w="4040"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rPr>
              <w:t>合计</w:t>
            </w:r>
          </w:p>
        </w:tc>
        <w:tc>
          <w:tcPr>
            <w:tcW w:w="1592"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62,556.38</w:t>
            </w:r>
          </w:p>
        </w:tc>
        <w:tc>
          <w:tcPr>
            <w:tcW w:w="1604"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61,735.79</w:t>
            </w:r>
          </w:p>
        </w:tc>
        <w:tc>
          <w:tcPr>
            <w:tcW w:w="1565" w:type="dxa"/>
            <w:tcBorders>
              <w:left w:val="single" w:sz="4" w:space="0" w:color="000000"/>
              <w:bottom w:val="single" w:sz="4" w:space="0" w:color="000000"/>
            </w:tcBorders>
            <w:vAlign w:val="center"/>
          </w:tcPr>
          <w:p w:rsidR="00C26EF5" w:rsidRDefault="00C26EF5">
            <w:pPr>
              <w:jc w:val="right"/>
              <w:rPr>
                <w:rFonts w:ascii="仿宋" w:eastAsia="仿宋" w:hAnsi="仿宋" w:cs="仿宋"/>
              </w:rPr>
            </w:pPr>
          </w:p>
        </w:tc>
        <w:tc>
          <w:tcPr>
            <w:tcW w:w="1396" w:type="dxa"/>
            <w:tcBorders>
              <w:left w:val="single" w:sz="4" w:space="0" w:color="000000"/>
              <w:bottom w:val="single" w:sz="4" w:space="0" w:color="000000"/>
            </w:tcBorders>
            <w:vAlign w:val="center"/>
          </w:tcPr>
          <w:p w:rsidR="00C26EF5" w:rsidRDefault="00C26EF5">
            <w:pPr>
              <w:jc w:val="right"/>
              <w:rPr>
                <w:rFonts w:ascii="仿宋" w:eastAsia="仿宋" w:hAnsi="仿宋" w:cs="仿宋"/>
              </w:rPr>
            </w:pPr>
          </w:p>
        </w:tc>
        <w:tc>
          <w:tcPr>
            <w:tcW w:w="1578"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610.47</w:t>
            </w:r>
          </w:p>
        </w:tc>
        <w:tc>
          <w:tcPr>
            <w:tcW w:w="1174"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210.12</w:t>
            </w:r>
          </w:p>
        </w:tc>
        <w:tc>
          <w:tcPr>
            <w:tcW w:w="1277" w:type="dxa"/>
            <w:tcBorders>
              <w:left w:val="single" w:sz="4" w:space="0" w:color="000000"/>
              <w:bottom w:val="single" w:sz="4" w:space="0" w:color="000000"/>
            </w:tcBorders>
            <w:vAlign w:val="center"/>
          </w:tcPr>
          <w:p w:rsidR="00C26EF5" w:rsidRDefault="00C26EF5">
            <w:pPr>
              <w:jc w:val="right"/>
              <w:rPr>
                <w:rFonts w:ascii="仿宋" w:eastAsia="仿宋" w:hAnsi="仿宋" w:cs="仿宋"/>
              </w:rPr>
            </w:pPr>
          </w:p>
        </w:tc>
        <w:tc>
          <w:tcPr>
            <w:tcW w:w="1213" w:type="dxa"/>
            <w:tcBorders>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科学技术支出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20604</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技术研究与开发</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2060499</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其他技术研究与开发支出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2080501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58.49</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58.49</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1.19</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1.19</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卫生健康支出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行政单位医疗</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55.66</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55.66</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事业单位医疗</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20.56</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20.56</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2101103</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42.12</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42.12</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节能环保支出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61,397.34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60,576.75</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610.47</w:t>
            </w: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210.12</w:t>
            </w: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环境保护管理事务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56,683.67</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55,863.08</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610.47</w:t>
            </w: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210.12</w:t>
            </w: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2110101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2,288.51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2,288.51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814.23</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814.23</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2110199</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其他环境保护管理事务支出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53,580.93</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52,760.34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610.47</w:t>
            </w: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210.12</w:t>
            </w: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21102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环境监测与监察</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2110299</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其他环境监测与监察支出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21103</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污染防治</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2110302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水体</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21104</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自然生态保护</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3,170.44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3,170.44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2110401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生态保护</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3,170.44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3,170.44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污染减排</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304.31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304.31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生态环境执法监察</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282.84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282.84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2111199</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其他污染减排支出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21.47</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21.47</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住房保障支出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2210201</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253.37</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253.37</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2210202</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476.80</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476.80</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2210203</w:t>
            </w:r>
          </w:p>
        </w:tc>
        <w:tc>
          <w:tcPr>
            <w:tcW w:w="29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234.74</w:t>
            </w:r>
          </w:p>
        </w:tc>
        <w:tc>
          <w:tcPr>
            <w:tcW w:w="1604"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234.74</w:t>
            </w:r>
          </w:p>
        </w:tc>
        <w:tc>
          <w:tcPr>
            <w:tcW w:w="156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bl>
    <w:p w:rsidR="00C26EF5" w:rsidRDefault="004C7F7C">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C26EF5" w:rsidRDefault="00C26EF5">
      <w:pPr>
        <w:spacing w:before="66"/>
        <w:ind w:left="57" w:firstLineChars="100" w:firstLine="220"/>
        <w:jc w:val="both"/>
        <w:rPr>
          <w:rFonts w:ascii="仿宋" w:eastAsia="仿宋" w:hAnsi="仿宋" w:cs="仿宋"/>
        </w:rPr>
        <w:sectPr w:rsidR="00C26EF5">
          <w:footerReference w:type="default" r:id="rId16"/>
          <w:pgSz w:w="16838" w:h="11906" w:orient="landscape"/>
          <w:pgMar w:top="720" w:right="720" w:bottom="720" w:left="720"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4183"/>
        <w:gridCol w:w="2011"/>
        <w:gridCol w:w="1486"/>
        <w:gridCol w:w="1564"/>
        <w:gridCol w:w="1593"/>
        <w:gridCol w:w="1472"/>
        <w:gridCol w:w="1482"/>
      </w:tblGrid>
      <w:tr w:rsidR="00C26EF5">
        <w:trPr>
          <w:trHeight w:val="341"/>
        </w:trPr>
        <w:tc>
          <w:tcPr>
            <w:tcW w:w="15347" w:type="dxa"/>
            <w:gridSpan w:val="8"/>
            <w:vAlign w:val="center"/>
          </w:tcPr>
          <w:p w:rsidR="00C26EF5" w:rsidRDefault="004C7F7C">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C26EF5">
        <w:trPr>
          <w:trHeight w:val="321"/>
        </w:trPr>
        <w:tc>
          <w:tcPr>
            <w:tcW w:w="5739" w:type="dxa"/>
            <w:gridSpan w:val="2"/>
            <w:vAlign w:val="center"/>
          </w:tcPr>
          <w:p w:rsidR="00C26EF5" w:rsidRDefault="00C26EF5">
            <w:pPr>
              <w:pStyle w:val="TableParagraph"/>
              <w:jc w:val="center"/>
              <w:rPr>
                <w:rFonts w:ascii="仿宋" w:eastAsia="仿宋" w:hAnsi="仿宋" w:cs="仿宋"/>
              </w:rPr>
            </w:pPr>
          </w:p>
        </w:tc>
        <w:tc>
          <w:tcPr>
            <w:tcW w:w="2011" w:type="dxa"/>
            <w:vAlign w:val="center"/>
          </w:tcPr>
          <w:p w:rsidR="00C26EF5" w:rsidRDefault="00C26EF5">
            <w:pPr>
              <w:pStyle w:val="TableParagraph"/>
              <w:jc w:val="center"/>
              <w:rPr>
                <w:rFonts w:ascii="仿宋" w:eastAsia="仿宋" w:hAnsi="仿宋" w:cs="仿宋"/>
                <w:sz w:val="20"/>
              </w:rPr>
            </w:pPr>
          </w:p>
        </w:tc>
        <w:tc>
          <w:tcPr>
            <w:tcW w:w="1486" w:type="dxa"/>
            <w:vAlign w:val="center"/>
          </w:tcPr>
          <w:p w:rsidR="00C26EF5" w:rsidRDefault="00C26EF5">
            <w:pPr>
              <w:pStyle w:val="TableParagraph"/>
              <w:jc w:val="center"/>
              <w:rPr>
                <w:rFonts w:ascii="仿宋" w:eastAsia="仿宋" w:hAnsi="仿宋" w:cs="仿宋"/>
                <w:sz w:val="20"/>
              </w:rPr>
            </w:pPr>
          </w:p>
        </w:tc>
        <w:tc>
          <w:tcPr>
            <w:tcW w:w="1564" w:type="dxa"/>
            <w:vAlign w:val="center"/>
          </w:tcPr>
          <w:p w:rsidR="00C26EF5" w:rsidRDefault="00C26EF5">
            <w:pPr>
              <w:pStyle w:val="TableParagraph"/>
              <w:jc w:val="center"/>
              <w:rPr>
                <w:rFonts w:ascii="仿宋" w:eastAsia="仿宋" w:hAnsi="仿宋" w:cs="仿宋"/>
                <w:sz w:val="20"/>
              </w:rPr>
            </w:pPr>
          </w:p>
        </w:tc>
        <w:tc>
          <w:tcPr>
            <w:tcW w:w="1593" w:type="dxa"/>
            <w:vAlign w:val="center"/>
          </w:tcPr>
          <w:p w:rsidR="00C26EF5" w:rsidRDefault="00C26EF5">
            <w:pPr>
              <w:pStyle w:val="TableParagraph"/>
              <w:jc w:val="center"/>
              <w:rPr>
                <w:rFonts w:ascii="仿宋" w:eastAsia="仿宋" w:hAnsi="仿宋" w:cs="仿宋"/>
                <w:sz w:val="20"/>
              </w:rPr>
            </w:pPr>
          </w:p>
        </w:tc>
        <w:tc>
          <w:tcPr>
            <w:tcW w:w="2954" w:type="dxa"/>
            <w:gridSpan w:val="2"/>
            <w:vAlign w:val="center"/>
          </w:tcPr>
          <w:p w:rsidR="00C26EF5" w:rsidRDefault="004C7F7C">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C26EF5">
        <w:trPr>
          <w:trHeight w:val="321"/>
        </w:trPr>
        <w:tc>
          <w:tcPr>
            <w:tcW w:w="12393" w:type="dxa"/>
            <w:gridSpan w:val="6"/>
            <w:vAlign w:val="center"/>
          </w:tcPr>
          <w:p w:rsidR="00C26EF5" w:rsidRDefault="004C7F7C">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2954" w:type="dxa"/>
            <w:gridSpan w:val="2"/>
            <w:vAlign w:val="center"/>
          </w:tcPr>
          <w:p w:rsidR="00C26EF5" w:rsidRDefault="004C7F7C">
            <w:pPr>
              <w:pStyle w:val="TableParagraph"/>
              <w:jc w:val="right"/>
              <w:rPr>
                <w:rFonts w:ascii="仿宋" w:eastAsia="仿宋" w:hAnsi="仿宋" w:cs="仿宋"/>
              </w:rPr>
            </w:pPr>
            <w:r>
              <w:rPr>
                <w:rFonts w:ascii="仿宋" w:eastAsia="仿宋" w:hAnsi="仿宋" w:cs="仿宋" w:hint="eastAsia"/>
              </w:rPr>
              <w:t>金额单位：万元</w:t>
            </w:r>
          </w:p>
        </w:tc>
      </w:tr>
      <w:tr w:rsidR="00C26EF5">
        <w:trPr>
          <w:trHeight w:val="321"/>
        </w:trPr>
        <w:tc>
          <w:tcPr>
            <w:tcW w:w="5739" w:type="dxa"/>
            <w:gridSpan w:val="2"/>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w:t>
            </w:r>
          </w:p>
        </w:tc>
        <w:tc>
          <w:tcPr>
            <w:tcW w:w="2011"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本年支出合计</w:t>
            </w:r>
          </w:p>
        </w:tc>
        <w:tc>
          <w:tcPr>
            <w:tcW w:w="1486"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基本支出</w:t>
            </w:r>
          </w:p>
        </w:tc>
        <w:tc>
          <w:tcPr>
            <w:tcW w:w="1564"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项目支出</w:t>
            </w:r>
          </w:p>
        </w:tc>
        <w:tc>
          <w:tcPr>
            <w:tcW w:w="1593"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上缴上级支出</w:t>
            </w:r>
          </w:p>
        </w:tc>
        <w:tc>
          <w:tcPr>
            <w:tcW w:w="1472" w:type="dxa"/>
            <w:vMerge w:val="restart"/>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经营支出</w:t>
            </w:r>
          </w:p>
        </w:tc>
        <w:tc>
          <w:tcPr>
            <w:tcW w:w="1482" w:type="dxa"/>
            <w:vMerge w:val="restart"/>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对附属单位补助支出</w:t>
            </w:r>
          </w:p>
        </w:tc>
      </w:tr>
      <w:tr w:rsidR="00C26EF5">
        <w:trPr>
          <w:trHeight w:val="370"/>
        </w:trPr>
        <w:tc>
          <w:tcPr>
            <w:tcW w:w="1556"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功能分类</w:t>
            </w:r>
          </w:p>
          <w:p w:rsidR="00C26EF5" w:rsidRDefault="004C7F7C">
            <w:pPr>
              <w:pStyle w:val="TableParagraph"/>
              <w:jc w:val="center"/>
              <w:rPr>
                <w:rFonts w:ascii="仿宋" w:eastAsia="仿宋" w:hAnsi="仿宋" w:cs="仿宋"/>
              </w:rPr>
            </w:pPr>
            <w:r>
              <w:rPr>
                <w:rFonts w:ascii="仿宋" w:eastAsia="仿宋" w:hAnsi="仿宋" w:cs="仿宋" w:hint="eastAsia"/>
              </w:rPr>
              <w:t>科目编码</w:t>
            </w:r>
          </w:p>
        </w:tc>
        <w:tc>
          <w:tcPr>
            <w:tcW w:w="4183"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2011" w:type="dxa"/>
            <w:vMerge/>
            <w:tcBorders>
              <w:left w:val="single" w:sz="4" w:space="0" w:color="000000"/>
              <w:bottom w:val="single" w:sz="4" w:space="0" w:color="000000"/>
            </w:tcBorders>
          </w:tcPr>
          <w:p w:rsidR="00C26EF5" w:rsidRDefault="00C26EF5">
            <w:pPr>
              <w:rPr>
                <w:rFonts w:ascii="仿宋" w:eastAsia="仿宋" w:hAnsi="仿宋" w:cs="仿宋"/>
              </w:rPr>
            </w:pPr>
          </w:p>
        </w:tc>
        <w:tc>
          <w:tcPr>
            <w:tcW w:w="1486" w:type="dxa"/>
            <w:vMerge/>
            <w:tcBorders>
              <w:left w:val="single" w:sz="4" w:space="0" w:color="000000"/>
              <w:bottom w:val="single" w:sz="4" w:space="0" w:color="000000"/>
            </w:tcBorders>
          </w:tcPr>
          <w:p w:rsidR="00C26EF5" w:rsidRDefault="00C26EF5">
            <w:pPr>
              <w:rPr>
                <w:rFonts w:ascii="仿宋" w:eastAsia="仿宋" w:hAnsi="仿宋" w:cs="仿宋"/>
              </w:rPr>
            </w:pPr>
          </w:p>
        </w:tc>
        <w:tc>
          <w:tcPr>
            <w:tcW w:w="1564" w:type="dxa"/>
            <w:vMerge/>
            <w:tcBorders>
              <w:left w:val="single" w:sz="4" w:space="0" w:color="000000"/>
              <w:bottom w:val="single" w:sz="4" w:space="0" w:color="000000"/>
            </w:tcBorders>
          </w:tcPr>
          <w:p w:rsidR="00C26EF5" w:rsidRDefault="00C26EF5">
            <w:pPr>
              <w:rPr>
                <w:rFonts w:ascii="仿宋" w:eastAsia="仿宋" w:hAnsi="仿宋" w:cs="仿宋"/>
              </w:rPr>
            </w:pPr>
          </w:p>
        </w:tc>
        <w:tc>
          <w:tcPr>
            <w:tcW w:w="1593" w:type="dxa"/>
            <w:vMerge/>
            <w:tcBorders>
              <w:left w:val="single" w:sz="4" w:space="0" w:color="000000"/>
              <w:bottom w:val="single" w:sz="4" w:space="0" w:color="000000"/>
            </w:tcBorders>
          </w:tcPr>
          <w:p w:rsidR="00C26EF5" w:rsidRDefault="00C26EF5">
            <w:pPr>
              <w:rPr>
                <w:rFonts w:ascii="仿宋" w:eastAsia="仿宋" w:hAnsi="仿宋" w:cs="仿宋"/>
              </w:rPr>
            </w:pPr>
          </w:p>
        </w:tc>
        <w:tc>
          <w:tcPr>
            <w:tcW w:w="1472" w:type="dxa"/>
            <w:vMerge/>
            <w:tcBorders>
              <w:left w:val="single" w:sz="4" w:space="0" w:color="000000"/>
              <w:bottom w:val="single" w:sz="4" w:space="0" w:color="000000"/>
            </w:tcBorders>
          </w:tcPr>
          <w:p w:rsidR="00C26EF5" w:rsidRDefault="00C26EF5">
            <w:pPr>
              <w:rPr>
                <w:rFonts w:ascii="仿宋" w:eastAsia="仿宋" w:hAnsi="仿宋" w:cs="仿宋"/>
              </w:rPr>
            </w:pPr>
          </w:p>
        </w:tc>
        <w:tc>
          <w:tcPr>
            <w:tcW w:w="1482"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rPr>
            </w:pPr>
          </w:p>
        </w:tc>
      </w:tr>
      <w:tr w:rsidR="00C26EF5">
        <w:trPr>
          <w:trHeight w:hRule="exact" w:val="403"/>
        </w:trPr>
        <w:tc>
          <w:tcPr>
            <w:tcW w:w="5739"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rPr>
              <w:t>合计</w:t>
            </w:r>
          </w:p>
        </w:tc>
        <w:tc>
          <w:tcPr>
            <w:tcW w:w="2011"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62,654.01</w:t>
            </w:r>
          </w:p>
        </w:tc>
        <w:tc>
          <w:tcPr>
            <w:tcW w:w="1486"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4,117.55</w:t>
            </w:r>
          </w:p>
        </w:tc>
        <w:tc>
          <w:tcPr>
            <w:tcW w:w="1564"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58,326.34</w:t>
            </w:r>
          </w:p>
        </w:tc>
        <w:tc>
          <w:tcPr>
            <w:tcW w:w="1593" w:type="dxa"/>
            <w:tcBorders>
              <w:left w:val="single" w:sz="4" w:space="0" w:color="000000"/>
              <w:bottom w:val="single" w:sz="4" w:space="0" w:color="000000"/>
            </w:tcBorders>
            <w:vAlign w:val="center"/>
          </w:tcPr>
          <w:p w:rsidR="00C26EF5" w:rsidRDefault="00C26EF5">
            <w:pPr>
              <w:jc w:val="right"/>
              <w:rPr>
                <w:rFonts w:ascii="仿宋" w:eastAsia="仿宋" w:hAnsi="仿宋" w:cs="仿宋"/>
              </w:rPr>
            </w:pPr>
          </w:p>
        </w:tc>
        <w:tc>
          <w:tcPr>
            <w:tcW w:w="1472"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210.12</w:t>
            </w:r>
          </w:p>
        </w:tc>
        <w:tc>
          <w:tcPr>
            <w:tcW w:w="1482" w:type="dxa"/>
            <w:tcBorders>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206</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科学技术支出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16.11</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16.11</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20604</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技术研究与开发</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16.11</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16.11</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2060499</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其他技术研究与开发支出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16.11</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16.11</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208</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59.68</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59.68</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20805</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59.68</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59.68</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2080501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58.49</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58.49</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2080502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1.19</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1.19</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210</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卫生健康支出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118.34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118.34</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21011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118.34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118.34</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2101101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行政单位医疗</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55.66</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55.66</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2101102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事业单位医疗</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20.56</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20.56</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2101103</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42.12</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42.12</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节能环保支出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61,494.97</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2,974.62</w:t>
            </w: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58,310.23</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210.12</w:t>
            </w: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环境保护管理事务</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56,683.67</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2,974.62</w:t>
            </w: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53,498.93</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210.12</w:t>
            </w: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2110101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2,288.51</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2,288.51</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2110102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814.23</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814.23</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lastRenderedPageBreak/>
              <w:t>2110199</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其他环境保护管理事务支出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53,580.93</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686.11</w:t>
            </w: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52,684.70</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210.12</w:t>
            </w: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环境监测与监察</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72.84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72.84</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2110299</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其他环境监测与监察支出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72.84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72.84</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21103</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污染防治</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1,166.08</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1,166.08</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2110302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水体</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1,166.08</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1,166.08</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21104</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自然生态保护</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3,263.44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3,263.44</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2110401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生态保护</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3,263.44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3,263.44</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21111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污染减排</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308.94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308.94</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2111102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生态环境执法监察</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287.47</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287.47</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2111199</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其他污染减排支出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21.47</w:t>
            </w:r>
          </w:p>
        </w:tc>
        <w:tc>
          <w:tcPr>
            <w:tcW w:w="1486"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21.47</w:t>
            </w: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221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住房保障支出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964.91</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964.91</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22102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964.91</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964.91</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2210201</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253.37</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253.37</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2210202</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476.80</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476.80</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r w:rsidR="00C26EF5">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2210203</w:t>
            </w:r>
          </w:p>
        </w:tc>
        <w:tc>
          <w:tcPr>
            <w:tcW w:w="4183"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011"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234.74</w:t>
            </w:r>
          </w:p>
        </w:tc>
        <w:tc>
          <w:tcPr>
            <w:tcW w:w="1486" w:type="dxa"/>
            <w:tcBorders>
              <w:top w:val="single" w:sz="4" w:space="0" w:color="000000"/>
              <w:left w:val="single" w:sz="4" w:space="0" w:color="000000"/>
              <w:bottom w:val="single" w:sz="4" w:space="0" w:color="000000"/>
              <w:right w:val="single" w:sz="4" w:space="0" w:color="000000"/>
            </w:tcBorders>
          </w:tcPr>
          <w:p w:rsidR="00C26EF5" w:rsidRDefault="004C7F7C">
            <w:pPr>
              <w:pStyle w:val="TableParagraph"/>
              <w:spacing w:before="30"/>
              <w:ind w:left="107"/>
              <w:jc w:val="right"/>
              <w:rPr>
                <w:rFonts w:ascii="仿宋" w:eastAsia="仿宋" w:hAnsi="仿宋" w:cs="仿宋"/>
              </w:rPr>
            </w:pPr>
            <w:r>
              <w:rPr>
                <w:rFonts w:ascii="仿宋" w:eastAsia="仿宋" w:hAnsi="仿宋" w:cs="仿宋" w:hint="eastAsia"/>
              </w:rPr>
              <w:t>234.74</w:t>
            </w:r>
          </w:p>
        </w:tc>
        <w:tc>
          <w:tcPr>
            <w:tcW w:w="1564"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C26EF5" w:rsidRDefault="00C26EF5">
            <w:pPr>
              <w:pStyle w:val="TableParagraph"/>
              <w:spacing w:before="30"/>
              <w:ind w:left="107"/>
              <w:jc w:val="right"/>
              <w:rPr>
                <w:rFonts w:ascii="仿宋" w:eastAsia="仿宋" w:hAnsi="仿宋" w:cs="仿宋"/>
              </w:rPr>
            </w:pPr>
          </w:p>
        </w:tc>
      </w:tr>
    </w:tbl>
    <w:p w:rsidR="00C26EF5" w:rsidRDefault="004C7F7C">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C26EF5" w:rsidRDefault="00C26EF5">
      <w:pPr>
        <w:spacing w:before="59"/>
        <w:ind w:left="57"/>
        <w:rPr>
          <w:rFonts w:ascii="仿宋" w:eastAsia="仿宋" w:hAnsi="仿宋" w:cs="仿宋"/>
        </w:rPr>
        <w:sectPr w:rsidR="00C26EF5">
          <w:footerReference w:type="default" r:id="rId17"/>
          <w:pgSz w:w="16838" w:h="11906" w:orient="landscape"/>
          <w:pgMar w:top="720" w:right="720" w:bottom="720" w:left="720"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C26EF5">
        <w:trPr>
          <w:trHeight w:val="319"/>
        </w:trPr>
        <w:tc>
          <w:tcPr>
            <w:tcW w:w="15372" w:type="dxa"/>
            <w:gridSpan w:val="10"/>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C26EF5">
        <w:trPr>
          <w:trHeight w:val="319"/>
        </w:trPr>
        <w:tc>
          <w:tcPr>
            <w:tcW w:w="5562" w:type="dxa"/>
            <w:gridSpan w:val="2"/>
          </w:tcPr>
          <w:p w:rsidR="00C26EF5" w:rsidRDefault="00C26EF5">
            <w:pPr>
              <w:pStyle w:val="TableParagraph"/>
              <w:rPr>
                <w:rFonts w:ascii="仿宋" w:eastAsia="仿宋" w:hAnsi="仿宋" w:cs="仿宋"/>
                <w:sz w:val="20"/>
              </w:rPr>
            </w:pPr>
          </w:p>
        </w:tc>
        <w:tc>
          <w:tcPr>
            <w:tcW w:w="847" w:type="dxa"/>
          </w:tcPr>
          <w:p w:rsidR="00C26EF5" w:rsidRDefault="00C26EF5">
            <w:pPr>
              <w:pStyle w:val="TableParagraph"/>
              <w:rPr>
                <w:rFonts w:ascii="仿宋" w:eastAsia="仿宋" w:hAnsi="仿宋" w:cs="仿宋"/>
                <w:sz w:val="20"/>
              </w:rPr>
            </w:pPr>
          </w:p>
        </w:tc>
        <w:tc>
          <w:tcPr>
            <w:tcW w:w="1913" w:type="dxa"/>
          </w:tcPr>
          <w:p w:rsidR="00C26EF5" w:rsidRDefault="00C26EF5">
            <w:pPr>
              <w:pStyle w:val="TableParagraph"/>
              <w:rPr>
                <w:rFonts w:ascii="仿宋" w:eastAsia="仿宋" w:hAnsi="仿宋" w:cs="仿宋"/>
                <w:sz w:val="20"/>
              </w:rPr>
            </w:pPr>
          </w:p>
        </w:tc>
        <w:tc>
          <w:tcPr>
            <w:tcW w:w="2635" w:type="dxa"/>
            <w:gridSpan w:val="2"/>
          </w:tcPr>
          <w:p w:rsidR="00C26EF5" w:rsidRDefault="00C26EF5">
            <w:pPr>
              <w:pStyle w:val="TableParagraph"/>
              <w:rPr>
                <w:rFonts w:ascii="仿宋" w:eastAsia="仿宋" w:hAnsi="仿宋" w:cs="仿宋"/>
                <w:sz w:val="20"/>
              </w:rPr>
            </w:pPr>
          </w:p>
        </w:tc>
        <w:tc>
          <w:tcPr>
            <w:tcW w:w="1194" w:type="dxa"/>
          </w:tcPr>
          <w:p w:rsidR="00C26EF5" w:rsidRDefault="00C26EF5">
            <w:pPr>
              <w:pStyle w:val="TableParagraph"/>
              <w:rPr>
                <w:rFonts w:ascii="仿宋" w:eastAsia="仿宋" w:hAnsi="仿宋" w:cs="仿宋"/>
                <w:sz w:val="20"/>
              </w:rPr>
            </w:pPr>
          </w:p>
        </w:tc>
        <w:tc>
          <w:tcPr>
            <w:tcW w:w="3221" w:type="dxa"/>
            <w:gridSpan w:val="3"/>
            <w:vAlign w:val="center"/>
          </w:tcPr>
          <w:p w:rsidR="00C26EF5" w:rsidRDefault="004C7F7C">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C26EF5">
        <w:trPr>
          <w:trHeight w:val="319"/>
        </w:trPr>
        <w:tc>
          <w:tcPr>
            <w:tcW w:w="12151" w:type="dxa"/>
            <w:gridSpan w:val="7"/>
          </w:tcPr>
          <w:p w:rsidR="00C26EF5" w:rsidRDefault="004C7F7C">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3221" w:type="dxa"/>
            <w:gridSpan w:val="3"/>
            <w:vAlign w:val="center"/>
          </w:tcPr>
          <w:p w:rsidR="00C26EF5" w:rsidRDefault="004C7F7C">
            <w:pPr>
              <w:pStyle w:val="TableParagraph"/>
              <w:jc w:val="right"/>
              <w:rPr>
                <w:rFonts w:ascii="仿宋" w:eastAsia="仿宋" w:hAnsi="仿宋" w:cs="仿宋"/>
              </w:rPr>
            </w:pPr>
            <w:r>
              <w:rPr>
                <w:rFonts w:ascii="仿宋" w:eastAsia="仿宋" w:hAnsi="仿宋" w:cs="仿宋" w:hint="eastAsia"/>
              </w:rPr>
              <w:t>金额单位：万元</w:t>
            </w:r>
          </w:p>
        </w:tc>
      </w:tr>
      <w:tr w:rsidR="00C26EF5">
        <w:trPr>
          <w:trHeight w:val="162"/>
        </w:trPr>
        <w:tc>
          <w:tcPr>
            <w:tcW w:w="5562" w:type="dxa"/>
            <w:gridSpan w:val="2"/>
            <w:tcBorders>
              <w:top w:val="single" w:sz="4" w:space="0" w:color="000000"/>
              <w:left w:val="single" w:sz="4" w:space="0" w:color="000000"/>
              <w:bottom w:val="single" w:sz="4" w:space="0" w:color="000000"/>
            </w:tcBorders>
          </w:tcPr>
          <w:p w:rsidR="00C26EF5" w:rsidRDefault="004C7F7C">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C26EF5" w:rsidRDefault="004C7F7C">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C26EF5">
        <w:trPr>
          <w:trHeight w:val="199"/>
        </w:trPr>
        <w:tc>
          <w:tcPr>
            <w:tcW w:w="3725" w:type="dxa"/>
            <w:vMerge w:val="restart"/>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C26EF5" w:rsidRDefault="004C7F7C">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C26EF5" w:rsidRDefault="004C7F7C">
            <w:pPr>
              <w:jc w:val="center"/>
              <w:rPr>
                <w:rFonts w:ascii="仿宋" w:eastAsia="仿宋" w:hAnsi="仿宋" w:cs="仿宋"/>
              </w:rPr>
            </w:pPr>
            <w:r>
              <w:rPr>
                <w:rFonts w:ascii="仿宋" w:eastAsia="仿宋" w:hAnsi="仿宋" w:cs="仿宋" w:hint="eastAsia"/>
              </w:rPr>
              <w:t>决算数</w:t>
            </w:r>
          </w:p>
        </w:tc>
      </w:tr>
      <w:tr w:rsidR="00C26EF5">
        <w:trPr>
          <w:trHeight w:val="578"/>
        </w:trPr>
        <w:tc>
          <w:tcPr>
            <w:tcW w:w="3725" w:type="dxa"/>
            <w:vMerge/>
            <w:tcBorders>
              <w:left w:val="single" w:sz="4" w:space="0" w:color="000000"/>
              <w:bottom w:val="single" w:sz="4" w:space="0" w:color="000000"/>
            </w:tcBorders>
          </w:tcPr>
          <w:p w:rsidR="00C26EF5" w:rsidRDefault="00C26EF5">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C26EF5" w:rsidRDefault="00C26EF5">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C26EF5" w:rsidRDefault="00C26EF5">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国有资本经营预算财政拨款</w:t>
            </w: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61,735.79</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60,674.38</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60,674.38</w:t>
            </w: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hRule="exact" w:val="359"/>
        </w:trPr>
        <w:tc>
          <w:tcPr>
            <w:tcW w:w="3725" w:type="dxa"/>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61,735.79</w:t>
            </w:r>
          </w:p>
        </w:tc>
        <w:tc>
          <w:tcPr>
            <w:tcW w:w="3667" w:type="dxa"/>
            <w:gridSpan w:val="3"/>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61,833.42</w:t>
            </w:r>
          </w:p>
        </w:tc>
        <w:tc>
          <w:tcPr>
            <w:tcW w:w="1415" w:type="dxa"/>
            <w:gridSpan w:val="2"/>
            <w:tcBorders>
              <w:top w:val="single" w:sz="4" w:space="0" w:color="000000"/>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61,833.42</w:t>
            </w:r>
          </w:p>
        </w:tc>
        <w:tc>
          <w:tcPr>
            <w:tcW w:w="1500" w:type="dxa"/>
            <w:tcBorders>
              <w:top w:val="single" w:sz="4" w:space="0" w:color="000000"/>
              <w:left w:val="single" w:sz="4" w:space="0" w:color="000000"/>
              <w:bottom w:val="single" w:sz="4" w:space="0" w:color="000000"/>
            </w:tcBorders>
            <w:vAlign w:val="center"/>
          </w:tcPr>
          <w:p w:rsidR="00C26EF5" w:rsidRDefault="00C26EF5">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trHeight w:val="242"/>
        </w:trPr>
        <w:tc>
          <w:tcPr>
            <w:tcW w:w="3725"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111.80</w:t>
            </w:r>
          </w:p>
        </w:tc>
        <w:tc>
          <w:tcPr>
            <w:tcW w:w="3667" w:type="dxa"/>
            <w:gridSpan w:val="3"/>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14.17</w:t>
            </w:r>
          </w:p>
        </w:tc>
        <w:tc>
          <w:tcPr>
            <w:tcW w:w="1415" w:type="dxa"/>
            <w:gridSpan w:val="2"/>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14.17</w:t>
            </w:r>
          </w:p>
        </w:tc>
        <w:tc>
          <w:tcPr>
            <w:tcW w:w="1500"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42"/>
        </w:trPr>
        <w:tc>
          <w:tcPr>
            <w:tcW w:w="3725"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111.80</w:t>
            </w:r>
          </w:p>
        </w:tc>
        <w:tc>
          <w:tcPr>
            <w:tcW w:w="3667" w:type="dxa"/>
            <w:gridSpan w:val="3"/>
            <w:tcBorders>
              <w:left w:val="single" w:sz="4" w:space="0" w:color="000000"/>
              <w:bottom w:val="single" w:sz="4" w:space="0" w:color="000000"/>
            </w:tcBorders>
            <w:vAlign w:val="center"/>
          </w:tcPr>
          <w:p w:rsidR="00C26EF5" w:rsidRDefault="00C26EF5">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42"/>
        </w:trPr>
        <w:tc>
          <w:tcPr>
            <w:tcW w:w="3725"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C26EF5" w:rsidRDefault="00C26EF5">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trHeight w:val="242"/>
        </w:trPr>
        <w:tc>
          <w:tcPr>
            <w:tcW w:w="3725"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C26EF5" w:rsidRDefault="00C26EF5">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hRule="exact" w:val="322"/>
        </w:trPr>
        <w:tc>
          <w:tcPr>
            <w:tcW w:w="3725"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61,847.59</w:t>
            </w:r>
          </w:p>
        </w:tc>
        <w:tc>
          <w:tcPr>
            <w:tcW w:w="3667" w:type="dxa"/>
            <w:gridSpan w:val="3"/>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61,847.59</w:t>
            </w:r>
          </w:p>
        </w:tc>
        <w:tc>
          <w:tcPr>
            <w:tcW w:w="1415" w:type="dxa"/>
            <w:gridSpan w:val="2"/>
            <w:tcBorders>
              <w:left w:val="single" w:sz="4" w:space="0" w:color="000000"/>
              <w:bottom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61,847.59</w:t>
            </w:r>
          </w:p>
        </w:tc>
        <w:tc>
          <w:tcPr>
            <w:tcW w:w="1500" w:type="dxa"/>
            <w:tcBorders>
              <w:left w:val="single" w:sz="4" w:space="0" w:color="000000"/>
              <w:bottom w:val="single" w:sz="4" w:space="0" w:color="000000"/>
            </w:tcBorders>
            <w:vAlign w:val="center"/>
          </w:tcPr>
          <w:p w:rsidR="00C26EF5" w:rsidRDefault="00C26EF5">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bl>
    <w:p w:rsidR="00C26EF5" w:rsidRDefault="004C7F7C">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C26EF5" w:rsidRDefault="00C26EF5">
      <w:pPr>
        <w:jc w:val="both"/>
        <w:rPr>
          <w:rFonts w:ascii="仿宋" w:eastAsia="仿宋" w:hAnsi="仿宋" w:cs="仿宋"/>
        </w:rPr>
        <w:sectPr w:rsidR="00C26EF5">
          <w:footerReference w:type="default" r:id="rId18"/>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C26EF5">
        <w:trPr>
          <w:trHeight w:val="321"/>
        </w:trPr>
        <w:tc>
          <w:tcPr>
            <w:tcW w:w="15417" w:type="dxa"/>
            <w:gridSpan w:val="5"/>
            <w:vAlign w:val="center"/>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C26EF5">
        <w:trPr>
          <w:trHeight w:val="321"/>
        </w:trPr>
        <w:tc>
          <w:tcPr>
            <w:tcW w:w="6300" w:type="dxa"/>
            <w:gridSpan w:val="2"/>
          </w:tcPr>
          <w:p w:rsidR="00C26EF5" w:rsidRDefault="00C26EF5">
            <w:pPr>
              <w:pStyle w:val="TableParagraph"/>
              <w:rPr>
                <w:rFonts w:ascii="仿宋" w:eastAsia="仿宋" w:hAnsi="仿宋" w:cs="仿宋"/>
                <w:sz w:val="20"/>
              </w:rPr>
            </w:pPr>
          </w:p>
        </w:tc>
        <w:tc>
          <w:tcPr>
            <w:tcW w:w="3184" w:type="dxa"/>
          </w:tcPr>
          <w:p w:rsidR="00C26EF5" w:rsidRDefault="00C26EF5">
            <w:pPr>
              <w:pStyle w:val="TableParagraph"/>
              <w:rPr>
                <w:rFonts w:ascii="仿宋" w:eastAsia="仿宋" w:hAnsi="仿宋" w:cs="仿宋"/>
                <w:sz w:val="27"/>
              </w:rPr>
            </w:pPr>
          </w:p>
        </w:tc>
        <w:tc>
          <w:tcPr>
            <w:tcW w:w="5933" w:type="dxa"/>
            <w:gridSpan w:val="2"/>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C26EF5">
        <w:trPr>
          <w:trHeight w:val="288"/>
        </w:trPr>
        <w:tc>
          <w:tcPr>
            <w:tcW w:w="6300" w:type="dxa"/>
            <w:gridSpan w:val="2"/>
          </w:tcPr>
          <w:p w:rsidR="00C26EF5" w:rsidRDefault="004C7F7C">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3184" w:type="dxa"/>
          </w:tcPr>
          <w:p w:rsidR="00C26EF5" w:rsidRDefault="00C26EF5">
            <w:pPr>
              <w:pStyle w:val="TableParagraph"/>
              <w:rPr>
                <w:rFonts w:ascii="仿宋" w:eastAsia="仿宋" w:hAnsi="仿宋" w:cs="仿宋"/>
                <w:sz w:val="27"/>
              </w:rPr>
            </w:pPr>
          </w:p>
        </w:tc>
        <w:tc>
          <w:tcPr>
            <w:tcW w:w="2778" w:type="dxa"/>
            <w:vAlign w:val="center"/>
          </w:tcPr>
          <w:p w:rsidR="00C26EF5" w:rsidRDefault="00C26EF5">
            <w:pPr>
              <w:pStyle w:val="TableParagraph"/>
              <w:jc w:val="right"/>
              <w:rPr>
                <w:rFonts w:ascii="仿宋" w:eastAsia="仿宋" w:hAnsi="仿宋" w:cs="仿宋"/>
                <w:sz w:val="27"/>
              </w:rPr>
            </w:pPr>
          </w:p>
        </w:tc>
        <w:tc>
          <w:tcPr>
            <w:tcW w:w="3155" w:type="dxa"/>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金额单位：万元</w:t>
            </w:r>
          </w:p>
        </w:tc>
      </w:tr>
      <w:tr w:rsidR="00C26EF5">
        <w:trPr>
          <w:trHeight w:val="319"/>
        </w:trPr>
        <w:tc>
          <w:tcPr>
            <w:tcW w:w="6300" w:type="dxa"/>
            <w:gridSpan w:val="2"/>
            <w:tcBorders>
              <w:top w:val="single" w:sz="6" w:space="0" w:color="000000"/>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项目支出</w:t>
            </w:r>
          </w:p>
        </w:tc>
      </w:tr>
      <w:tr w:rsidR="00C26EF5">
        <w:trPr>
          <w:trHeight w:val="341"/>
        </w:trPr>
        <w:tc>
          <w:tcPr>
            <w:tcW w:w="1278"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功能分类</w:t>
            </w:r>
          </w:p>
          <w:p w:rsidR="00C26EF5" w:rsidRDefault="004C7F7C">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C26EF5" w:rsidRDefault="00C26EF5">
            <w:pPr>
              <w:rPr>
                <w:rFonts w:ascii="仿宋" w:eastAsia="仿宋" w:hAnsi="仿宋" w:cs="仿宋"/>
              </w:rPr>
            </w:pPr>
          </w:p>
        </w:tc>
        <w:tc>
          <w:tcPr>
            <w:tcW w:w="2778" w:type="dxa"/>
            <w:vMerge/>
            <w:tcBorders>
              <w:left w:val="single" w:sz="6" w:space="0" w:color="000000"/>
              <w:bottom w:val="single" w:sz="6" w:space="0" w:color="000000"/>
            </w:tcBorders>
          </w:tcPr>
          <w:p w:rsidR="00C26EF5" w:rsidRDefault="00C26EF5">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C26EF5" w:rsidRDefault="00C26EF5">
            <w:pPr>
              <w:rPr>
                <w:rFonts w:ascii="仿宋" w:eastAsia="仿宋" w:hAnsi="仿宋" w:cs="仿宋"/>
              </w:rPr>
            </w:pPr>
          </w:p>
        </w:tc>
      </w:tr>
      <w:tr w:rsidR="00C26EF5">
        <w:trPr>
          <w:trHeight w:val="275"/>
        </w:trPr>
        <w:tc>
          <w:tcPr>
            <w:tcW w:w="6300" w:type="dxa"/>
            <w:gridSpan w:val="2"/>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3</w:t>
            </w:r>
          </w:p>
        </w:tc>
      </w:tr>
      <w:tr w:rsidR="00C26EF5">
        <w:trPr>
          <w:trHeight w:hRule="exact" w:val="374"/>
        </w:trPr>
        <w:tc>
          <w:tcPr>
            <w:tcW w:w="6300" w:type="dxa"/>
            <w:gridSpan w:val="2"/>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C26EF5" w:rsidRDefault="004C7F7C">
            <w:pPr>
              <w:pStyle w:val="TableParagraph"/>
              <w:jc w:val="right"/>
              <w:rPr>
                <w:rFonts w:ascii="仿宋" w:eastAsia="仿宋" w:hAnsi="仿宋" w:cs="仿宋"/>
              </w:rPr>
            </w:pPr>
            <w:r>
              <w:rPr>
                <w:rFonts w:ascii="仿宋" w:eastAsia="仿宋" w:hAnsi="仿宋" w:cs="仿宋" w:hint="eastAsia"/>
              </w:rPr>
              <w:t>61,833.42</w:t>
            </w:r>
          </w:p>
        </w:tc>
        <w:tc>
          <w:tcPr>
            <w:tcW w:w="2778" w:type="dxa"/>
            <w:tcBorders>
              <w:left w:val="single" w:sz="6" w:space="0" w:color="000000"/>
              <w:bottom w:val="single" w:sz="6" w:space="0" w:color="000000"/>
            </w:tcBorders>
          </w:tcPr>
          <w:p w:rsidR="00C26EF5" w:rsidRDefault="004C7F7C">
            <w:pPr>
              <w:pStyle w:val="TableParagraph"/>
              <w:jc w:val="right"/>
              <w:rPr>
                <w:rFonts w:ascii="仿宋" w:eastAsia="仿宋" w:hAnsi="仿宋" w:cs="仿宋"/>
              </w:rPr>
            </w:pPr>
            <w:r>
              <w:rPr>
                <w:rFonts w:ascii="仿宋" w:eastAsia="仿宋" w:hAnsi="仿宋" w:cs="仿宋" w:hint="eastAsia"/>
              </w:rPr>
              <w:t>4,117.55</w:t>
            </w:r>
          </w:p>
        </w:tc>
        <w:tc>
          <w:tcPr>
            <w:tcW w:w="3155" w:type="dxa"/>
            <w:tcBorders>
              <w:left w:val="single" w:sz="6" w:space="0" w:color="000000"/>
              <w:bottom w:val="single" w:sz="6" w:space="0" w:color="000000"/>
              <w:right w:val="single" w:sz="6" w:space="0" w:color="000000"/>
            </w:tcBorders>
          </w:tcPr>
          <w:p w:rsidR="00C26EF5" w:rsidRDefault="004C7F7C">
            <w:pPr>
              <w:pStyle w:val="TableParagraph"/>
              <w:jc w:val="right"/>
              <w:rPr>
                <w:rFonts w:ascii="仿宋" w:eastAsia="仿宋" w:hAnsi="仿宋" w:cs="仿宋"/>
              </w:rPr>
            </w:pPr>
            <w:r>
              <w:rPr>
                <w:rFonts w:ascii="仿宋" w:eastAsia="仿宋" w:hAnsi="仿宋" w:cs="仿宋" w:hint="eastAsia"/>
              </w:rPr>
              <w:t>57,715.87</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科学技术支出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20604</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技术研究与开发</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2060499</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其他技术研究与开发支出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2080501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58.49</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58.49</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1.19</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1.19</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55.66</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55.66</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20.56</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20.56</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42.12</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42.12</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节能环保支出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60,674.38</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2,974.62</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57,699.76</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环境保护管理事务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55,863.08</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2,974.62</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52,888.46</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2110101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2,288.51</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2,288.51</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814.23</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814.23</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其他环境保护管理事务支出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52,760.34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686.11</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52,074.23</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21102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环境监测与监察</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2110299</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其他环境监测与监察支出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污染防治</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2110302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水体</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21104</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自然生态保护</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2110401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生态保护</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污染减排</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308.94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308.94</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生态环境执法监察</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287.47</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287.47</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2111199</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其他污染减排支出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21.47</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21.47</w:t>
            </w: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253.37</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253.37</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476.80</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476.80</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234.74</w:t>
            </w:r>
          </w:p>
        </w:tc>
        <w:tc>
          <w:tcPr>
            <w:tcW w:w="2778" w:type="dxa"/>
            <w:tcBorders>
              <w:top w:val="single" w:sz="6" w:space="0" w:color="000000"/>
              <w:left w:val="single" w:sz="4" w:space="0" w:color="000000"/>
              <w:bottom w:val="single" w:sz="6"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234.74</w:t>
            </w:r>
          </w:p>
        </w:tc>
        <w:tc>
          <w:tcPr>
            <w:tcW w:w="3155" w:type="dxa"/>
            <w:tcBorders>
              <w:top w:val="single" w:sz="6" w:space="0" w:color="000000"/>
              <w:left w:val="single" w:sz="4"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bl>
    <w:p w:rsidR="00C26EF5" w:rsidRDefault="004C7F7C">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C26EF5" w:rsidRDefault="00C26EF5">
      <w:pPr>
        <w:tabs>
          <w:tab w:val="left" w:pos="55"/>
        </w:tabs>
        <w:jc w:val="both"/>
        <w:rPr>
          <w:rFonts w:ascii="仿宋" w:eastAsia="仿宋" w:hAnsi="仿宋" w:cs="仿宋"/>
        </w:rPr>
        <w:sectPr w:rsidR="00C26EF5">
          <w:footerReference w:type="default" r:id="rId19"/>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C26EF5">
        <w:trPr>
          <w:trHeight w:val="319"/>
        </w:trPr>
        <w:tc>
          <w:tcPr>
            <w:tcW w:w="10515" w:type="dxa"/>
            <w:gridSpan w:val="5"/>
            <w:vAlign w:val="center"/>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C26EF5">
        <w:trPr>
          <w:trHeight w:val="319"/>
        </w:trPr>
        <w:tc>
          <w:tcPr>
            <w:tcW w:w="4532" w:type="dxa"/>
            <w:gridSpan w:val="2"/>
          </w:tcPr>
          <w:p w:rsidR="00C26EF5" w:rsidRDefault="00C26EF5">
            <w:pPr>
              <w:pStyle w:val="TableParagraph"/>
              <w:rPr>
                <w:rFonts w:ascii="仿宋" w:eastAsia="仿宋" w:hAnsi="仿宋" w:cs="仿宋"/>
                <w:sz w:val="20"/>
              </w:rPr>
            </w:pPr>
          </w:p>
        </w:tc>
        <w:tc>
          <w:tcPr>
            <w:tcW w:w="2047" w:type="dxa"/>
          </w:tcPr>
          <w:p w:rsidR="00C26EF5" w:rsidRDefault="00C26EF5">
            <w:pPr>
              <w:pStyle w:val="TableParagraph"/>
              <w:rPr>
                <w:rFonts w:ascii="仿宋" w:eastAsia="仿宋" w:hAnsi="仿宋" w:cs="仿宋"/>
                <w:sz w:val="20"/>
              </w:rPr>
            </w:pPr>
          </w:p>
        </w:tc>
        <w:tc>
          <w:tcPr>
            <w:tcW w:w="2040" w:type="dxa"/>
          </w:tcPr>
          <w:p w:rsidR="00C26EF5" w:rsidRDefault="00C26EF5">
            <w:pPr>
              <w:pStyle w:val="TableParagraph"/>
              <w:rPr>
                <w:rFonts w:ascii="仿宋" w:eastAsia="仿宋" w:hAnsi="仿宋" w:cs="仿宋"/>
                <w:sz w:val="20"/>
              </w:rPr>
            </w:pPr>
          </w:p>
        </w:tc>
        <w:tc>
          <w:tcPr>
            <w:tcW w:w="1896" w:type="dxa"/>
            <w:vAlign w:val="center"/>
          </w:tcPr>
          <w:p w:rsidR="00C26EF5" w:rsidRDefault="004C7F7C">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C26EF5">
        <w:trPr>
          <w:trHeight w:val="319"/>
        </w:trPr>
        <w:tc>
          <w:tcPr>
            <w:tcW w:w="8619" w:type="dxa"/>
            <w:gridSpan w:val="4"/>
          </w:tcPr>
          <w:p w:rsidR="00C26EF5" w:rsidRDefault="004C7F7C">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1896" w:type="dxa"/>
            <w:vAlign w:val="center"/>
          </w:tcPr>
          <w:p w:rsidR="00C26EF5" w:rsidRDefault="004C7F7C">
            <w:pPr>
              <w:pStyle w:val="TableParagraph"/>
              <w:jc w:val="right"/>
              <w:rPr>
                <w:rFonts w:ascii="仿宋" w:eastAsia="仿宋" w:hAnsi="仿宋" w:cs="仿宋"/>
                <w:sz w:val="20"/>
              </w:rPr>
            </w:pPr>
            <w:r>
              <w:rPr>
                <w:rFonts w:ascii="仿宋" w:eastAsia="仿宋" w:hAnsi="仿宋" w:cs="仿宋" w:hint="eastAsia"/>
              </w:rPr>
              <w:t>金额单位：万元</w:t>
            </w:r>
          </w:p>
        </w:tc>
      </w:tr>
      <w:tr w:rsidR="00C26EF5">
        <w:trPr>
          <w:trHeight w:val="243"/>
        </w:trPr>
        <w:tc>
          <w:tcPr>
            <w:tcW w:w="4532" w:type="dxa"/>
            <w:gridSpan w:val="2"/>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sz w:val="20"/>
              </w:rPr>
            </w:pPr>
            <w:r>
              <w:rPr>
                <w:rFonts w:ascii="仿宋" w:eastAsia="仿宋" w:hAnsi="仿宋" w:cs="仿宋" w:hint="eastAsia"/>
              </w:rPr>
              <w:t>财政拨款基本支出</w:t>
            </w:r>
          </w:p>
        </w:tc>
      </w:tr>
      <w:tr w:rsidR="00C26EF5">
        <w:trPr>
          <w:trHeight w:val="483"/>
        </w:trPr>
        <w:tc>
          <w:tcPr>
            <w:tcW w:w="99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公用经费</w:t>
            </w:r>
          </w:p>
        </w:tc>
      </w:tr>
      <w:tr w:rsidR="00C26EF5">
        <w:trPr>
          <w:trHeight w:hRule="exact" w:val="409"/>
        </w:trPr>
        <w:tc>
          <w:tcPr>
            <w:tcW w:w="4532"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4,117.55</w:t>
            </w:r>
          </w:p>
        </w:tc>
        <w:tc>
          <w:tcPr>
            <w:tcW w:w="2040"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3,992.99</w:t>
            </w:r>
          </w:p>
        </w:tc>
        <w:tc>
          <w:tcPr>
            <w:tcW w:w="1896"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124.56</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3,768.35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3,768.35</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467.64</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467.64</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1,267.13</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1,267.13</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728.76</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728.76</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206.18</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206.18</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191.39</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191.39</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113.92</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113.92</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87.12</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87.12</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43.25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43.25</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2.65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2.65</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420.06</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420.06</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240.23</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240.23</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122.56</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122.56</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16.23</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16.23</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0.63</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0.63</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0.90</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11.89</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11.89</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0.30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0.30</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1.95</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0.05</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0.18</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0.18</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15.98</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15.98</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0.43</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0.43</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0.10</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15.88</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15.88</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1.77</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1.77</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2.84</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2.84</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1.84</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1.84</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0.98</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0.98</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39.30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39.30</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4.75</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0.08</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0.08</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6.47</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6.47</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224.65</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224.65</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20.33</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20.33</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189.54</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189.54</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5.70</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1.37</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1.37</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7.71</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7.71</w:t>
            </w: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39906</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bl>
    <w:p w:rsidR="00C26EF5" w:rsidRDefault="004C7F7C">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C26EF5" w:rsidRDefault="00C26EF5">
      <w:pPr>
        <w:spacing w:line="255" w:lineRule="exact"/>
        <w:jc w:val="both"/>
        <w:rPr>
          <w:rFonts w:ascii="仿宋" w:eastAsia="仿宋" w:hAnsi="仿宋" w:cs="仿宋"/>
        </w:rPr>
        <w:sectPr w:rsidR="00C26EF5">
          <w:footerReference w:type="default" r:id="rId20"/>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C26EF5">
        <w:trPr>
          <w:trHeight w:val="560"/>
        </w:trPr>
        <w:tc>
          <w:tcPr>
            <w:tcW w:w="10446" w:type="dxa"/>
            <w:gridSpan w:val="5"/>
            <w:vAlign w:val="center"/>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C26EF5">
        <w:trPr>
          <w:trHeight w:val="147"/>
        </w:trPr>
        <w:tc>
          <w:tcPr>
            <w:tcW w:w="5466" w:type="dxa"/>
            <w:gridSpan w:val="2"/>
          </w:tcPr>
          <w:p w:rsidR="00C26EF5" w:rsidRDefault="00C26EF5">
            <w:pPr>
              <w:pStyle w:val="TableParagraph"/>
              <w:rPr>
                <w:rFonts w:ascii="仿宋" w:eastAsia="仿宋" w:hAnsi="仿宋" w:cs="仿宋"/>
                <w:sz w:val="20"/>
              </w:rPr>
            </w:pPr>
          </w:p>
        </w:tc>
        <w:tc>
          <w:tcPr>
            <w:tcW w:w="1969" w:type="dxa"/>
          </w:tcPr>
          <w:p w:rsidR="00C26EF5" w:rsidRDefault="00C26EF5">
            <w:pPr>
              <w:pStyle w:val="TableParagraph"/>
              <w:rPr>
                <w:rFonts w:ascii="仿宋" w:eastAsia="仿宋" w:hAnsi="仿宋" w:cs="仿宋"/>
                <w:sz w:val="20"/>
              </w:rPr>
            </w:pPr>
          </w:p>
        </w:tc>
        <w:tc>
          <w:tcPr>
            <w:tcW w:w="1499" w:type="dxa"/>
          </w:tcPr>
          <w:p w:rsidR="00C26EF5" w:rsidRDefault="00C26EF5">
            <w:pPr>
              <w:pStyle w:val="TableParagraph"/>
              <w:rPr>
                <w:rFonts w:ascii="仿宋" w:eastAsia="仿宋" w:hAnsi="仿宋" w:cs="仿宋"/>
                <w:sz w:val="20"/>
              </w:rPr>
            </w:pPr>
          </w:p>
        </w:tc>
        <w:tc>
          <w:tcPr>
            <w:tcW w:w="1512" w:type="dxa"/>
            <w:vAlign w:val="center"/>
          </w:tcPr>
          <w:p w:rsidR="00C26EF5" w:rsidRDefault="004C7F7C">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C26EF5">
        <w:trPr>
          <w:trHeight w:val="303"/>
        </w:trPr>
        <w:tc>
          <w:tcPr>
            <w:tcW w:w="7435" w:type="dxa"/>
            <w:gridSpan w:val="3"/>
          </w:tcPr>
          <w:p w:rsidR="00C26EF5" w:rsidRDefault="004C7F7C">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3011" w:type="dxa"/>
            <w:gridSpan w:val="2"/>
          </w:tcPr>
          <w:p w:rsidR="00C26EF5" w:rsidRDefault="004C7F7C">
            <w:pPr>
              <w:pStyle w:val="TableParagraph"/>
              <w:jc w:val="right"/>
              <w:rPr>
                <w:rFonts w:ascii="仿宋" w:eastAsia="仿宋" w:hAnsi="仿宋" w:cs="仿宋"/>
              </w:rPr>
            </w:pPr>
            <w:r>
              <w:rPr>
                <w:rFonts w:ascii="仿宋" w:eastAsia="仿宋" w:hAnsi="仿宋" w:cs="仿宋" w:hint="eastAsia"/>
              </w:rPr>
              <w:t>金额单位：万元</w:t>
            </w:r>
          </w:p>
        </w:tc>
      </w:tr>
      <w:tr w:rsidR="00C26EF5">
        <w:trPr>
          <w:trHeight w:val="158"/>
        </w:trPr>
        <w:tc>
          <w:tcPr>
            <w:tcW w:w="5466" w:type="dxa"/>
            <w:gridSpan w:val="2"/>
            <w:tcBorders>
              <w:top w:val="single" w:sz="6" w:space="0" w:color="000000"/>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项目支出</w:t>
            </w:r>
          </w:p>
        </w:tc>
      </w:tr>
      <w:tr w:rsidR="00C26EF5">
        <w:trPr>
          <w:trHeight w:val="561"/>
        </w:trPr>
        <w:tc>
          <w:tcPr>
            <w:tcW w:w="1134"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C26EF5" w:rsidRDefault="00C26EF5">
            <w:pPr>
              <w:rPr>
                <w:rFonts w:ascii="仿宋" w:eastAsia="仿宋" w:hAnsi="仿宋" w:cs="仿宋"/>
                <w:sz w:val="2"/>
                <w:szCs w:val="2"/>
              </w:rPr>
            </w:pPr>
          </w:p>
        </w:tc>
        <w:tc>
          <w:tcPr>
            <w:tcW w:w="1499" w:type="dxa"/>
            <w:vMerge/>
            <w:tcBorders>
              <w:left w:val="single" w:sz="6" w:space="0" w:color="000000"/>
              <w:bottom w:val="single" w:sz="6" w:space="0" w:color="000000"/>
            </w:tcBorders>
          </w:tcPr>
          <w:p w:rsidR="00C26EF5" w:rsidRDefault="00C26EF5">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C26EF5" w:rsidRDefault="00C26EF5">
            <w:pPr>
              <w:rPr>
                <w:rFonts w:ascii="仿宋" w:eastAsia="仿宋" w:hAnsi="仿宋" w:cs="仿宋"/>
                <w:sz w:val="2"/>
                <w:szCs w:val="2"/>
              </w:rPr>
            </w:pPr>
          </w:p>
        </w:tc>
      </w:tr>
      <w:tr w:rsidR="00C26EF5">
        <w:trPr>
          <w:trHeight w:val="152"/>
        </w:trPr>
        <w:tc>
          <w:tcPr>
            <w:tcW w:w="5466" w:type="dxa"/>
            <w:gridSpan w:val="2"/>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3</w:t>
            </w:r>
          </w:p>
        </w:tc>
      </w:tr>
      <w:tr w:rsidR="00C26EF5">
        <w:trPr>
          <w:trHeight w:hRule="exact" w:val="298"/>
        </w:trPr>
        <w:tc>
          <w:tcPr>
            <w:tcW w:w="5466" w:type="dxa"/>
            <w:gridSpan w:val="2"/>
            <w:tcBorders>
              <w:left w:val="single" w:sz="6" w:space="0" w:color="000000"/>
              <w:bottom w:val="single" w:sz="6" w:space="0" w:color="000000"/>
            </w:tcBorders>
            <w:vAlign w:val="center"/>
          </w:tcPr>
          <w:p w:rsidR="00C26EF5" w:rsidRDefault="004C7F7C">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61,833.42</w:t>
            </w:r>
          </w:p>
        </w:tc>
        <w:tc>
          <w:tcPr>
            <w:tcW w:w="1499" w:type="dxa"/>
            <w:tcBorders>
              <w:left w:val="single" w:sz="6" w:space="0" w:color="000000"/>
              <w:bottom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4,117.55</w:t>
            </w:r>
          </w:p>
        </w:tc>
        <w:tc>
          <w:tcPr>
            <w:tcW w:w="1512" w:type="dxa"/>
            <w:tcBorders>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57,715.87</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科学技术支出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20604</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技术研究与开发</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2060499</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其他技术研究与开发支出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16.11</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59.68</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2080501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58.49</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58.49</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2080502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1.19</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1.19</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118.34</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55.66</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55.66</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20.56</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20.56</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42.12</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42.12</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节能环保支出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60,674.38</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2,974.62</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57,699.76</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环境保护管理事务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55,863.08</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2,974.62</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52,888.46</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2110101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2,288.51</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2,288.51</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814.23</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814.23</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其他环境保护管理事务支出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52,760.34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686.11</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52,074.23</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环境监测与监察</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2110299</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其他环境监测与监察支出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72.84</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污染防治</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2110302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水体</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1,166.08</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21104</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自然生态保护</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2110401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生态保护</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3,263.44</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污染减排</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308.94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308.94</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生态环境执法监察</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287.47</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287.47</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2111199</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其他污染减排支出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21.47</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21.47</w:t>
            </w: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964.91</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253.37</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253.37</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476.80</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476.80</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234.74</w:t>
            </w:r>
          </w:p>
        </w:tc>
        <w:tc>
          <w:tcPr>
            <w:tcW w:w="1499" w:type="dxa"/>
            <w:tcBorders>
              <w:top w:val="single" w:sz="6" w:space="0" w:color="000000"/>
              <w:left w:val="single" w:sz="6" w:space="0" w:color="000000"/>
              <w:bottom w:val="single" w:sz="6" w:space="0" w:color="000000"/>
              <w:right w:val="single" w:sz="6"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234.74</w:t>
            </w:r>
          </w:p>
        </w:tc>
        <w:tc>
          <w:tcPr>
            <w:tcW w:w="1512" w:type="dxa"/>
            <w:tcBorders>
              <w:top w:val="single" w:sz="6" w:space="0" w:color="000000"/>
              <w:left w:val="single" w:sz="6" w:space="0" w:color="000000"/>
              <w:bottom w:val="single" w:sz="6" w:space="0" w:color="000000"/>
              <w:right w:val="single" w:sz="6" w:space="0" w:color="000000"/>
            </w:tcBorders>
            <w:vAlign w:val="center"/>
          </w:tcPr>
          <w:p w:rsidR="00C26EF5" w:rsidRDefault="00C26EF5">
            <w:pPr>
              <w:pStyle w:val="TableParagraph"/>
              <w:jc w:val="right"/>
              <w:rPr>
                <w:rFonts w:ascii="仿宋" w:eastAsia="仿宋" w:hAnsi="仿宋" w:cs="仿宋"/>
              </w:rPr>
            </w:pPr>
          </w:p>
        </w:tc>
      </w:tr>
    </w:tbl>
    <w:p w:rsidR="00C26EF5" w:rsidRDefault="004C7F7C">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C26EF5" w:rsidRDefault="00C26EF5">
      <w:pPr>
        <w:spacing w:before="25"/>
        <w:jc w:val="both"/>
        <w:rPr>
          <w:rFonts w:ascii="仿宋" w:eastAsia="仿宋" w:hAnsi="仿宋" w:cs="仿宋"/>
        </w:rPr>
        <w:sectPr w:rsidR="00C26EF5">
          <w:footerReference w:type="default" r:id="rId21"/>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C26EF5">
        <w:trPr>
          <w:trHeight w:val="319"/>
        </w:trPr>
        <w:tc>
          <w:tcPr>
            <w:tcW w:w="10473" w:type="dxa"/>
            <w:gridSpan w:val="5"/>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C26EF5">
        <w:trPr>
          <w:trHeight w:val="199"/>
        </w:trPr>
        <w:tc>
          <w:tcPr>
            <w:tcW w:w="8595" w:type="dxa"/>
            <w:gridSpan w:val="4"/>
            <w:vAlign w:val="center"/>
          </w:tcPr>
          <w:p w:rsidR="00C26EF5" w:rsidRDefault="00C26EF5">
            <w:pPr>
              <w:pStyle w:val="TableParagraph"/>
              <w:jc w:val="right"/>
              <w:rPr>
                <w:rFonts w:ascii="仿宋" w:eastAsia="仿宋" w:hAnsi="仿宋" w:cs="仿宋"/>
                <w:color w:val="000000"/>
              </w:rPr>
            </w:pPr>
          </w:p>
        </w:tc>
        <w:tc>
          <w:tcPr>
            <w:tcW w:w="1878" w:type="dxa"/>
            <w:vAlign w:val="center"/>
          </w:tcPr>
          <w:p w:rsidR="00C26EF5" w:rsidRDefault="004C7F7C">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C26EF5">
        <w:trPr>
          <w:trHeight w:val="320"/>
        </w:trPr>
        <w:tc>
          <w:tcPr>
            <w:tcW w:w="8595" w:type="dxa"/>
            <w:gridSpan w:val="4"/>
            <w:vAlign w:val="center"/>
          </w:tcPr>
          <w:p w:rsidR="00C26EF5" w:rsidRDefault="004C7F7C">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1878" w:type="dxa"/>
            <w:vAlign w:val="center"/>
          </w:tcPr>
          <w:p w:rsidR="00C26EF5" w:rsidRDefault="004C7F7C">
            <w:pPr>
              <w:pStyle w:val="TableParagraph"/>
              <w:jc w:val="right"/>
              <w:rPr>
                <w:rFonts w:ascii="仿宋" w:eastAsia="仿宋" w:hAnsi="仿宋" w:cs="仿宋"/>
                <w:sz w:val="20"/>
              </w:rPr>
            </w:pPr>
            <w:r>
              <w:rPr>
                <w:rFonts w:ascii="仿宋" w:eastAsia="仿宋" w:hAnsi="仿宋" w:cs="仿宋" w:hint="eastAsia"/>
              </w:rPr>
              <w:t>金额单位：万元</w:t>
            </w:r>
          </w:p>
        </w:tc>
      </w:tr>
      <w:tr w:rsidR="00C26EF5">
        <w:trPr>
          <w:trHeight w:val="180"/>
        </w:trPr>
        <w:tc>
          <w:tcPr>
            <w:tcW w:w="4687" w:type="dxa"/>
            <w:gridSpan w:val="2"/>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C26EF5">
        <w:trPr>
          <w:trHeight w:val="474"/>
        </w:trPr>
        <w:tc>
          <w:tcPr>
            <w:tcW w:w="1121"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公用经费</w:t>
            </w:r>
          </w:p>
        </w:tc>
      </w:tr>
      <w:tr w:rsidR="00C26EF5">
        <w:trPr>
          <w:trHeight w:hRule="exact" w:val="394"/>
        </w:trPr>
        <w:tc>
          <w:tcPr>
            <w:tcW w:w="4687"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4,117.55</w:t>
            </w:r>
          </w:p>
        </w:tc>
        <w:tc>
          <w:tcPr>
            <w:tcW w:w="1708"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3,992.99</w:t>
            </w:r>
          </w:p>
        </w:tc>
        <w:tc>
          <w:tcPr>
            <w:tcW w:w="1878"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124.56</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3,768.35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3,768.35</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467.64</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467.64</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1,267.13</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1,267.13</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728.76</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728.76</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206.18</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206.18</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191.39</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191.39</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113.92</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113.92</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87.12</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87.12</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43.25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43.25</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2.65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2.65</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420.06</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420.06</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240.23</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240.23</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122.56</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122.56</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16.23</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16.23</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0.63</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0.63</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0.90</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11.89</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11.89</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0.30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0.30</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1.95</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0.05</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0.18</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0.18</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15.98</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15.98</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0.43</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0.43</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0.10</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15.88</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15.88</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1.77</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1.77</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2.84</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2.84</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1.84</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1.84</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0.98</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0.98</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39.30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39.30</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4.75</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0.08</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0.08</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6.47</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6.47</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224.65</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224.65</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20.33</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20.33</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189.54</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189.54</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5.70</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1.37</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1.37</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7.71</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7.71</w:t>
            </w: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2.00</w:t>
            </w: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39906</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bl>
    <w:p w:rsidR="00C26EF5" w:rsidRDefault="004C7F7C">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C26EF5" w:rsidRDefault="00C26EF5">
      <w:pPr>
        <w:spacing w:before="25"/>
        <w:jc w:val="both"/>
        <w:rPr>
          <w:rFonts w:ascii="仿宋" w:eastAsia="仿宋" w:hAnsi="仿宋" w:cs="仿宋"/>
        </w:rPr>
        <w:sectPr w:rsidR="00C26EF5">
          <w:footerReference w:type="default" r:id="rId22"/>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C26EF5">
        <w:trPr>
          <w:trHeight w:val="321"/>
        </w:trPr>
        <w:tc>
          <w:tcPr>
            <w:tcW w:w="16486" w:type="dxa"/>
            <w:gridSpan w:val="16"/>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一般公共预算“三公”经费、会议费、培训费支出决算表</w:t>
            </w:r>
          </w:p>
        </w:tc>
      </w:tr>
      <w:tr w:rsidR="00C26EF5">
        <w:trPr>
          <w:trHeight w:val="207"/>
        </w:trPr>
        <w:tc>
          <w:tcPr>
            <w:tcW w:w="16486" w:type="dxa"/>
            <w:gridSpan w:val="16"/>
          </w:tcPr>
          <w:p w:rsidR="00C26EF5" w:rsidRDefault="004C7F7C">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C26EF5">
        <w:trPr>
          <w:trHeight w:val="103"/>
        </w:trPr>
        <w:tc>
          <w:tcPr>
            <w:tcW w:w="8212" w:type="dxa"/>
            <w:gridSpan w:val="8"/>
            <w:tcBorders>
              <w:bottom w:val="single" w:sz="4" w:space="0" w:color="auto"/>
            </w:tcBorders>
          </w:tcPr>
          <w:p w:rsidR="00C26EF5" w:rsidRDefault="004C7F7C">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8274" w:type="dxa"/>
            <w:gridSpan w:val="8"/>
            <w:tcBorders>
              <w:bottom w:val="single" w:sz="4" w:space="0" w:color="auto"/>
            </w:tcBorders>
          </w:tcPr>
          <w:p w:rsidR="00C26EF5" w:rsidRDefault="004C7F7C">
            <w:pPr>
              <w:pStyle w:val="TableParagraph"/>
              <w:jc w:val="right"/>
              <w:rPr>
                <w:rFonts w:ascii="仿宋" w:eastAsia="仿宋" w:hAnsi="仿宋" w:cs="仿宋"/>
              </w:rPr>
            </w:pPr>
            <w:r>
              <w:rPr>
                <w:rFonts w:ascii="仿宋" w:eastAsia="仿宋" w:hAnsi="仿宋" w:cs="仿宋" w:hint="eastAsia"/>
              </w:rPr>
              <w:t>金额单位：万元</w:t>
            </w:r>
          </w:p>
        </w:tc>
      </w:tr>
      <w:tr w:rsidR="00C26EF5">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C26EF5" w:rsidRDefault="004C7F7C">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C26EF5" w:rsidRDefault="004C7F7C">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C26EF5">
        <w:trPr>
          <w:trHeight w:val="179"/>
        </w:trPr>
        <w:tc>
          <w:tcPr>
            <w:tcW w:w="6159" w:type="dxa"/>
            <w:gridSpan w:val="6"/>
            <w:tcBorders>
              <w:top w:val="single" w:sz="4" w:space="0" w:color="auto"/>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培训费</w:t>
            </w:r>
          </w:p>
        </w:tc>
      </w:tr>
      <w:tr w:rsidR="00C26EF5">
        <w:trPr>
          <w:trHeight w:val="297"/>
        </w:trPr>
        <w:tc>
          <w:tcPr>
            <w:tcW w:w="1044" w:type="dxa"/>
            <w:vMerge w:val="restart"/>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w:t>
            </w:r>
          </w:p>
          <w:p w:rsidR="00C26EF5" w:rsidRDefault="004C7F7C">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C26EF5" w:rsidRDefault="00C26EF5">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C26EF5" w:rsidRDefault="00C26EF5">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C26EF5" w:rsidRDefault="004C7F7C">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C26EF5" w:rsidRDefault="004C7F7C">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w:t>
            </w:r>
          </w:p>
          <w:p w:rsidR="00C26EF5" w:rsidRDefault="004C7F7C">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C26EF5" w:rsidRDefault="00C26EF5">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C26EF5" w:rsidRDefault="00C26EF5">
            <w:pPr>
              <w:jc w:val="center"/>
              <w:rPr>
                <w:rFonts w:ascii="仿宋" w:eastAsia="仿宋" w:hAnsi="仿宋" w:cs="仿宋"/>
                <w:sz w:val="20"/>
              </w:rPr>
            </w:pPr>
          </w:p>
        </w:tc>
      </w:tr>
      <w:tr w:rsidR="00C26EF5">
        <w:trPr>
          <w:trHeight w:hRule="exact" w:val="621"/>
        </w:trPr>
        <w:tc>
          <w:tcPr>
            <w:tcW w:w="1044" w:type="dxa"/>
            <w:vMerge/>
            <w:tcBorders>
              <w:left w:val="single" w:sz="4" w:space="0" w:color="000000"/>
              <w:bottom w:val="single" w:sz="4" w:space="0" w:color="000000"/>
            </w:tcBorders>
          </w:tcPr>
          <w:p w:rsidR="00C26EF5" w:rsidRDefault="00C26EF5">
            <w:pPr>
              <w:rPr>
                <w:rFonts w:ascii="仿宋" w:eastAsia="仿宋" w:hAnsi="仿宋" w:cs="仿宋"/>
                <w:sz w:val="2"/>
                <w:szCs w:val="2"/>
              </w:rPr>
            </w:pPr>
          </w:p>
        </w:tc>
        <w:tc>
          <w:tcPr>
            <w:tcW w:w="1042" w:type="dxa"/>
            <w:vMerge/>
            <w:tcBorders>
              <w:left w:val="single" w:sz="4" w:space="0" w:color="000000"/>
              <w:bottom w:val="single" w:sz="4" w:space="0" w:color="000000"/>
            </w:tcBorders>
          </w:tcPr>
          <w:p w:rsidR="00C26EF5" w:rsidRDefault="00C26EF5">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C26EF5" w:rsidRDefault="00C26EF5">
            <w:pPr>
              <w:rPr>
                <w:rFonts w:ascii="仿宋" w:eastAsia="仿宋" w:hAnsi="仿宋" w:cs="仿宋"/>
                <w:sz w:val="2"/>
                <w:szCs w:val="2"/>
              </w:rPr>
            </w:pPr>
          </w:p>
        </w:tc>
        <w:tc>
          <w:tcPr>
            <w:tcW w:w="1043" w:type="dxa"/>
            <w:vMerge/>
            <w:tcBorders>
              <w:left w:val="single" w:sz="4" w:space="0" w:color="000000"/>
              <w:bottom w:val="single" w:sz="4" w:space="0" w:color="000000"/>
            </w:tcBorders>
          </w:tcPr>
          <w:p w:rsidR="00C26EF5" w:rsidRDefault="00C26EF5">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sz w:val="2"/>
                <w:szCs w:val="2"/>
              </w:rPr>
            </w:pPr>
          </w:p>
        </w:tc>
      </w:tr>
      <w:tr w:rsidR="00C26EF5">
        <w:trPr>
          <w:cantSplit/>
          <w:trHeight w:val="380"/>
        </w:trPr>
        <w:tc>
          <w:tcPr>
            <w:tcW w:w="1044"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3.80</w:t>
            </w:r>
          </w:p>
        </w:tc>
        <w:tc>
          <w:tcPr>
            <w:tcW w:w="1042"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3.80</w:t>
            </w:r>
          </w:p>
        </w:tc>
        <w:tc>
          <w:tcPr>
            <w:tcW w:w="1043" w:type="dxa"/>
            <w:tcBorders>
              <w:left w:val="single" w:sz="4" w:space="0" w:color="000000"/>
              <w:bottom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20.59</w:t>
            </w:r>
          </w:p>
        </w:tc>
        <w:tc>
          <w:tcPr>
            <w:tcW w:w="1010"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6.47</w:t>
            </w:r>
          </w:p>
        </w:tc>
        <w:tc>
          <w:tcPr>
            <w:tcW w:w="1058"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3.07</w:t>
            </w:r>
          </w:p>
        </w:tc>
        <w:tc>
          <w:tcPr>
            <w:tcW w:w="1010"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3.07</w:t>
            </w:r>
          </w:p>
        </w:tc>
        <w:tc>
          <w:tcPr>
            <w:tcW w:w="1057"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18.91</w:t>
            </w:r>
          </w:p>
        </w:tc>
        <w:tc>
          <w:tcPr>
            <w:tcW w:w="1027"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sz w:val="18"/>
                <w:szCs w:val="18"/>
              </w:rPr>
            </w:pPr>
            <w:r>
              <w:rPr>
                <w:rFonts w:ascii="仿宋" w:eastAsia="仿宋" w:hAnsi="仿宋" w:cs="仿宋" w:hint="eastAsia"/>
                <w:sz w:val="18"/>
                <w:szCs w:val="18"/>
              </w:rPr>
              <w:t>3.84</w:t>
            </w:r>
          </w:p>
        </w:tc>
      </w:tr>
    </w:tbl>
    <w:p w:rsidR="00C26EF5" w:rsidRDefault="004C7F7C">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C26EF5">
        <w:trPr>
          <w:cantSplit/>
          <w:trHeight w:val="214"/>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统计数</w:t>
            </w:r>
          </w:p>
        </w:tc>
      </w:tr>
      <w:tr w:rsidR="00C26EF5">
        <w:trPr>
          <w:cantSplit/>
          <w:trHeight w:val="190"/>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0</w:t>
            </w:r>
          </w:p>
        </w:tc>
      </w:tr>
      <w:tr w:rsidR="00C26EF5">
        <w:trPr>
          <w:cantSplit/>
          <w:trHeight w:val="190"/>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0</w:t>
            </w:r>
          </w:p>
        </w:tc>
      </w:tr>
      <w:tr w:rsidR="00C26EF5">
        <w:trPr>
          <w:cantSplit/>
          <w:trHeight w:val="190"/>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21</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273</w:t>
            </w:r>
          </w:p>
        </w:tc>
      </w:tr>
      <w:tr w:rsidR="00C26EF5">
        <w:trPr>
          <w:cantSplit/>
          <w:trHeight w:val="190"/>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0</w:t>
            </w:r>
          </w:p>
        </w:tc>
      </w:tr>
      <w:tr w:rsidR="00C26EF5">
        <w:trPr>
          <w:cantSplit/>
          <w:trHeight w:val="190"/>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81</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1,356</w:t>
            </w:r>
          </w:p>
        </w:tc>
      </w:tr>
      <w:tr w:rsidR="00C26EF5">
        <w:trPr>
          <w:cantSplit/>
          <w:trHeight w:val="190"/>
        </w:trPr>
        <w:tc>
          <w:tcPr>
            <w:tcW w:w="4028" w:type="dxa"/>
            <w:tcBorders>
              <w:top w:val="single" w:sz="4" w:space="0" w:color="auto"/>
              <w:left w:val="single" w:sz="4" w:space="0" w:color="auto"/>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w:t>
            </w:r>
          </w:p>
        </w:tc>
        <w:tc>
          <w:tcPr>
            <w:tcW w:w="3908" w:type="dxa"/>
            <w:tcBorders>
              <w:top w:val="single" w:sz="4" w:space="0" w:color="auto"/>
              <w:left w:val="single" w:sz="4" w:space="0" w:color="000000"/>
              <w:bottom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16</w:t>
            </w:r>
          </w:p>
        </w:tc>
      </w:tr>
    </w:tbl>
    <w:p w:rsidR="00C26EF5" w:rsidRDefault="004C7F7C">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ascii="仿宋" w:eastAsia="仿宋" w:hAnsi="仿宋" w:cs="仿宋" w:hint="eastAsia"/>
        </w:rPr>
        <w:t>。</w:t>
      </w:r>
    </w:p>
    <w:p w:rsidR="00C26EF5" w:rsidRDefault="00C26EF5">
      <w:pPr>
        <w:ind w:left="227" w:firstLineChars="100" w:firstLine="220"/>
        <w:jc w:val="both"/>
        <w:rPr>
          <w:rFonts w:ascii="仿宋" w:eastAsia="仿宋" w:hAnsi="仿宋" w:cs="仿宋"/>
        </w:rPr>
        <w:sectPr w:rsidR="00C26EF5">
          <w:footerReference w:type="default" r:id="rId23"/>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C26EF5">
        <w:trPr>
          <w:trHeight w:val="395"/>
        </w:trPr>
        <w:tc>
          <w:tcPr>
            <w:tcW w:w="15400" w:type="dxa"/>
            <w:gridSpan w:val="5"/>
            <w:vAlign w:val="center"/>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C26EF5">
        <w:trPr>
          <w:trHeight w:val="323"/>
        </w:trPr>
        <w:tc>
          <w:tcPr>
            <w:tcW w:w="8426" w:type="dxa"/>
            <w:gridSpan w:val="2"/>
          </w:tcPr>
          <w:p w:rsidR="00C26EF5" w:rsidRDefault="00C26EF5">
            <w:pPr>
              <w:pStyle w:val="TableParagraph"/>
              <w:rPr>
                <w:rFonts w:ascii="仿宋" w:eastAsia="仿宋" w:hAnsi="仿宋" w:cs="仿宋"/>
                <w:sz w:val="20"/>
              </w:rPr>
            </w:pPr>
          </w:p>
        </w:tc>
        <w:tc>
          <w:tcPr>
            <w:tcW w:w="2684" w:type="dxa"/>
          </w:tcPr>
          <w:p w:rsidR="00C26EF5" w:rsidRDefault="00C26EF5">
            <w:pPr>
              <w:pStyle w:val="TableParagraph"/>
              <w:rPr>
                <w:rFonts w:ascii="仿宋" w:eastAsia="仿宋" w:hAnsi="仿宋" w:cs="仿宋"/>
                <w:sz w:val="27"/>
              </w:rPr>
            </w:pPr>
          </w:p>
        </w:tc>
        <w:tc>
          <w:tcPr>
            <w:tcW w:w="2432" w:type="dxa"/>
          </w:tcPr>
          <w:p w:rsidR="00C26EF5" w:rsidRDefault="00C26EF5">
            <w:pPr>
              <w:pStyle w:val="TableParagraph"/>
              <w:rPr>
                <w:rFonts w:ascii="仿宋" w:eastAsia="仿宋" w:hAnsi="仿宋" w:cs="仿宋"/>
                <w:sz w:val="20"/>
              </w:rPr>
            </w:pPr>
          </w:p>
        </w:tc>
        <w:tc>
          <w:tcPr>
            <w:tcW w:w="1858" w:type="dxa"/>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C26EF5">
        <w:trPr>
          <w:trHeight w:val="152"/>
        </w:trPr>
        <w:tc>
          <w:tcPr>
            <w:tcW w:w="13542" w:type="dxa"/>
            <w:gridSpan w:val="4"/>
            <w:vAlign w:val="center"/>
          </w:tcPr>
          <w:p w:rsidR="00C26EF5" w:rsidRDefault="004C7F7C">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1858" w:type="dxa"/>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金额单位：万元</w:t>
            </w:r>
          </w:p>
        </w:tc>
      </w:tr>
      <w:tr w:rsidR="00C26EF5">
        <w:trPr>
          <w:trHeight w:val="267"/>
        </w:trPr>
        <w:tc>
          <w:tcPr>
            <w:tcW w:w="8426" w:type="dxa"/>
            <w:gridSpan w:val="2"/>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项目支出</w:t>
            </w:r>
          </w:p>
        </w:tc>
      </w:tr>
      <w:tr w:rsidR="00C26EF5">
        <w:trPr>
          <w:trHeight w:val="427"/>
        </w:trPr>
        <w:tc>
          <w:tcPr>
            <w:tcW w:w="1431"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功能分类</w:t>
            </w:r>
          </w:p>
          <w:p w:rsidR="00C26EF5" w:rsidRDefault="004C7F7C">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C26EF5" w:rsidRDefault="00C26EF5">
            <w:pPr>
              <w:rPr>
                <w:rFonts w:ascii="仿宋" w:eastAsia="仿宋" w:hAnsi="仿宋" w:cs="仿宋"/>
              </w:rPr>
            </w:pPr>
          </w:p>
        </w:tc>
        <w:tc>
          <w:tcPr>
            <w:tcW w:w="2432" w:type="dxa"/>
            <w:vMerge/>
            <w:tcBorders>
              <w:left w:val="single" w:sz="4" w:space="0" w:color="000000"/>
              <w:bottom w:val="single" w:sz="4" w:space="0" w:color="000000"/>
            </w:tcBorders>
            <w:vAlign w:val="center"/>
          </w:tcPr>
          <w:p w:rsidR="00C26EF5" w:rsidRDefault="00C26EF5">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rPr>
            </w:pPr>
          </w:p>
        </w:tc>
      </w:tr>
      <w:tr w:rsidR="00C26EF5">
        <w:trPr>
          <w:trHeight w:val="275"/>
        </w:trPr>
        <w:tc>
          <w:tcPr>
            <w:tcW w:w="8426"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lang w:val="en-US"/>
              </w:rPr>
            </w:pPr>
            <w:r>
              <w:rPr>
                <w:rFonts w:ascii="仿宋" w:eastAsia="仿宋" w:hAnsi="仿宋" w:cs="仿宋" w:hint="eastAsia"/>
                <w:lang w:val="en-US"/>
              </w:rPr>
              <w:t>2</w:t>
            </w:r>
          </w:p>
        </w:tc>
      </w:tr>
      <w:tr w:rsidR="00C26EF5">
        <w:trPr>
          <w:trHeight w:hRule="exact" w:val="389"/>
        </w:trPr>
        <w:tc>
          <w:tcPr>
            <w:tcW w:w="8426"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bl>
    <w:p w:rsidR="00C26EF5" w:rsidRDefault="004C7F7C">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C26EF5" w:rsidRDefault="004C7F7C">
      <w:pPr>
        <w:spacing w:before="25"/>
        <w:ind w:leftChars="200" w:left="440"/>
        <w:jc w:val="both"/>
        <w:rPr>
          <w:rFonts w:ascii="仿宋" w:eastAsia="仿宋" w:hAnsi="仿宋" w:cs="仿宋"/>
          <w:lang w:val="en-US"/>
        </w:rPr>
      </w:pPr>
      <w:r>
        <w:rPr>
          <w:rFonts w:ascii="仿宋" w:eastAsia="仿宋" w:hAnsi="仿宋" w:cs="仿宋"/>
        </w:rPr>
        <w:t>本部门无政府性基金预算收入支出决算，故本表为空。</w:t>
      </w:r>
    </w:p>
    <w:p w:rsidR="00C26EF5" w:rsidRDefault="00C26EF5">
      <w:pPr>
        <w:spacing w:before="25"/>
        <w:jc w:val="both"/>
        <w:rPr>
          <w:rFonts w:ascii="仿宋" w:eastAsia="仿宋" w:hAnsi="仿宋" w:cs="仿宋"/>
          <w:lang w:val="en-US"/>
        </w:rPr>
        <w:sectPr w:rsidR="00C26EF5">
          <w:footerReference w:type="default" r:id="rId24"/>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C26EF5">
        <w:trPr>
          <w:trHeight w:val="395"/>
        </w:trPr>
        <w:tc>
          <w:tcPr>
            <w:tcW w:w="15400" w:type="dxa"/>
            <w:gridSpan w:val="5"/>
            <w:vAlign w:val="center"/>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C26EF5">
        <w:trPr>
          <w:trHeight w:val="323"/>
        </w:trPr>
        <w:tc>
          <w:tcPr>
            <w:tcW w:w="8520" w:type="dxa"/>
            <w:gridSpan w:val="2"/>
          </w:tcPr>
          <w:p w:rsidR="00C26EF5" w:rsidRDefault="00C26EF5">
            <w:pPr>
              <w:pStyle w:val="TableParagraph"/>
              <w:rPr>
                <w:rFonts w:ascii="仿宋" w:eastAsia="仿宋" w:hAnsi="仿宋" w:cs="仿宋"/>
                <w:sz w:val="20"/>
              </w:rPr>
            </w:pPr>
          </w:p>
        </w:tc>
        <w:tc>
          <w:tcPr>
            <w:tcW w:w="2510" w:type="dxa"/>
          </w:tcPr>
          <w:p w:rsidR="00C26EF5" w:rsidRDefault="00C26EF5">
            <w:pPr>
              <w:pStyle w:val="TableParagraph"/>
              <w:rPr>
                <w:rFonts w:ascii="仿宋" w:eastAsia="仿宋" w:hAnsi="仿宋" w:cs="仿宋"/>
                <w:sz w:val="27"/>
              </w:rPr>
            </w:pPr>
          </w:p>
        </w:tc>
        <w:tc>
          <w:tcPr>
            <w:tcW w:w="2309" w:type="dxa"/>
          </w:tcPr>
          <w:p w:rsidR="00C26EF5" w:rsidRDefault="00C26EF5">
            <w:pPr>
              <w:pStyle w:val="TableParagraph"/>
              <w:rPr>
                <w:rFonts w:ascii="仿宋" w:eastAsia="仿宋" w:hAnsi="仿宋" w:cs="仿宋"/>
                <w:sz w:val="20"/>
              </w:rPr>
            </w:pPr>
          </w:p>
        </w:tc>
        <w:tc>
          <w:tcPr>
            <w:tcW w:w="2061" w:type="dxa"/>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1</w:t>
            </w:r>
            <w:r>
              <w:rPr>
                <w:rFonts w:ascii="仿宋" w:eastAsia="仿宋" w:hAnsi="仿宋" w:cs="仿宋" w:hint="eastAsia"/>
              </w:rPr>
              <w:t>表</w:t>
            </w:r>
          </w:p>
        </w:tc>
      </w:tr>
      <w:tr w:rsidR="00C26EF5">
        <w:trPr>
          <w:trHeight w:val="152"/>
        </w:trPr>
        <w:tc>
          <w:tcPr>
            <w:tcW w:w="13339" w:type="dxa"/>
            <w:gridSpan w:val="4"/>
            <w:vAlign w:val="center"/>
          </w:tcPr>
          <w:p w:rsidR="00C26EF5" w:rsidRDefault="004C7F7C">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2061" w:type="dxa"/>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金额单位：万元</w:t>
            </w:r>
          </w:p>
        </w:tc>
      </w:tr>
      <w:tr w:rsidR="00C26EF5">
        <w:trPr>
          <w:trHeight w:val="267"/>
        </w:trPr>
        <w:tc>
          <w:tcPr>
            <w:tcW w:w="8520" w:type="dxa"/>
            <w:gridSpan w:val="2"/>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项目支出</w:t>
            </w:r>
          </w:p>
        </w:tc>
      </w:tr>
      <w:tr w:rsidR="00C26EF5">
        <w:trPr>
          <w:trHeight w:val="427"/>
        </w:trPr>
        <w:tc>
          <w:tcPr>
            <w:tcW w:w="1462"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功能分类</w:t>
            </w:r>
          </w:p>
          <w:p w:rsidR="00C26EF5" w:rsidRDefault="004C7F7C">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C26EF5" w:rsidRDefault="00C26EF5">
            <w:pPr>
              <w:rPr>
                <w:rFonts w:ascii="仿宋" w:eastAsia="仿宋" w:hAnsi="仿宋" w:cs="仿宋"/>
              </w:rPr>
            </w:pPr>
          </w:p>
        </w:tc>
        <w:tc>
          <w:tcPr>
            <w:tcW w:w="2309" w:type="dxa"/>
            <w:vMerge/>
            <w:tcBorders>
              <w:left w:val="single" w:sz="4" w:space="0" w:color="000000"/>
              <w:bottom w:val="single" w:sz="4" w:space="0" w:color="000000"/>
            </w:tcBorders>
            <w:vAlign w:val="center"/>
          </w:tcPr>
          <w:p w:rsidR="00C26EF5" w:rsidRDefault="00C26EF5">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rPr>
            </w:pPr>
          </w:p>
        </w:tc>
      </w:tr>
      <w:tr w:rsidR="00C26EF5">
        <w:trPr>
          <w:trHeight w:val="275"/>
        </w:trPr>
        <w:tc>
          <w:tcPr>
            <w:tcW w:w="8520"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lang w:val="en-US"/>
              </w:rPr>
            </w:pPr>
            <w:r>
              <w:rPr>
                <w:rFonts w:ascii="仿宋" w:eastAsia="仿宋" w:hAnsi="仿宋" w:cs="仿宋" w:hint="eastAsia"/>
                <w:lang w:val="en-US"/>
              </w:rPr>
              <w:t>2</w:t>
            </w:r>
          </w:p>
        </w:tc>
      </w:tr>
      <w:tr w:rsidR="00C26EF5">
        <w:trPr>
          <w:trHeight w:hRule="exact" w:val="389"/>
        </w:trPr>
        <w:tc>
          <w:tcPr>
            <w:tcW w:w="8520"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C26EF5" w:rsidRDefault="00C26EF5">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C26EF5" w:rsidRDefault="00C26EF5">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bl>
    <w:p w:rsidR="00C26EF5" w:rsidRDefault="004C7F7C">
      <w:pPr>
        <w:jc w:val="both"/>
        <w:rPr>
          <w:rFonts w:ascii="仿宋" w:eastAsia="仿宋" w:hAnsi="仿宋" w:cs="仿宋"/>
        </w:rPr>
      </w:pPr>
      <w:r>
        <w:rPr>
          <w:rFonts w:ascii="仿宋" w:eastAsia="仿宋" w:hAnsi="仿宋" w:cs="仿宋" w:hint="eastAsia"/>
        </w:rPr>
        <w:t>注：本表反映本年度国有资本经营预算财政拨款支出情况。</w:t>
      </w:r>
    </w:p>
    <w:p w:rsidR="00C26EF5" w:rsidRDefault="004C7F7C">
      <w:pPr>
        <w:ind w:leftChars="200" w:left="440"/>
        <w:jc w:val="both"/>
        <w:rPr>
          <w:rFonts w:ascii="仿宋" w:eastAsia="仿宋" w:hAnsi="仿宋" w:cs="仿宋"/>
          <w:lang w:val="en-US"/>
        </w:rPr>
      </w:pPr>
      <w:r>
        <w:rPr>
          <w:rFonts w:ascii="仿宋" w:eastAsia="仿宋" w:hAnsi="仿宋" w:cs="仿宋"/>
        </w:rPr>
        <w:t>本部门无</w:t>
      </w:r>
      <w:r>
        <w:rPr>
          <w:rFonts w:ascii="仿宋" w:eastAsia="仿宋" w:hAnsi="仿宋" w:cs="仿宋" w:hint="eastAsia"/>
        </w:rPr>
        <w:t>国有资本经营预算支出</w:t>
      </w:r>
      <w:r>
        <w:rPr>
          <w:rFonts w:ascii="仿宋" w:eastAsia="仿宋" w:hAnsi="仿宋" w:cs="仿宋" w:hint="eastAsia"/>
          <w:lang w:val="en-US"/>
        </w:rPr>
        <w:t>决算，故本表为空。</w:t>
      </w:r>
    </w:p>
    <w:p w:rsidR="00C26EF5" w:rsidRDefault="00C26EF5">
      <w:pPr>
        <w:spacing w:before="25"/>
        <w:ind w:leftChars="-100" w:left="-220"/>
        <w:jc w:val="both"/>
        <w:rPr>
          <w:rFonts w:ascii="仿宋" w:eastAsia="仿宋" w:hAnsi="仿宋" w:cs="仿宋"/>
          <w:lang w:val="en-US"/>
        </w:rPr>
        <w:sectPr w:rsidR="00C26EF5">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C26EF5">
        <w:trPr>
          <w:trHeight w:val="319"/>
        </w:trPr>
        <w:tc>
          <w:tcPr>
            <w:tcW w:w="10466" w:type="dxa"/>
            <w:gridSpan w:val="3"/>
          </w:tcPr>
          <w:p w:rsidR="00C26EF5" w:rsidRDefault="004C7F7C">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eastAsia="ar-SA"/>
              </w:rPr>
              <w:lastRenderedPageBreak/>
              <w:t>一般公共预算机关运行经费支出决算表</w:t>
            </w:r>
          </w:p>
        </w:tc>
      </w:tr>
      <w:tr w:rsidR="00C26EF5">
        <w:trPr>
          <w:trHeight w:val="90"/>
        </w:trPr>
        <w:tc>
          <w:tcPr>
            <w:tcW w:w="6632" w:type="dxa"/>
            <w:gridSpan w:val="2"/>
          </w:tcPr>
          <w:p w:rsidR="00C26EF5" w:rsidRDefault="00C26EF5">
            <w:pPr>
              <w:pStyle w:val="TableParagraph"/>
              <w:rPr>
                <w:rFonts w:ascii="仿宋" w:eastAsia="仿宋" w:hAnsi="仿宋" w:cs="仿宋"/>
                <w:sz w:val="20"/>
              </w:rPr>
            </w:pPr>
          </w:p>
        </w:tc>
        <w:tc>
          <w:tcPr>
            <w:tcW w:w="3834" w:type="dxa"/>
            <w:vAlign w:val="center"/>
          </w:tcPr>
          <w:p w:rsidR="00C26EF5" w:rsidRDefault="004C7F7C">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C26EF5">
        <w:trPr>
          <w:trHeight w:val="90"/>
        </w:trPr>
        <w:tc>
          <w:tcPr>
            <w:tcW w:w="6632" w:type="dxa"/>
            <w:gridSpan w:val="2"/>
            <w:vAlign w:val="center"/>
          </w:tcPr>
          <w:p w:rsidR="00C26EF5" w:rsidRDefault="004C7F7C">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3834" w:type="dxa"/>
            <w:vAlign w:val="center"/>
          </w:tcPr>
          <w:p w:rsidR="00C26EF5" w:rsidRDefault="004C7F7C">
            <w:pPr>
              <w:pStyle w:val="TableParagraph"/>
              <w:jc w:val="right"/>
              <w:rPr>
                <w:rFonts w:ascii="仿宋" w:eastAsia="仿宋" w:hAnsi="仿宋" w:cs="仿宋"/>
                <w:sz w:val="27"/>
              </w:rPr>
            </w:pPr>
            <w:r>
              <w:rPr>
                <w:rFonts w:ascii="仿宋" w:eastAsia="仿宋" w:hAnsi="仿宋" w:cs="仿宋" w:hint="eastAsia"/>
              </w:rPr>
              <w:t>金额单位：万元</w:t>
            </w:r>
          </w:p>
        </w:tc>
      </w:tr>
      <w:tr w:rsidR="00C26EF5">
        <w:trPr>
          <w:trHeight w:val="319"/>
        </w:trPr>
        <w:tc>
          <w:tcPr>
            <w:tcW w:w="6632" w:type="dxa"/>
            <w:gridSpan w:val="2"/>
            <w:tcBorders>
              <w:top w:val="single" w:sz="4" w:space="0" w:color="000000"/>
              <w:left w:val="single" w:sz="4" w:space="0" w:color="000000"/>
              <w:bottom w:val="single" w:sz="4" w:space="0" w:color="000000"/>
            </w:tcBorders>
          </w:tcPr>
          <w:p w:rsidR="00C26EF5" w:rsidRDefault="004C7F7C">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机关运行经费支出决算</w:t>
            </w:r>
          </w:p>
        </w:tc>
      </w:tr>
      <w:tr w:rsidR="00C26EF5">
        <w:trPr>
          <w:trHeight w:val="363"/>
        </w:trPr>
        <w:tc>
          <w:tcPr>
            <w:tcW w:w="1642"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C26EF5" w:rsidRDefault="00C26EF5">
            <w:pPr>
              <w:rPr>
                <w:rFonts w:ascii="仿宋" w:eastAsia="仿宋" w:hAnsi="仿宋" w:cs="仿宋"/>
              </w:rPr>
            </w:pPr>
          </w:p>
        </w:tc>
      </w:tr>
      <w:tr w:rsidR="00C26EF5">
        <w:trPr>
          <w:trHeight w:val="229"/>
        </w:trPr>
        <w:tc>
          <w:tcPr>
            <w:tcW w:w="6632" w:type="dxa"/>
            <w:gridSpan w:val="2"/>
            <w:tcBorders>
              <w:left w:val="single" w:sz="4" w:space="0" w:color="000000"/>
              <w:bottom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84.04</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84.04</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12.11</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0.18</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0.90</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11.89</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6.22</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0.21</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14.95</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1.15</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2.75</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33.08</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4C7F7C">
            <w:pPr>
              <w:jc w:val="right"/>
              <w:rPr>
                <w:rFonts w:ascii="仿宋" w:eastAsia="仿宋" w:hAnsi="仿宋" w:cs="仿宋"/>
              </w:rPr>
            </w:pPr>
            <w:r>
              <w:rPr>
                <w:rFonts w:ascii="仿宋" w:eastAsia="仿宋" w:hAnsi="仿宋" w:cs="仿宋" w:hint="eastAsia"/>
              </w:rPr>
              <w:t>0.60</w:t>
            </w: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r w:rsidR="00C26EF5">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C26EF5" w:rsidRDefault="00C26EF5">
            <w:pPr>
              <w:jc w:val="right"/>
              <w:rPr>
                <w:rFonts w:ascii="仿宋" w:eastAsia="仿宋" w:hAnsi="仿宋" w:cs="仿宋"/>
              </w:rPr>
            </w:pPr>
          </w:p>
        </w:tc>
      </w:tr>
    </w:tbl>
    <w:p w:rsidR="00C26EF5" w:rsidRDefault="004C7F7C">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C26EF5" w:rsidRDefault="00C26EF5">
      <w:pPr>
        <w:tabs>
          <w:tab w:val="left" w:pos="440"/>
        </w:tabs>
        <w:spacing w:before="25"/>
        <w:ind w:leftChars="200" w:left="440"/>
        <w:jc w:val="both"/>
        <w:rPr>
          <w:rFonts w:ascii="仿宋" w:eastAsia="仿宋" w:hAnsi="仿宋" w:cs="仿宋"/>
          <w:lang w:val="en-US"/>
        </w:rPr>
        <w:sectPr w:rsidR="00C26EF5">
          <w:footerReference w:type="default" r:id="rId25"/>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C26EF5">
        <w:trPr>
          <w:trHeight w:val="333"/>
        </w:trPr>
        <w:tc>
          <w:tcPr>
            <w:tcW w:w="10459" w:type="dxa"/>
            <w:gridSpan w:val="4"/>
            <w:vAlign w:val="center"/>
          </w:tcPr>
          <w:p w:rsidR="00C26EF5" w:rsidRDefault="004C7F7C">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C26EF5">
        <w:trPr>
          <w:trHeight w:val="333"/>
        </w:trPr>
        <w:tc>
          <w:tcPr>
            <w:tcW w:w="4472" w:type="dxa"/>
          </w:tcPr>
          <w:p w:rsidR="00C26EF5" w:rsidRDefault="00C26EF5">
            <w:pPr>
              <w:pStyle w:val="TableParagraph"/>
              <w:rPr>
                <w:rFonts w:ascii="仿宋" w:eastAsia="仿宋" w:hAnsi="仿宋" w:cs="仿宋"/>
              </w:rPr>
            </w:pPr>
          </w:p>
        </w:tc>
        <w:tc>
          <w:tcPr>
            <w:tcW w:w="722" w:type="dxa"/>
          </w:tcPr>
          <w:p w:rsidR="00C26EF5" w:rsidRDefault="00C26EF5">
            <w:pPr>
              <w:pStyle w:val="TableParagraph"/>
              <w:rPr>
                <w:rFonts w:ascii="仿宋" w:eastAsia="仿宋" w:hAnsi="仿宋" w:cs="仿宋"/>
              </w:rPr>
            </w:pPr>
          </w:p>
        </w:tc>
        <w:tc>
          <w:tcPr>
            <w:tcW w:w="1992" w:type="dxa"/>
          </w:tcPr>
          <w:p w:rsidR="00C26EF5" w:rsidRDefault="00C26EF5">
            <w:pPr>
              <w:pStyle w:val="TableParagraph"/>
              <w:rPr>
                <w:rFonts w:ascii="仿宋" w:eastAsia="仿宋" w:hAnsi="仿宋" w:cs="仿宋"/>
              </w:rPr>
            </w:pPr>
          </w:p>
        </w:tc>
        <w:tc>
          <w:tcPr>
            <w:tcW w:w="3273" w:type="dxa"/>
            <w:vAlign w:val="center"/>
          </w:tcPr>
          <w:p w:rsidR="00C26EF5" w:rsidRDefault="004C7F7C">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C26EF5">
        <w:trPr>
          <w:trHeight w:val="90"/>
        </w:trPr>
        <w:tc>
          <w:tcPr>
            <w:tcW w:w="7186" w:type="dxa"/>
            <w:gridSpan w:val="3"/>
          </w:tcPr>
          <w:p w:rsidR="00C26EF5" w:rsidRDefault="004C7F7C">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常州市生态环境局</w:t>
            </w:r>
          </w:p>
        </w:tc>
        <w:tc>
          <w:tcPr>
            <w:tcW w:w="3273" w:type="dxa"/>
            <w:vAlign w:val="center"/>
          </w:tcPr>
          <w:p w:rsidR="00C26EF5" w:rsidRDefault="004C7F7C">
            <w:pPr>
              <w:pStyle w:val="TableParagraph"/>
              <w:jc w:val="right"/>
              <w:rPr>
                <w:rFonts w:ascii="仿宋" w:eastAsia="仿宋" w:hAnsi="仿宋" w:cs="仿宋"/>
              </w:rPr>
            </w:pPr>
            <w:r>
              <w:rPr>
                <w:rFonts w:ascii="仿宋" w:eastAsia="仿宋" w:hAnsi="仿宋" w:cs="仿宋" w:hint="eastAsia"/>
              </w:rPr>
              <w:t>单位：万元</w:t>
            </w:r>
          </w:p>
        </w:tc>
      </w:tr>
      <w:tr w:rsidR="00C26EF5">
        <w:trPr>
          <w:trHeight w:val="244"/>
        </w:trPr>
        <w:tc>
          <w:tcPr>
            <w:tcW w:w="4472" w:type="dxa"/>
            <w:tcBorders>
              <w:top w:val="single" w:sz="4" w:space="0" w:color="000000"/>
              <w:left w:val="single" w:sz="4" w:space="0" w:color="000000"/>
              <w:bottom w:val="single" w:sz="4" w:space="0" w:color="000000"/>
            </w:tcBorders>
            <w:vAlign w:val="center"/>
          </w:tcPr>
          <w:p w:rsidR="00C26EF5" w:rsidRDefault="004C7F7C">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C26EF5" w:rsidRDefault="004C7F7C">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C26EF5">
        <w:trPr>
          <w:cantSplit/>
          <w:trHeight w:val="277"/>
        </w:trPr>
        <w:tc>
          <w:tcPr>
            <w:tcW w:w="4472"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5,847.67</w:t>
            </w:r>
          </w:p>
        </w:tc>
      </w:tr>
      <w:tr w:rsidR="00C26EF5">
        <w:trPr>
          <w:cantSplit/>
          <w:trHeight w:val="277"/>
        </w:trPr>
        <w:tc>
          <w:tcPr>
            <w:tcW w:w="4472"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4,730.19</w:t>
            </w:r>
          </w:p>
        </w:tc>
      </w:tr>
      <w:tr w:rsidR="00C26EF5">
        <w:trPr>
          <w:cantSplit/>
          <w:trHeight w:val="277"/>
        </w:trPr>
        <w:tc>
          <w:tcPr>
            <w:tcW w:w="4472"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C26EF5" w:rsidRDefault="00C26EF5">
            <w:pPr>
              <w:pStyle w:val="TableParagraph"/>
              <w:jc w:val="right"/>
              <w:rPr>
                <w:rFonts w:ascii="仿宋" w:eastAsia="仿宋" w:hAnsi="仿宋" w:cs="仿宋"/>
              </w:rPr>
            </w:pPr>
          </w:p>
        </w:tc>
      </w:tr>
      <w:tr w:rsidR="00C26EF5">
        <w:trPr>
          <w:cantSplit/>
          <w:trHeight w:val="277"/>
        </w:trPr>
        <w:tc>
          <w:tcPr>
            <w:tcW w:w="4472"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1,117.48</w:t>
            </w:r>
          </w:p>
        </w:tc>
      </w:tr>
      <w:tr w:rsidR="00C26EF5">
        <w:trPr>
          <w:cantSplit/>
          <w:trHeight w:val="277"/>
        </w:trPr>
        <w:tc>
          <w:tcPr>
            <w:tcW w:w="4472"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1,132.35</w:t>
            </w:r>
          </w:p>
        </w:tc>
      </w:tr>
      <w:tr w:rsidR="00C26EF5">
        <w:trPr>
          <w:cantSplit/>
          <w:trHeight w:val="277"/>
        </w:trPr>
        <w:tc>
          <w:tcPr>
            <w:tcW w:w="4472" w:type="dxa"/>
            <w:tcBorders>
              <w:left w:val="single" w:sz="4" w:space="0" w:color="000000"/>
              <w:bottom w:val="single" w:sz="4" w:space="0" w:color="000000"/>
            </w:tcBorders>
            <w:vAlign w:val="center"/>
          </w:tcPr>
          <w:p w:rsidR="00C26EF5" w:rsidRDefault="004C7F7C">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C26EF5" w:rsidRDefault="004C7F7C">
            <w:pPr>
              <w:pStyle w:val="TableParagraph"/>
              <w:jc w:val="right"/>
              <w:rPr>
                <w:rFonts w:ascii="仿宋" w:eastAsia="仿宋" w:hAnsi="仿宋" w:cs="仿宋"/>
              </w:rPr>
            </w:pPr>
            <w:r>
              <w:rPr>
                <w:rFonts w:ascii="仿宋" w:eastAsia="仿宋" w:hAnsi="仿宋" w:cs="仿宋" w:hint="eastAsia"/>
              </w:rPr>
              <w:t>1,132.35</w:t>
            </w:r>
          </w:p>
        </w:tc>
      </w:tr>
    </w:tbl>
    <w:p w:rsidR="00C26EF5" w:rsidRDefault="004C7F7C">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C26EF5" w:rsidRDefault="00C26EF5">
      <w:pPr>
        <w:ind w:leftChars="200" w:left="440"/>
        <w:jc w:val="both"/>
        <w:rPr>
          <w:rFonts w:ascii="仿宋" w:eastAsia="仿宋" w:hAnsi="仿宋" w:cs="仿宋"/>
        </w:rPr>
        <w:sectPr w:rsidR="00C26EF5">
          <w:pgSz w:w="11906" w:h="16838"/>
          <w:pgMar w:top="720" w:right="720" w:bottom="720" w:left="720" w:header="170" w:footer="280" w:gutter="0"/>
          <w:pgNumType w:fmt="numberInDash"/>
          <w:cols w:space="720"/>
          <w:formProt w:val="0"/>
          <w:docGrid w:linePitch="100"/>
        </w:sectPr>
      </w:pPr>
    </w:p>
    <w:p w:rsidR="00C26EF5" w:rsidRDefault="004C7F7C">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rPr>
        <w:t>2021</w:t>
      </w:r>
      <w:r>
        <w:rPr>
          <w:rFonts w:ascii="宋体" w:eastAsia="宋体" w:hAnsi="宋体" w:cs="宋体" w:hint="eastAsia"/>
          <w:b/>
          <w:bCs/>
          <w:color w:val="000000"/>
          <w:lang w:eastAsia="ar-SA"/>
        </w:rPr>
        <w:t>年度</w:t>
      </w:r>
      <w:r>
        <w:rPr>
          <w:rFonts w:ascii="宋体" w:eastAsia="宋体" w:hAnsi="宋体" w:cs="宋体"/>
          <w:b/>
          <w:color w:val="000000"/>
        </w:rPr>
        <w:t>部门</w:t>
      </w:r>
      <w:r>
        <w:rPr>
          <w:rFonts w:ascii="宋体" w:eastAsia="宋体" w:hAnsi="宋体" w:cs="宋体"/>
          <w:b/>
          <w:color w:val="000000"/>
        </w:rPr>
        <w:t>决算情况说明</w:t>
      </w:r>
    </w:p>
    <w:p w:rsidR="00C26EF5" w:rsidRDefault="00C26EF5">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年度收入、支出决算总计</w:t>
      </w:r>
      <w:r>
        <w:rPr>
          <w:rFonts w:ascii="仿宋" w:eastAsia="仿宋" w:hAnsi="仿宋" w:cs="仿宋"/>
        </w:rPr>
        <w:t>62,668.18</w:t>
      </w:r>
      <w:r>
        <w:rPr>
          <w:rFonts w:ascii="仿宋" w:eastAsia="仿宋" w:hAnsi="仿宋" w:cs="仿宋"/>
        </w:rPr>
        <w:t>万元。与上年相比，收、支总计各增加</w:t>
      </w:r>
      <w:r>
        <w:rPr>
          <w:rFonts w:ascii="仿宋" w:eastAsia="仿宋" w:hAnsi="仿宋" w:cs="仿宋"/>
        </w:rPr>
        <w:t>10,807.59</w:t>
      </w:r>
      <w:r>
        <w:rPr>
          <w:rFonts w:ascii="仿宋" w:eastAsia="仿宋" w:hAnsi="仿宋" w:cs="仿宋"/>
        </w:rPr>
        <w:t>万元，增长</w:t>
      </w:r>
      <w:r>
        <w:rPr>
          <w:rFonts w:ascii="仿宋" w:eastAsia="仿宋" w:hAnsi="仿宋" w:cs="仿宋"/>
        </w:rPr>
        <w:t>20.84%</w:t>
      </w:r>
      <w:r>
        <w:rPr>
          <w:rFonts w:ascii="仿宋" w:eastAsia="仿宋" w:hAnsi="仿宋" w:cs="仿宋"/>
        </w:rPr>
        <w:t>。其中：</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62,668.18</w:t>
      </w:r>
      <w:r>
        <w:rPr>
          <w:rFonts w:ascii="仿宋" w:eastAsia="仿宋" w:hAnsi="仿宋" w:cs="仿宋"/>
          <w:b/>
        </w:rPr>
        <w:t>万元。包括：</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62,556.38</w:t>
      </w:r>
      <w:r>
        <w:rPr>
          <w:rFonts w:ascii="仿宋" w:eastAsia="仿宋" w:hAnsi="仿宋" w:cs="仿宋"/>
        </w:rPr>
        <w:t>万元。与上年相比，增加</w:t>
      </w:r>
      <w:r>
        <w:rPr>
          <w:rFonts w:ascii="仿宋" w:eastAsia="仿宋" w:hAnsi="仿宋" w:cs="仿宋"/>
        </w:rPr>
        <w:t>11,094.74</w:t>
      </w:r>
      <w:r>
        <w:rPr>
          <w:rFonts w:ascii="仿宋" w:eastAsia="仿宋" w:hAnsi="仿宋" w:cs="仿宋"/>
        </w:rPr>
        <w:t>万元，增长</w:t>
      </w:r>
      <w:r>
        <w:rPr>
          <w:rFonts w:ascii="仿宋" w:eastAsia="仿宋" w:hAnsi="仿宋" w:cs="仿宋"/>
        </w:rPr>
        <w:t>21.56%</w:t>
      </w:r>
      <w:r>
        <w:rPr>
          <w:rFonts w:ascii="仿宋" w:eastAsia="仿宋" w:hAnsi="仿宋" w:cs="仿宋"/>
        </w:rPr>
        <w:t>，变动原因：常州市金坛生态环境局专项资金收入增加。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w:t>
      </w:r>
      <w:r>
        <w:rPr>
          <w:rFonts w:ascii="仿宋" w:eastAsia="仿宋" w:hAnsi="仿宋" w:cs="仿宋"/>
        </w:rPr>
        <w:t>0</w:t>
      </w:r>
      <w:r>
        <w:rPr>
          <w:rFonts w:ascii="仿宋" w:eastAsia="仿宋" w:hAnsi="仿宋" w:cs="仿宋"/>
        </w:rPr>
        <w:t>万元。与上年决算数相同。</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111.8</w:t>
      </w:r>
      <w:r>
        <w:rPr>
          <w:rFonts w:ascii="仿宋" w:eastAsia="仿宋" w:hAnsi="仿宋" w:cs="仿宋"/>
        </w:rPr>
        <w:t>万元。与上年相比，减少</w:t>
      </w:r>
      <w:r>
        <w:rPr>
          <w:rFonts w:ascii="仿宋" w:eastAsia="仿宋" w:hAnsi="仿宋" w:cs="仿宋"/>
        </w:rPr>
        <w:t>287.15</w:t>
      </w:r>
      <w:r>
        <w:rPr>
          <w:rFonts w:ascii="仿宋" w:eastAsia="仿宋" w:hAnsi="仿宋" w:cs="仿宋"/>
        </w:rPr>
        <w:t>万元，减少</w:t>
      </w:r>
      <w:r>
        <w:rPr>
          <w:rFonts w:ascii="仿宋" w:eastAsia="仿宋" w:hAnsi="仿宋" w:cs="仿宋"/>
        </w:rPr>
        <w:t>71.98</w:t>
      </w:r>
      <w:r>
        <w:rPr>
          <w:rFonts w:ascii="仿宋" w:eastAsia="仿宋" w:hAnsi="仿宋" w:cs="仿宋"/>
        </w:rPr>
        <w:t>%</w:t>
      </w:r>
      <w:r>
        <w:rPr>
          <w:rFonts w:ascii="仿宋" w:eastAsia="仿宋" w:hAnsi="仿宋" w:cs="仿宋"/>
        </w:rPr>
        <w:t>，变动原因：常州市环境科学研究院年初结转结余减少。</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62,668.18</w:t>
      </w:r>
      <w:r>
        <w:rPr>
          <w:rFonts w:ascii="仿宋" w:eastAsia="仿宋" w:hAnsi="仿宋" w:cs="仿宋"/>
          <w:b/>
        </w:rPr>
        <w:t>万元。包括：</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62,654.01</w:t>
      </w:r>
      <w:r>
        <w:rPr>
          <w:rFonts w:ascii="仿宋" w:eastAsia="仿宋" w:hAnsi="仿宋" w:cs="仿宋"/>
        </w:rPr>
        <w:t>万元。与上年相比，增加</w:t>
      </w:r>
      <w:r>
        <w:rPr>
          <w:rFonts w:ascii="仿宋" w:eastAsia="仿宋" w:hAnsi="仿宋" w:cs="仿宋"/>
        </w:rPr>
        <w:t>12,998.03</w:t>
      </w:r>
      <w:r>
        <w:rPr>
          <w:rFonts w:ascii="仿宋" w:eastAsia="仿宋" w:hAnsi="仿宋" w:cs="仿宋"/>
        </w:rPr>
        <w:t>万元，增长</w:t>
      </w:r>
      <w:r>
        <w:rPr>
          <w:rFonts w:ascii="仿宋" w:eastAsia="仿宋" w:hAnsi="仿宋" w:cs="仿宋"/>
        </w:rPr>
        <w:t>26.18%</w:t>
      </w:r>
      <w:r>
        <w:rPr>
          <w:rFonts w:ascii="仿宋" w:eastAsia="仿宋" w:hAnsi="仿宋" w:cs="仿宋"/>
        </w:rPr>
        <w:t>，变动原因：常州市金坛生态环境局专项资金支出增加。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14.17</w:t>
      </w:r>
      <w:r>
        <w:rPr>
          <w:rFonts w:ascii="仿宋" w:eastAsia="仿宋" w:hAnsi="仿宋" w:cs="仿宋"/>
        </w:rPr>
        <w:t>万元。结转和结余事项：常州市生态环境综合行政执法局应收账款。与上年相比，减少</w:t>
      </w:r>
      <w:r>
        <w:rPr>
          <w:rFonts w:ascii="仿宋" w:eastAsia="仿宋" w:hAnsi="仿宋" w:cs="仿宋"/>
        </w:rPr>
        <w:t>2,190.44</w:t>
      </w:r>
      <w:r>
        <w:rPr>
          <w:rFonts w:ascii="仿宋" w:eastAsia="仿宋" w:hAnsi="仿宋" w:cs="仿宋"/>
        </w:rPr>
        <w:t>万元，减少</w:t>
      </w:r>
      <w:r>
        <w:rPr>
          <w:rFonts w:ascii="仿宋" w:eastAsia="仿宋" w:hAnsi="仿宋" w:cs="仿宋"/>
        </w:rPr>
        <w:t>99.36%</w:t>
      </w:r>
      <w:r>
        <w:rPr>
          <w:rFonts w:ascii="仿宋" w:eastAsia="仿宋" w:hAnsi="仿宋" w:cs="仿宋"/>
        </w:rPr>
        <w:t>，变动原因：常州市生态环境局、常州市机动车排气污染监督管理中心、常州市环境</w:t>
      </w:r>
      <w:r>
        <w:rPr>
          <w:rFonts w:ascii="仿宋" w:eastAsia="仿宋" w:hAnsi="仿宋" w:cs="仿宋"/>
        </w:rPr>
        <w:t>科学研究院</w:t>
      </w:r>
      <w:r>
        <w:rPr>
          <w:rFonts w:ascii="仿宋" w:eastAsia="仿宋" w:hAnsi="仿宋" w:cs="仿宋"/>
        </w:rPr>
        <w:lastRenderedPageBreak/>
        <w:t>年末结转结余减少。</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年度本年收入决算合计</w:t>
      </w:r>
      <w:r>
        <w:rPr>
          <w:rFonts w:ascii="仿宋" w:eastAsia="仿宋" w:hAnsi="仿宋" w:cs="仿宋"/>
        </w:rPr>
        <w:t>62,556.38</w:t>
      </w:r>
      <w:r>
        <w:rPr>
          <w:rFonts w:ascii="仿宋" w:eastAsia="仿宋" w:hAnsi="仿宋" w:cs="仿宋"/>
        </w:rPr>
        <w:t>万元，其中：财政拨款收入</w:t>
      </w:r>
      <w:r>
        <w:rPr>
          <w:rFonts w:ascii="仿宋" w:eastAsia="仿宋" w:hAnsi="仿宋" w:cs="仿宋"/>
        </w:rPr>
        <w:t>61,735.79</w:t>
      </w:r>
      <w:r>
        <w:rPr>
          <w:rFonts w:ascii="仿宋" w:eastAsia="仿宋" w:hAnsi="仿宋" w:cs="仿宋"/>
        </w:rPr>
        <w:t>万元，占</w:t>
      </w:r>
      <w:r>
        <w:rPr>
          <w:rFonts w:ascii="仿宋" w:eastAsia="仿宋" w:hAnsi="仿宋" w:cs="仿宋"/>
        </w:rPr>
        <w:t>98.69%</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610.47</w:t>
      </w:r>
      <w:r>
        <w:rPr>
          <w:rFonts w:ascii="仿宋" w:eastAsia="仿宋" w:hAnsi="仿宋" w:cs="仿宋"/>
        </w:rPr>
        <w:t>万元，占</w:t>
      </w:r>
      <w:r>
        <w:rPr>
          <w:rFonts w:ascii="仿宋" w:eastAsia="仿宋" w:hAnsi="仿宋" w:cs="仿宋"/>
        </w:rPr>
        <w:t>0.97%</w:t>
      </w:r>
      <w:r>
        <w:rPr>
          <w:rFonts w:ascii="仿宋" w:eastAsia="仿宋" w:hAnsi="仿宋" w:cs="仿宋"/>
        </w:rPr>
        <w:t>；经营收入</w:t>
      </w:r>
      <w:r>
        <w:rPr>
          <w:rFonts w:ascii="仿宋" w:eastAsia="仿宋" w:hAnsi="仿宋" w:cs="仿宋"/>
        </w:rPr>
        <w:t>210.12</w:t>
      </w:r>
      <w:r>
        <w:rPr>
          <w:rFonts w:ascii="仿宋" w:eastAsia="仿宋" w:hAnsi="仿宋" w:cs="仿宋"/>
        </w:rPr>
        <w:t>万元，占</w:t>
      </w:r>
      <w:r>
        <w:rPr>
          <w:rFonts w:ascii="仿宋" w:eastAsia="仿宋" w:hAnsi="仿宋" w:cs="仿宋"/>
        </w:rPr>
        <w:t>0.34%</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26EF5" w:rsidRDefault="004C7F7C">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6"/>
                    <a:stretch>
                      <a:fillRect/>
                    </a:stretch>
                  </pic:blipFill>
                  <pic:spPr>
                    <a:xfrm>
                      <a:off x="0" y="0"/>
                      <a:ext cx="6134100" cy="3429000"/>
                    </a:xfrm>
                    <a:prstGeom prst="rect">
                      <a:avLst/>
                    </a:prstGeom>
                  </pic:spPr>
                </pic:pic>
              </a:graphicData>
            </a:graphic>
          </wp:inline>
        </w:drawing>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年度本年支出决算合计</w:t>
      </w:r>
      <w:r>
        <w:rPr>
          <w:rFonts w:ascii="仿宋" w:eastAsia="仿宋" w:hAnsi="仿宋" w:cs="仿宋"/>
        </w:rPr>
        <w:t>62,654.01</w:t>
      </w:r>
      <w:r>
        <w:rPr>
          <w:rFonts w:ascii="仿宋" w:eastAsia="仿宋" w:hAnsi="仿宋" w:cs="仿宋"/>
        </w:rPr>
        <w:t>万元，其中：基本支出</w:t>
      </w:r>
      <w:r>
        <w:rPr>
          <w:rFonts w:ascii="仿宋" w:eastAsia="仿宋" w:hAnsi="仿宋" w:cs="仿宋"/>
        </w:rPr>
        <w:t>4,117.55</w:t>
      </w:r>
      <w:r>
        <w:rPr>
          <w:rFonts w:ascii="仿宋" w:eastAsia="仿宋" w:hAnsi="仿宋" w:cs="仿宋"/>
        </w:rPr>
        <w:t>万元，占</w:t>
      </w:r>
      <w:r>
        <w:rPr>
          <w:rFonts w:ascii="仿宋" w:eastAsia="仿宋" w:hAnsi="仿宋" w:cs="仿宋"/>
        </w:rPr>
        <w:t>6.57%</w:t>
      </w:r>
      <w:r>
        <w:rPr>
          <w:rFonts w:ascii="仿宋" w:eastAsia="仿宋" w:hAnsi="仿宋" w:cs="仿宋"/>
        </w:rPr>
        <w:t>；项目支出</w:t>
      </w:r>
      <w:r>
        <w:rPr>
          <w:rFonts w:ascii="仿宋" w:eastAsia="仿宋" w:hAnsi="仿宋" w:cs="仿宋"/>
        </w:rPr>
        <w:t>58,326.34</w:t>
      </w:r>
      <w:r>
        <w:rPr>
          <w:rFonts w:ascii="仿宋" w:eastAsia="仿宋" w:hAnsi="仿宋" w:cs="仿宋"/>
        </w:rPr>
        <w:t>万元，占</w:t>
      </w:r>
      <w:r>
        <w:rPr>
          <w:rFonts w:ascii="仿宋" w:eastAsia="仿宋" w:hAnsi="仿宋" w:cs="仿宋"/>
        </w:rPr>
        <w:t>93.09%</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210.12</w:t>
      </w:r>
      <w:r>
        <w:rPr>
          <w:rFonts w:ascii="仿宋" w:eastAsia="仿宋" w:hAnsi="仿宋" w:cs="仿宋"/>
        </w:rPr>
        <w:t>万元，占</w:t>
      </w:r>
      <w:r>
        <w:rPr>
          <w:rFonts w:ascii="仿宋" w:eastAsia="仿宋" w:hAnsi="仿宋" w:cs="仿宋"/>
        </w:rPr>
        <w:t>0.34%</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C26EF5" w:rsidRDefault="004C7F7C">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年度财政拨款收入、支出决算总计</w:t>
      </w:r>
      <w:r>
        <w:rPr>
          <w:rFonts w:ascii="仿宋" w:eastAsia="仿宋" w:hAnsi="仿宋" w:cs="仿宋"/>
        </w:rPr>
        <w:t>61,847.59</w:t>
      </w:r>
      <w:r>
        <w:rPr>
          <w:rFonts w:ascii="仿宋" w:eastAsia="仿宋" w:hAnsi="仿宋" w:cs="仿宋"/>
        </w:rPr>
        <w:t>万元。与上年相比，收、支总计各增加</w:t>
      </w:r>
      <w:r>
        <w:rPr>
          <w:rFonts w:ascii="仿宋" w:eastAsia="仿宋" w:hAnsi="仿宋" w:cs="仿宋"/>
        </w:rPr>
        <w:t>13,651.27</w:t>
      </w:r>
      <w:r>
        <w:rPr>
          <w:rFonts w:ascii="仿宋" w:eastAsia="仿宋" w:hAnsi="仿宋" w:cs="仿宋"/>
        </w:rPr>
        <w:t>万元，增长</w:t>
      </w:r>
      <w:r>
        <w:rPr>
          <w:rFonts w:ascii="仿宋" w:eastAsia="仿宋" w:hAnsi="仿宋" w:cs="仿宋"/>
        </w:rPr>
        <w:t>28.32%</w:t>
      </w:r>
      <w:r>
        <w:rPr>
          <w:rFonts w:ascii="仿宋" w:eastAsia="仿宋" w:hAnsi="仿宋" w:cs="仿宋"/>
        </w:rPr>
        <w:t>，变动原因：常州市金坛生态环境局专项资金收入增加。</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w:t>
      </w:r>
      <w:r>
        <w:rPr>
          <w:rFonts w:ascii="仿宋" w:eastAsia="仿宋" w:hAnsi="仿宋" w:cs="仿宋"/>
        </w:rPr>
        <w:t>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年度财政拨款支出决算</w:t>
      </w:r>
      <w:r>
        <w:rPr>
          <w:rFonts w:ascii="仿宋" w:eastAsia="仿宋" w:hAnsi="仿宋" w:cs="仿宋"/>
        </w:rPr>
        <w:t>61,833.42</w:t>
      </w:r>
      <w:r>
        <w:rPr>
          <w:rFonts w:ascii="仿宋" w:eastAsia="仿宋" w:hAnsi="仿宋" w:cs="仿宋"/>
        </w:rPr>
        <w:t>万元，占本年支出合计的</w:t>
      </w:r>
      <w:r>
        <w:rPr>
          <w:rFonts w:ascii="仿宋" w:eastAsia="仿宋" w:hAnsi="仿宋" w:cs="仿宋"/>
        </w:rPr>
        <w:t>98.69%</w:t>
      </w:r>
      <w:r>
        <w:rPr>
          <w:rFonts w:ascii="仿宋" w:eastAsia="仿宋" w:hAnsi="仿宋" w:cs="仿宋"/>
        </w:rPr>
        <w:t>。与</w:t>
      </w:r>
      <w:r>
        <w:rPr>
          <w:rFonts w:ascii="仿宋" w:eastAsia="仿宋" w:hAnsi="仿宋" w:cs="仿宋"/>
        </w:rPr>
        <w:t>2021</w:t>
      </w:r>
      <w:r>
        <w:rPr>
          <w:rFonts w:ascii="仿宋" w:eastAsia="仿宋" w:hAnsi="仿宋" w:cs="仿宋"/>
        </w:rPr>
        <w:t>年度财政拨款支出年初预算</w:t>
      </w:r>
      <w:r>
        <w:rPr>
          <w:rFonts w:ascii="仿宋" w:eastAsia="仿宋" w:hAnsi="仿宋" w:cs="仿宋"/>
        </w:rPr>
        <w:t>28,493.15</w:t>
      </w:r>
      <w:r>
        <w:rPr>
          <w:rFonts w:ascii="仿宋" w:eastAsia="仿宋" w:hAnsi="仿宋" w:cs="仿宋"/>
        </w:rPr>
        <w:t>万元相比，完成年初预算的</w:t>
      </w:r>
      <w:r>
        <w:rPr>
          <w:rFonts w:ascii="仿宋" w:eastAsia="仿宋" w:hAnsi="仿宋" w:cs="仿宋"/>
        </w:rPr>
        <w:t>217.01%</w:t>
      </w:r>
      <w:r>
        <w:rPr>
          <w:rFonts w:ascii="仿宋" w:eastAsia="仿宋" w:hAnsi="仿宋" w:cs="仿宋"/>
        </w:rPr>
        <w:t>。其中：</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（一）科学技术支出（类）</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技术研究与开发（款）其他技术研究与开发支出（项）。年初预算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16.11</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万元，无法计算完成比率）。决算数与年初预算数的差异原因：常州市环境科学研究院年中追加课题经费。</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（二）社会保障和就业支出（类）</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行政事业单位养老支出（款）行政单位离退休（项）。年初预算</w:t>
      </w:r>
      <w:r>
        <w:rPr>
          <w:rFonts w:ascii="仿宋" w:eastAsia="仿宋" w:hAnsi="仿宋" w:cs="仿宋"/>
        </w:rPr>
        <w:t>19.52</w:t>
      </w:r>
      <w:r>
        <w:rPr>
          <w:rFonts w:ascii="仿宋" w:eastAsia="仿宋" w:hAnsi="仿宋" w:cs="仿宋"/>
        </w:rPr>
        <w:t>万元，支出决算</w:t>
      </w:r>
      <w:r>
        <w:rPr>
          <w:rFonts w:ascii="仿宋" w:eastAsia="仿宋" w:hAnsi="仿宋" w:cs="仿宋"/>
        </w:rPr>
        <w:t>58.49</w:t>
      </w:r>
      <w:r>
        <w:rPr>
          <w:rFonts w:ascii="仿宋" w:eastAsia="仿宋" w:hAnsi="仿宋" w:cs="仿宋"/>
        </w:rPr>
        <w:t>万元，完成年初预算的</w:t>
      </w:r>
      <w:r>
        <w:rPr>
          <w:rFonts w:ascii="仿宋" w:eastAsia="仿宋" w:hAnsi="仿宋" w:cs="仿宋"/>
        </w:rPr>
        <w:t>299.64%</w:t>
      </w:r>
      <w:r>
        <w:rPr>
          <w:rFonts w:ascii="仿宋" w:eastAsia="仿宋" w:hAnsi="仿宋" w:cs="仿宋"/>
        </w:rPr>
        <w:t>。决算数与年初预算数的差异原因：行政单位离退休经费年中追加。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行政事业单位养老支出（款）事业单位离退休（项）。年初预算</w:t>
      </w:r>
      <w:r>
        <w:rPr>
          <w:rFonts w:ascii="仿宋" w:eastAsia="仿宋" w:hAnsi="仿宋" w:cs="仿宋"/>
        </w:rPr>
        <w:t>1.14</w:t>
      </w:r>
      <w:r>
        <w:rPr>
          <w:rFonts w:ascii="仿宋" w:eastAsia="仿宋" w:hAnsi="仿宋" w:cs="仿宋"/>
        </w:rPr>
        <w:t>万元，支出决算</w:t>
      </w:r>
      <w:r>
        <w:rPr>
          <w:rFonts w:ascii="仿宋" w:eastAsia="仿宋" w:hAnsi="仿宋" w:cs="仿宋"/>
        </w:rPr>
        <w:t>1.1</w:t>
      </w:r>
      <w:r>
        <w:rPr>
          <w:rFonts w:ascii="仿宋" w:eastAsia="仿宋" w:hAnsi="仿宋" w:cs="仿宋"/>
        </w:rPr>
        <w:t>9</w:t>
      </w:r>
      <w:r>
        <w:rPr>
          <w:rFonts w:ascii="仿宋" w:eastAsia="仿宋" w:hAnsi="仿宋" w:cs="仿宋"/>
        </w:rPr>
        <w:t>万元，完成年初预算的</w:t>
      </w:r>
      <w:r>
        <w:rPr>
          <w:rFonts w:ascii="仿宋" w:eastAsia="仿宋" w:hAnsi="仿宋" w:cs="仿宋"/>
        </w:rPr>
        <w:t>104.39%</w:t>
      </w:r>
      <w:r>
        <w:rPr>
          <w:rFonts w:ascii="仿宋" w:eastAsia="仿宋" w:hAnsi="仿宋" w:cs="仿宋"/>
        </w:rPr>
        <w:t>。决算数与年初预算数的差异原因：事业单位离退休经费年中追加。</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（三）卫生健康支出（类）</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行政事业单位医疗（款）行政单位医疗（项）。年初预算</w:t>
      </w:r>
      <w:r>
        <w:rPr>
          <w:rFonts w:ascii="仿宋" w:eastAsia="仿宋" w:hAnsi="仿宋" w:cs="仿宋"/>
        </w:rPr>
        <w:t>54.73</w:t>
      </w:r>
      <w:r>
        <w:rPr>
          <w:rFonts w:ascii="仿宋" w:eastAsia="仿宋" w:hAnsi="仿宋" w:cs="仿宋"/>
        </w:rPr>
        <w:t>万元，支出决算</w:t>
      </w:r>
      <w:r>
        <w:rPr>
          <w:rFonts w:ascii="仿宋" w:eastAsia="仿宋" w:hAnsi="仿宋" w:cs="仿宋"/>
        </w:rPr>
        <w:t>55.66</w:t>
      </w:r>
      <w:r>
        <w:rPr>
          <w:rFonts w:ascii="仿宋" w:eastAsia="仿宋" w:hAnsi="仿宋" w:cs="仿宋"/>
        </w:rPr>
        <w:t>万元，完成年初预算的</w:t>
      </w:r>
      <w:r>
        <w:rPr>
          <w:rFonts w:ascii="仿宋" w:eastAsia="仿宋" w:hAnsi="仿宋" w:cs="仿宋"/>
        </w:rPr>
        <w:t>101.7%</w:t>
      </w:r>
      <w:r>
        <w:rPr>
          <w:rFonts w:ascii="仿宋" w:eastAsia="仿宋" w:hAnsi="仿宋" w:cs="仿宋"/>
        </w:rPr>
        <w:t>。决算数与年初预算数的差异原因：行政单位医疗费年中追加。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行政事业单位医疗（款）事业单位医疗（项）。年初预算</w:t>
      </w:r>
      <w:r>
        <w:rPr>
          <w:rFonts w:ascii="仿宋" w:eastAsia="仿宋" w:hAnsi="仿宋" w:cs="仿宋"/>
        </w:rPr>
        <w:t>20.52</w:t>
      </w:r>
      <w:r>
        <w:rPr>
          <w:rFonts w:ascii="仿宋" w:eastAsia="仿宋" w:hAnsi="仿宋" w:cs="仿宋"/>
        </w:rPr>
        <w:t>万元，支出决算</w:t>
      </w:r>
      <w:r>
        <w:rPr>
          <w:rFonts w:ascii="仿宋" w:eastAsia="仿宋" w:hAnsi="仿宋" w:cs="仿宋"/>
        </w:rPr>
        <w:t>20.56</w:t>
      </w:r>
      <w:r>
        <w:rPr>
          <w:rFonts w:ascii="仿宋" w:eastAsia="仿宋" w:hAnsi="仿宋" w:cs="仿宋"/>
        </w:rPr>
        <w:t>万元，完成年初预算的</w:t>
      </w:r>
      <w:r>
        <w:rPr>
          <w:rFonts w:ascii="仿宋" w:eastAsia="仿宋" w:hAnsi="仿宋" w:cs="仿宋"/>
        </w:rPr>
        <w:t>100.19%</w:t>
      </w:r>
      <w:r>
        <w:rPr>
          <w:rFonts w:ascii="仿宋" w:eastAsia="仿宋" w:hAnsi="仿宋" w:cs="仿宋"/>
        </w:rPr>
        <w:t>。决算数与年初预算数的差异原因：事业单位医疗费年</w:t>
      </w:r>
      <w:r>
        <w:rPr>
          <w:rFonts w:ascii="仿宋" w:eastAsia="仿宋" w:hAnsi="仿宋" w:cs="仿宋"/>
        </w:rPr>
        <w:lastRenderedPageBreak/>
        <w:t>中追加。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行政事业单位医疗（款）公务</w:t>
      </w:r>
      <w:r>
        <w:rPr>
          <w:rFonts w:ascii="仿宋" w:eastAsia="仿宋" w:hAnsi="仿宋" w:cs="仿宋"/>
        </w:rPr>
        <w:t>员医疗补助（项）。年初预算</w:t>
      </w:r>
      <w:r>
        <w:rPr>
          <w:rFonts w:ascii="仿宋" w:eastAsia="仿宋" w:hAnsi="仿宋" w:cs="仿宋"/>
        </w:rPr>
        <w:t>41.81</w:t>
      </w:r>
      <w:r>
        <w:rPr>
          <w:rFonts w:ascii="仿宋" w:eastAsia="仿宋" w:hAnsi="仿宋" w:cs="仿宋"/>
        </w:rPr>
        <w:t>万元，支出决算</w:t>
      </w:r>
      <w:r>
        <w:rPr>
          <w:rFonts w:ascii="仿宋" w:eastAsia="仿宋" w:hAnsi="仿宋" w:cs="仿宋"/>
        </w:rPr>
        <w:t>42.12</w:t>
      </w:r>
      <w:r>
        <w:rPr>
          <w:rFonts w:ascii="仿宋" w:eastAsia="仿宋" w:hAnsi="仿宋" w:cs="仿宋"/>
        </w:rPr>
        <w:t>万元，完成年初预算的</w:t>
      </w:r>
      <w:r>
        <w:rPr>
          <w:rFonts w:ascii="仿宋" w:eastAsia="仿宋" w:hAnsi="仿宋" w:cs="仿宋"/>
        </w:rPr>
        <w:t>100.74%</w:t>
      </w:r>
      <w:r>
        <w:rPr>
          <w:rFonts w:ascii="仿宋" w:eastAsia="仿宋" w:hAnsi="仿宋" w:cs="仿宋"/>
        </w:rPr>
        <w:t>。决算数与年初预算数的差异原因：公务员医疗补助年中追加。</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（四）节能环保支出（类）</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环境保护管理事务（款）行政运行（项）。年初预算</w:t>
      </w:r>
      <w:r>
        <w:rPr>
          <w:rFonts w:ascii="仿宋" w:eastAsia="仿宋" w:hAnsi="仿宋" w:cs="仿宋"/>
        </w:rPr>
        <w:t>2,050.23</w:t>
      </w:r>
      <w:r>
        <w:rPr>
          <w:rFonts w:ascii="仿宋" w:eastAsia="仿宋" w:hAnsi="仿宋" w:cs="仿宋"/>
        </w:rPr>
        <w:t>万元，支出决算</w:t>
      </w:r>
      <w:r>
        <w:rPr>
          <w:rFonts w:ascii="仿宋" w:eastAsia="仿宋" w:hAnsi="仿宋" w:cs="仿宋"/>
        </w:rPr>
        <w:t>2,288.51</w:t>
      </w:r>
      <w:r>
        <w:rPr>
          <w:rFonts w:ascii="仿宋" w:eastAsia="仿宋" w:hAnsi="仿宋" w:cs="仿宋"/>
        </w:rPr>
        <w:t>万元，完成年初预算的</w:t>
      </w:r>
      <w:r>
        <w:rPr>
          <w:rFonts w:ascii="仿宋" w:eastAsia="仿宋" w:hAnsi="仿宋" w:cs="仿宋"/>
        </w:rPr>
        <w:t>111.62%</w:t>
      </w:r>
      <w:r>
        <w:rPr>
          <w:rFonts w:ascii="仿宋" w:eastAsia="仿宋" w:hAnsi="仿宋" w:cs="仿宋"/>
        </w:rPr>
        <w:t>。决算数与年初预算数的差异原因：行政单位公用经费政策性调整。</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环境保护管理事务（款）一般行政管理事务（项）。年初预算</w:t>
      </w:r>
      <w:r>
        <w:rPr>
          <w:rFonts w:ascii="仿宋" w:eastAsia="仿宋" w:hAnsi="仿宋" w:cs="仿宋"/>
        </w:rPr>
        <w:t>681.3</w:t>
      </w:r>
      <w:r>
        <w:rPr>
          <w:rFonts w:ascii="仿宋" w:eastAsia="仿宋" w:hAnsi="仿宋" w:cs="仿宋"/>
        </w:rPr>
        <w:t>万元，支出决算</w:t>
      </w:r>
      <w:r>
        <w:rPr>
          <w:rFonts w:ascii="仿宋" w:eastAsia="仿宋" w:hAnsi="仿宋" w:cs="仿宋"/>
        </w:rPr>
        <w:t>814.23</w:t>
      </w:r>
      <w:r>
        <w:rPr>
          <w:rFonts w:ascii="仿宋" w:eastAsia="仿宋" w:hAnsi="仿宋" w:cs="仿宋"/>
        </w:rPr>
        <w:t>万元，完成年初预算的</w:t>
      </w:r>
      <w:r>
        <w:rPr>
          <w:rFonts w:ascii="仿宋" w:eastAsia="仿宋" w:hAnsi="仿宋" w:cs="仿宋"/>
        </w:rPr>
        <w:t>119.51%</w:t>
      </w:r>
      <w:r>
        <w:rPr>
          <w:rFonts w:ascii="仿宋" w:eastAsia="仿宋" w:hAnsi="仿宋" w:cs="仿宋"/>
        </w:rPr>
        <w:t>。决算数与年初</w:t>
      </w:r>
      <w:r>
        <w:rPr>
          <w:rFonts w:ascii="仿宋" w:eastAsia="仿宋" w:hAnsi="仿宋" w:cs="仿宋"/>
        </w:rPr>
        <w:t>预算数的差异原因：常州市生态环境局项目经费预算增加。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环境保护管理事务（款）环境保护法规、规划及标准（项）。年初预算</w:t>
      </w:r>
      <w:r>
        <w:rPr>
          <w:rFonts w:ascii="仿宋" w:eastAsia="仿宋" w:hAnsi="仿宋" w:cs="仿宋"/>
        </w:rPr>
        <w:t>3.5</w:t>
      </w:r>
      <w:r>
        <w:rPr>
          <w:rFonts w:ascii="仿宋" w:eastAsia="仿宋" w:hAnsi="仿宋" w:cs="仿宋"/>
        </w:rPr>
        <w:t>万元，支出决算</w:t>
      </w:r>
      <w:r>
        <w:rPr>
          <w:rFonts w:ascii="仿宋" w:eastAsia="仿宋" w:hAnsi="仿宋" w:cs="仿宋"/>
        </w:rPr>
        <w:t>0</w:t>
      </w:r>
      <w:r>
        <w:rPr>
          <w:rFonts w:ascii="仿宋" w:eastAsia="仿宋" w:hAnsi="仿宋" w:cs="仿宋"/>
        </w:rPr>
        <w:t>万元，完成年初预算的</w:t>
      </w:r>
      <w:r>
        <w:rPr>
          <w:rFonts w:ascii="仿宋" w:eastAsia="仿宋" w:hAnsi="仿宋" w:cs="仿宋"/>
        </w:rPr>
        <w:t>0%</w:t>
      </w:r>
      <w:r>
        <w:rPr>
          <w:rFonts w:ascii="仿宋" w:eastAsia="仿宋" w:hAnsi="仿宋" w:cs="仿宋"/>
        </w:rPr>
        <w:t>。决算数与年初预算数的差异原因：常州市生态环境局项目预算调整。</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环境保护管理事务（款）其他环境保护管理事务支出（项）。年初预算</w:t>
      </w:r>
      <w:r>
        <w:rPr>
          <w:rFonts w:ascii="仿宋" w:eastAsia="仿宋" w:hAnsi="仿宋" w:cs="仿宋"/>
        </w:rPr>
        <w:t>24,309.57</w:t>
      </w:r>
      <w:r>
        <w:rPr>
          <w:rFonts w:ascii="仿宋" w:eastAsia="仿宋" w:hAnsi="仿宋" w:cs="仿宋"/>
        </w:rPr>
        <w:t>万元，支出决算</w:t>
      </w:r>
      <w:r>
        <w:rPr>
          <w:rFonts w:ascii="仿宋" w:eastAsia="仿宋" w:hAnsi="仿宋" w:cs="仿宋"/>
        </w:rPr>
        <w:t>52,760.34</w:t>
      </w:r>
      <w:r>
        <w:rPr>
          <w:rFonts w:ascii="仿宋" w:eastAsia="仿宋" w:hAnsi="仿宋" w:cs="仿宋"/>
        </w:rPr>
        <w:t>万元，完成年初预算的</w:t>
      </w:r>
      <w:r>
        <w:rPr>
          <w:rFonts w:ascii="仿宋" w:eastAsia="仿宋" w:hAnsi="仿宋" w:cs="仿宋"/>
        </w:rPr>
        <w:t>217.04%</w:t>
      </w:r>
      <w:r>
        <w:rPr>
          <w:rFonts w:ascii="仿宋" w:eastAsia="仿宋" w:hAnsi="仿宋" w:cs="仿宋"/>
        </w:rPr>
        <w:t>。决算数与年初预算数的差异原因：常州市金坛生态环境局专项资金追加。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5.</w:t>
      </w:r>
      <w:r>
        <w:rPr>
          <w:rFonts w:ascii="仿宋" w:eastAsia="仿宋" w:hAnsi="仿宋" w:cs="仿宋"/>
        </w:rPr>
        <w:t>环境监测与监察（款）其他环境监测与监察支出（项）。年初预算</w:t>
      </w:r>
      <w:r>
        <w:rPr>
          <w:rFonts w:ascii="仿宋" w:eastAsia="仿宋" w:hAnsi="仿宋" w:cs="仿宋"/>
        </w:rPr>
        <w:t>67.33</w:t>
      </w:r>
      <w:r>
        <w:rPr>
          <w:rFonts w:ascii="仿宋" w:eastAsia="仿宋" w:hAnsi="仿宋" w:cs="仿宋"/>
        </w:rPr>
        <w:t>万元，支出决算</w:t>
      </w:r>
      <w:r>
        <w:rPr>
          <w:rFonts w:ascii="仿宋" w:eastAsia="仿宋" w:hAnsi="仿宋" w:cs="仿宋"/>
        </w:rPr>
        <w:t>72.84</w:t>
      </w:r>
      <w:r>
        <w:rPr>
          <w:rFonts w:ascii="仿宋" w:eastAsia="仿宋" w:hAnsi="仿宋" w:cs="仿宋"/>
        </w:rPr>
        <w:t>万元，完成年初预算的</w:t>
      </w:r>
      <w:r>
        <w:rPr>
          <w:rFonts w:ascii="仿宋" w:eastAsia="仿宋" w:hAnsi="仿宋" w:cs="仿宋"/>
        </w:rPr>
        <w:t>108.18%</w:t>
      </w:r>
      <w:r>
        <w:rPr>
          <w:rFonts w:ascii="仿宋" w:eastAsia="仿宋" w:hAnsi="仿宋" w:cs="仿宋"/>
        </w:rPr>
        <w:t>。决算数与年初预算数的差异原因：常州市生态环境局、常州市生态环境综合行政执法局专项资金追加。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w:t>
      </w:r>
      <w:r>
        <w:rPr>
          <w:rFonts w:ascii="仿宋" w:eastAsia="仿宋" w:hAnsi="仿宋" w:cs="仿宋"/>
        </w:rPr>
        <w:t>污染防治（款）水体（项）。年初预算</w:t>
      </w:r>
      <w:r>
        <w:rPr>
          <w:rFonts w:ascii="仿宋" w:eastAsia="仿宋" w:hAnsi="仿宋" w:cs="仿宋"/>
        </w:rPr>
        <w:t>0</w:t>
      </w:r>
      <w:r>
        <w:rPr>
          <w:rFonts w:ascii="仿宋" w:eastAsia="仿宋" w:hAnsi="仿宋" w:cs="仿宋"/>
        </w:rPr>
        <w:t>万元，支出决算</w:t>
      </w:r>
      <w:r>
        <w:rPr>
          <w:rFonts w:ascii="仿宋" w:eastAsia="仿宋" w:hAnsi="仿宋" w:cs="仿宋"/>
        </w:rPr>
        <w:t>1,166.08</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万元，无法计算完成比率）。决算数与年初预算数的差异原因：常州市生态环境监控中心省专项资金追加。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w:t>
      </w:r>
      <w:r>
        <w:rPr>
          <w:rFonts w:ascii="仿宋" w:eastAsia="仿宋" w:hAnsi="仿宋" w:cs="仿宋"/>
        </w:rPr>
        <w:t>自然生态保护（款）生态保护（项）。年初预算</w:t>
      </w:r>
      <w:r>
        <w:rPr>
          <w:rFonts w:ascii="仿宋" w:eastAsia="仿宋" w:hAnsi="仿宋" w:cs="仿宋"/>
        </w:rPr>
        <w:t>0</w:t>
      </w:r>
      <w:r>
        <w:rPr>
          <w:rFonts w:ascii="仿宋" w:eastAsia="仿宋" w:hAnsi="仿宋" w:cs="仿宋"/>
        </w:rPr>
        <w:t>万元，支出决算</w:t>
      </w:r>
      <w:r>
        <w:rPr>
          <w:rFonts w:ascii="仿宋" w:eastAsia="仿宋" w:hAnsi="仿宋" w:cs="仿宋"/>
        </w:rPr>
        <w:t>3,263.44</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万元，无法计算完成比率）。决算数与年初预算数的差异原因：市级环保专项资金年中追加。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w:t>
      </w:r>
      <w:r>
        <w:rPr>
          <w:rFonts w:ascii="仿宋" w:eastAsia="仿宋" w:hAnsi="仿宋" w:cs="仿宋"/>
        </w:rPr>
        <w:t>污染减排（款）生态环境执法监察（项）。年初预算</w:t>
      </w:r>
      <w:r>
        <w:rPr>
          <w:rFonts w:ascii="仿宋" w:eastAsia="仿宋" w:hAnsi="仿宋" w:cs="仿宋"/>
        </w:rPr>
        <w:t>300</w:t>
      </w:r>
      <w:r>
        <w:rPr>
          <w:rFonts w:ascii="仿宋" w:eastAsia="仿宋" w:hAnsi="仿宋" w:cs="仿宋"/>
        </w:rPr>
        <w:t>万元，支出决算</w:t>
      </w:r>
      <w:r>
        <w:rPr>
          <w:rFonts w:ascii="仿宋" w:eastAsia="仿宋" w:hAnsi="仿宋" w:cs="仿宋"/>
        </w:rPr>
        <w:t>287.47</w:t>
      </w:r>
      <w:r>
        <w:rPr>
          <w:rFonts w:ascii="仿宋" w:eastAsia="仿宋" w:hAnsi="仿宋" w:cs="仿宋"/>
        </w:rPr>
        <w:t>万元，完成年初预算的</w:t>
      </w:r>
      <w:r>
        <w:rPr>
          <w:rFonts w:ascii="仿宋" w:eastAsia="仿宋" w:hAnsi="仿宋" w:cs="仿宋"/>
        </w:rPr>
        <w:t>95.82%</w:t>
      </w:r>
      <w:r>
        <w:rPr>
          <w:rFonts w:ascii="仿宋" w:eastAsia="仿宋" w:hAnsi="仿宋" w:cs="仿宋"/>
        </w:rPr>
        <w:t>。决算数与年初预算数的差异原因：常州市生态环境综合行政执法局项目经费年中调整。</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w:t>
      </w:r>
      <w:r>
        <w:rPr>
          <w:rFonts w:ascii="仿宋" w:eastAsia="仿宋" w:hAnsi="仿宋" w:cs="仿宋"/>
        </w:rPr>
        <w:t>污染减排（款）其他污染减排支出（项）。年初预算</w:t>
      </w:r>
      <w:r>
        <w:rPr>
          <w:rFonts w:ascii="仿宋" w:eastAsia="仿宋" w:hAnsi="仿宋" w:cs="仿宋"/>
        </w:rPr>
        <w:t>40</w:t>
      </w:r>
      <w:r>
        <w:rPr>
          <w:rFonts w:ascii="仿宋" w:eastAsia="仿宋" w:hAnsi="仿宋" w:cs="仿宋"/>
        </w:rPr>
        <w:t>万元，支出决算</w:t>
      </w:r>
      <w:r>
        <w:rPr>
          <w:rFonts w:ascii="仿宋" w:eastAsia="仿宋" w:hAnsi="仿宋" w:cs="仿宋"/>
        </w:rPr>
        <w:t>21.47</w:t>
      </w:r>
      <w:r>
        <w:rPr>
          <w:rFonts w:ascii="仿宋" w:eastAsia="仿宋" w:hAnsi="仿宋" w:cs="仿宋"/>
        </w:rPr>
        <w:t>万元，完成年初预算的</w:t>
      </w:r>
      <w:r>
        <w:rPr>
          <w:rFonts w:ascii="仿宋" w:eastAsia="仿宋" w:hAnsi="仿宋" w:cs="仿宋"/>
        </w:rPr>
        <w:t>53.67%</w:t>
      </w:r>
      <w:r>
        <w:rPr>
          <w:rFonts w:ascii="仿宋" w:eastAsia="仿宋" w:hAnsi="仿宋" w:cs="仿宋"/>
        </w:rPr>
        <w:t>。决算数与年初预算数的差异原因：常州市机动车排污染监督管理中心项目经费年中调整。</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（五）住房保障支出（类）</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w:t>
      </w:r>
      <w:r>
        <w:rPr>
          <w:rFonts w:ascii="仿宋" w:eastAsia="仿宋" w:hAnsi="仿宋" w:cs="仿宋"/>
        </w:rPr>
        <w:t>（款）住房公积金（项）。年初预算</w:t>
      </w:r>
      <w:r>
        <w:rPr>
          <w:rFonts w:ascii="仿宋" w:eastAsia="仿宋" w:hAnsi="仿宋" w:cs="仿宋"/>
        </w:rPr>
        <w:lastRenderedPageBreak/>
        <w:t>225.28</w:t>
      </w:r>
      <w:r>
        <w:rPr>
          <w:rFonts w:ascii="仿宋" w:eastAsia="仿宋" w:hAnsi="仿宋" w:cs="仿宋"/>
        </w:rPr>
        <w:t>万元，支出决算</w:t>
      </w:r>
      <w:r>
        <w:rPr>
          <w:rFonts w:ascii="仿宋" w:eastAsia="仿宋" w:hAnsi="仿宋" w:cs="仿宋"/>
        </w:rPr>
        <w:t>253.37</w:t>
      </w:r>
      <w:r>
        <w:rPr>
          <w:rFonts w:ascii="仿宋" w:eastAsia="仿宋" w:hAnsi="仿宋" w:cs="仿宋"/>
        </w:rPr>
        <w:t>万元，完成年初预算的</w:t>
      </w:r>
      <w:r>
        <w:rPr>
          <w:rFonts w:ascii="仿宋" w:eastAsia="仿宋" w:hAnsi="仿宋" w:cs="仿宋"/>
        </w:rPr>
        <w:t>112.47%</w:t>
      </w:r>
      <w:r>
        <w:rPr>
          <w:rFonts w:ascii="仿宋" w:eastAsia="仿宋" w:hAnsi="仿宋" w:cs="仿宋"/>
        </w:rPr>
        <w:t>。决算数与年初预算数的差异原因：住房公积金预算年中追加。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459.3</w:t>
      </w:r>
      <w:r>
        <w:rPr>
          <w:rFonts w:ascii="仿宋" w:eastAsia="仿宋" w:hAnsi="仿宋" w:cs="仿宋"/>
        </w:rPr>
        <w:t>万元，支出决算</w:t>
      </w:r>
      <w:r>
        <w:rPr>
          <w:rFonts w:ascii="仿宋" w:eastAsia="仿宋" w:hAnsi="仿宋" w:cs="仿宋"/>
        </w:rPr>
        <w:t>476.8</w:t>
      </w:r>
      <w:r>
        <w:rPr>
          <w:rFonts w:ascii="仿宋" w:eastAsia="仿宋" w:hAnsi="仿宋" w:cs="仿宋"/>
        </w:rPr>
        <w:t>万元，完成年初预算的</w:t>
      </w:r>
      <w:r>
        <w:rPr>
          <w:rFonts w:ascii="仿宋" w:eastAsia="仿宋" w:hAnsi="仿宋" w:cs="仿宋"/>
        </w:rPr>
        <w:t>103.81%</w:t>
      </w:r>
      <w:r>
        <w:rPr>
          <w:rFonts w:ascii="仿宋" w:eastAsia="仿宋" w:hAnsi="仿宋" w:cs="仿宋"/>
        </w:rPr>
        <w:t>。决算数与年初预算数的差异原因：提租补贴部门预算年中追加。</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住房改革支出（款）购房补贴（项）。年初预算</w:t>
      </w:r>
      <w:r>
        <w:rPr>
          <w:rFonts w:ascii="仿宋" w:eastAsia="仿宋" w:hAnsi="仿宋" w:cs="仿宋"/>
        </w:rPr>
        <w:t>218.92</w:t>
      </w:r>
      <w:r>
        <w:rPr>
          <w:rFonts w:ascii="仿宋" w:eastAsia="仿宋" w:hAnsi="仿宋" w:cs="仿宋"/>
        </w:rPr>
        <w:t>万元，支出决算</w:t>
      </w:r>
      <w:r>
        <w:rPr>
          <w:rFonts w:ascii="仿宋" w:eastAsia="仿宋" w:hAnsi="仿宋" w:cs="仿宋"/>
        </w:rPr>
        <w:t>234.74</w:t>
      </w:r>
      <w:r>
        <w:rPr>
          <w:rFonts w:ascii="仿宋" w:eastAsia="仿宋" w:hAnsi="仿宋" w:cs="仿宋"/>
        </w:rPr>
        <w:t>万元，完成年初预算的</w:t>
      </w:r>
      <w:r>
        <w:rPr>
          <w:rFonts w:ascii="仿宋" w:eastAsia="仿宋" w:hAnsi="仿宋" w:cs="仿宋"/>
        </w:rPr>
        <w:t>107.23%</w:t>
      </w:r>
      <w:r>
        <w:rPr>
          <w:rFonts w:ascii="仿宋" w:eastAsia="仿宋" w:hAnsi="仿宋" w:cs="仿宋"/>
        </w:rPr>
        <w:t>。决算数与年初预算数的差异原因：购房补贴部门预算年中追加。</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年度财政拨款基本支出决算</w:t>
      </w:r>
      <w:r>
        <w:rPr>
          <w:rFonts w:ascii="仿宋" w:eastAsia="仿宋" w:hAnsi="仿宋" w:cs="仿宋"/>
        </w:rPr>
        <w:t>4,117.55</w:t>
      </w:r>
      <w:r>
        <w:rPr>
          <w:rFonts w:ascii="仿宋" w:eastAsia="仿宋" w:hAnsi="仿宋" w:cs="仿宋"/>
        </w:rPr>
        <w:t>万元，其中：</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3,992.99</w:t>
      </w:r>
      <w:r>
        <w:rPr>
          <w:rFonts w:ascii="楷体" w:eastAsia="楷体" w:hAnsi="楷体" w:cs="楷体"/>
        </w:rPr>
        <w:t>万元。</w:t>
      </w:r>
      <w:r>
        <w:rPr>
          <w:rFonts w:ascii="仿宋" w:eastAsia="仿宋" w:hAnsi="仿宋" w:cs="仿宋"/>
        </w:rPr>
        <w:t>主要包括：基本工资、津贴补贴、奖金、绩效工资、机关事业单位基本养老保险缴费、职业年金缴费、职工基本医疗保险缴费、公务员医疗补助缴费、其他社会保障缴费、住房公积金、其他工资福利支出、离休费、退休费、抚恤金、医疗费补助、其他对个人和家庭的补助。</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124.56</w:t>
      </w:r>
      <w:r>
        <w:rPr>
          <w:rFonts w:ascii="楷体" w:eastAsia="楷体" w:hAnsi="楷体" w:cs="楷体"/>
        </w:rPr>
        <w:t>万元。</w:t>
      </w:r>
      <w:r>
        <w:rPr>
          <w:rFonts w:ascii="仿宋" w:eastAsia="仿宋" w:hAnsi="仿宋" w:cs="仿宋"/>
        </w:rPr>
        <w:t>主要包括：办公费、印刷费、咨询费、手续费、水费、电费、邮电费、物业管理费、差旅费、维修（护）费、租赁费、</w:t>
      </w:r>
      <w:r>
        <w:rPr>
          <w:rFonts w:ascii="仿宋" w:eastAsia="仿宋" w:hAnsi="仿宋" w:cs="仿宋"/>
        </w:rPr>
        <w:t>会议费、培训费、公务接待费、劳务费、委托业务费、工会经费、福利费、其他交通费用、其他商品和服务支出、专用设备购置。</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七、一般公共预算支出决算情况说明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年度一般公共预算财政拨款支出决算</w:t>
      </w:r>
      <w:r>
        <w:rPr>
          <w:rFonts w:ascii="仿宋" w:eastAsia="仿宋" w:hAnsi="仿宋" w:cs="仿宋"/>
        </w:rPr>
        <w:t>61,833.42</w:t>
      </w:r>
      <w:r>
        <w:rPr>
          <w:rFonts w:ascii="仿宋" w:eastAsia="仿宋" w:hAnsi="仿宋" w:cs="仿宋"/>
        </w:rPr>
        <w:t>万元。与上年相比，增加</w:t>
      </w:r>
      <w:r>
        <w:rPr>
          <w:rFonts w:ascii="仿宋" w:eastAsia="仿宋" w:hAnsi="仿宋" w:cs="仿宋"/>
        </w:rPr>
        <w:t>33,340.27</w:t>
      </w:r>
      <w:r>
        <w:rPr>
          <w:rFonts w:ascii="仿宋" w:eastAsia="仿宋" w:hAnsi="仿宋" w:cs="仿宋"/>
        </w:rPr>
        <w:t>万元，增长</w:t>
      </w:r>
      <w:r>
        <w:rPr>
          <w:rFonts w:ascii="仿宋" w:eastAsia="仿宋" w:hAnsi="仿宋" w:cs="仿宋"/>
        </w:rPr>
        <w:t>117.01%</w:t>
      </w:r>
      <w:r>
        <w:rPr>
          <w:rFonts w:ascii="仿宋" w:eastAsia="仿宋" w:hAnsi="仿宋" w:cs="仿宋"/>
        </w:rPr>
        <w:t>，变动原因：专项资金年中追加。</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年度一般公共预算财政拨款基本支出决算</w:t>
      </w:r>
      <w:r>
        <w:rPr>
          <w:rFonts w:ascii="仿宋" w:eastAsia="仿宋" w:hAnsi="仿宋" w:cs="仿宋"/>
        </w:rPr>
        <w:t>4,117.55</w:t>
      </w:r>
      <w:r>
        <w:rPr>
          <w:rFonts w:ascii="仿宋" w:eastAsia="仿宋" w:hAnsi="仿宋" w:cs="仿宋"/>
        </w:rPr>
        <w:t>万元，其中：</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3,992.99</w:t>
      </w:r>
      <w:r>
        <w:rPr>
          <w:rFonts w:ascii="楷体" w:eastAsia="楷体" w:hAnsi="楷体" w:cs="楷体"/>
        </w:rPr>
        <w:t>万元。</w:t>
      </w:r>
      <w:r>
        <w:rPr>
          <w:rFonts w:ascii="仿宋" w:eastAsia="仿宋" w:hAnsi="仿宋" w:cs="仿宋"/>
        </w:rPr>
        <w:t>主要包括：基本工资、津贴补贴、奖金、绩效工资、机关事业单位基</w:t>
      </w:r>
      <w:r>
        <w:rPr>
          <w:rFonts w:ascii="仿宋" w:eastAsia="仿宋" w:hAnsi="仿宋" w:cs="仿宋"/>
        </w:rPr>
        <w:t>本养老保险缴费、职业年金缴费、职工基本医疗保险缴费、公务员医疗补助缴费、其他社会保障缴费、住房公积金、其他工资福利支出、离休费、退休费、抚恤金、医疗费补助、其他对个人和家庭的补助。</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124.56</w:t>
      </w:r>
      <w:r>
        <w:rPr>
          <w:rFonts w:ascii="楷体" w:eastAsia="楷体" w:hAnsi="楷体" w:cs="楷体"/>
        </w:rPr>
        <w:t>万元。</w:t>
      </w:r>
      <w:r>
        <w:rPr>
          <w:rFonts w:ascii="仿宋" w:eastAsia="仿宋" w:hAnsi="仿宋" w:cs="仿宋"/>
        </w:rPr>
        <w:t>主要包括：办公费、印刷费、咨询费、手续费、水费、电费、邮电费、物业管理费、差旅费、维修（护）费、租赁费、会议费、培训费、公务接待费、劳务费、委托业务费、工会经费、福利费、其他交通费用、其他商品和服务支出、专用设备购置。</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经费、会议费、培训费支出情况说明</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3.07</w:t>
      </w:r>
      <w:r>
        <w:rPr>
          <w:rFonts w:ascii="仿宋" w:eastAsia="仿宋" w:hAnsi="仿宋" w:cs="仿宋"/>
        </w:rPr>
        <w:t>万</w:t>
      </w:r>
      <w:r>
        <w:rPr>
          <w:rFonts w:ascii="仿宋" w:eastAsia="仿宋" w:hAnsi="仿宋" w:cs="仿宋"/>
        </w:rPr>
        <w:lastRenderedPageBreak/>
        <w:t>元。与上年相比，减少</w:t>
      </w:r>
      <w:r>
        <w:rPr>
          <w:rFonts w:ascii="仿宋" w:eastAsia="仿宋" w:hAnsi="仿宋" w:cs="仿宋"/>
        </w:rPr>
        <w:t>1.73</w:t>
      </w:r>
      <w:r>
        <w:rPr>
          <w:rFonts w:ascii="仿宋" w:eastAsia="仿宋" w:hAnsi="仿宋" w:cs="仿宋"/>
        </w:rPr>
        <w:t>万元，变动原因：厉行节约，降低压减</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；公务接待费支出</w:t>
      </w:r>
      <w:r>
        <w:rPr>
          <w:rFonts w:ascii="仿宋" w:eastAsia="仿宋" w:hAnsi="仿宋" w:cs="仿宋"/>
        </w:rPr>
        <w:t>3.07</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100%</w:t>
      </w:r>
      <w:r>
        <w:rPr>
          <w:rFonts w:ascii="仿宋" w:eastAsia="仿宋" w:hAnsi="仿宋" w:cs="仿宋"/>
        </w:rPr>
        <w:t>。</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万元，完成预算的</w:t>
      </w:r>
      <w:r>
        <w:rPr>
          <w:rFonts w:ascii="仿宋" w:eastAsia="仿宋" w:hAnsi="仿宋" w:cs="仿宋"/>
        </w:rPr>
        <w:t>100%</w:t>
      </w:r>
      <w:r>
        <w:rPr>
          <w:rFonts w:ascii="仿宋" w:eastAsia="仿宋" w:hAnsi="仿宋" w:cs="仿宋"/>
        </w:rPr>
        <w:t>，决算数与预算数相同。全年使用一般公共预算财政拨款涉及的出</w:t>
      </w:r>
      <w:r>
        <w:rPr>
          <w:rFonts w:ascii="仿宋" w:eastAsia="仿宋" w:hAnsi="仿宋" w:cs="仿宋"/>
        </w:rPr>
        <w:t>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万元，完成预算的</w:t>
      </w:r>
      <w:r>
        <w:rPr>
          <w:rFonts w:ascii="仿宋" w:eastAsia="仿宋" w:hAnsi="仿宋" w:cs="仿宋"/>
        </w:rPr>
        <w:t>100%</w:t>
      </w:r>
      <w:r>
        <w:rPr>
          <w:rFonts w:ascii="仿宋" w:eastAsia="仿宋" w:hAnsi="仿宋" w:cs="仿宋"/>
        </w:rPr>
        <w:t>，决算数与预算数相同。其中：</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万元。本年度使用一般公共预算财政拨款购置公务用车</w:t>
      </w:r>
      <w:r>
        <w:rPr>
          <w:rFonts w:ascii="仿宋" w:eastAsia="仿宋" w:hAnsi="仿宋" w:cs="仿宋"/>
        </w:rPr>
        <w:t>0</w:t>
      </w:r>
      <w:r>
        <w:rPr>
          <w:rFonts w:ascii="仿宋" w:eastAsia="仿宋" w:hAnsi="仿宋" w:cs="仿宋"/>
        </w:rPr>
        <w:t>辆。</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0</w:t>
      </w:r>
      <w:r>
        <w:rPr>
          <w:rFonts w:ascii="仿宋" w:eastAsia="仿宋" w:hAnsi="仿宋" w:cs="仿宋"/>
        </w:rPr>
        <w:t>万元。公务用车运行维护费主要用于按规定保留的公务用车的燃料费、维修费、过桥过路费、保险费、安全奖励费用等支出。截至</w:t>
      </w:r>
      <w:r>
        <w:rPr>
          <w:rFonts w:ascii="仿宋" w:eastAsia="仿宋" w:hAnsi="仿宋" w:cs="仿宋"/>
        </w:rPr>
        <w:t>2021</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日，使用一般公共预算财政拨款开支的公务用车保有量为</w:t>
      </w:r>
      <w:r>
        <w:rPr>
          <w:rFonts w:ascii="仿宋" w:eastAsia="仿宋" w:hAnsi="仿宋" w:cs="仿宋"/>
        </w:rPr>
        <w:t>0</w:t>
      </w:r>
      <w:r>
        <w:rPr>
          <w:rFonts w:ascii="仿宋" w:eastAsia="仿宋" w:hAnsi="仿宋" w:cs="仿宋"/>
        </w:rPr>
        <w:t>辆。</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3.8</w:t>
      </w:r>
      <w:r>
        <w:rPr>
          <w:rFonts w:ascii="仿宋" w:eastAsia="仿宋" w:hAnsi="仿宋" w:cs="仿宋"/>
        </w:rPr>
        <w:t>万元，支出决算</w:t>
      </w:r>
      <w:r>
        <w:rPr>
          <w:rFonts w:ascii="仿宋" w:eastAsia="仿宋" w:hAnsi="仿宋" w:cs="仿宋"/>
        </w:rPr>
        <w:t>3.07</w:t>
      </w:r>
      <w:r>
        <w:rPr>
          <w:rFonts w:ascii="仿宋" w:eastAsia="仿宋" w:hAnsi="仿宋" w:cs="仿宋"/>
        </w:rPr>
        <w:t>万元，完成预算的</w:t>
      </w:r>
      <w:r>
        <w:rPr>
          <w:rFonts w:ascii="仿宋" w:eastAsia="仿宋" w:hAnsi="仿宋" w:cs="仿宋"/>
        </w:rPr>
        <w:t>80.79%</w:t>
      </w:r>
      <w:r>
        <w:rPr>
          <w:rFonts w:ascii="仿宋" w:eastAsia="仿宋" w:hAnsi="仿宋" w:cs="仿宋"/>
        </w:rPr>
        <w:t>，决算数与预算数的差异原因：厉行节约、反对浪费，规范公务接待范围和标准，降低公务接待成本。其中：国内公务接待支出</w:t>
      </w:r>
      <w:r>
        <w:rPr>
          <w:rFonts w:ascii="仿宋" w:eastAsia="仿宋" w:hAnsi="仿宋" w:cs="仿宋"/>
        </w:rPr>
        <w:t>3.07</w:t>
      </w:r>
      <w:r>
        <w:rPr>
          <w:rFonts w:ascii="仿宋" w:eastAsia="仿宋" w:hAnsi="仿宋" w:cs="仿宋"/>
        </w:rPr>
        <w:t>万元，接待</w:t>
      </w:r>
      <w:r>
        <w:rPr>
          <w:rFonts w:ascii="仿宋" w:eastAsia="仿宋" w:hAnsi="仿宋" w:cs="仿宋"/>
        </w:rPr>
        <w:t>21</w:t>
      </w:r>
      <w:r>
        <w:rPr>
          <w:rFonts w:ascii="仿宋" w:eastAsia="仿宋" w:hAnsi="仿宋" w:cs="仿宋"/>
        </w:rPr>
        <w:t>批次，</w:t>
      </w:r>
      <w:r>
        <w:rPr>
          <w:rFonts w:ascii="仿宋" w:eastAsia="仿宋" w:hAnsi="仿宋" w:cs="仿宋"/>
        </w:rPr>
        <w:t>273</w:t>
      </w:r>
      <w:r>
        <w:rPr>
          <w:rFonts w:ascii="仿宋" w:eastAsia="仿宋" w:hAnsi="仿宋" w:cs="仿宋"/>
        </w:rPr>
        <w:t>人次，开</w:t>
      </w:r>
      <w:r>
        <w:rPr>
          <w:rFonts w:ascii="仿宋" w:eastAsia="仿宋" w:hAnsi="仿宋" w:cs="仿宋"/>
        </w:rPr>
        <w:lastRenderedPageBreak/>
        <w:t>支内容：接待部、省及生态环境系统各级领导、兄弟城市等来常调研、考察、执法监察、固废辐射监管等；国（境）外公务接待支出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（三）一般公共预算会议费支出决算情况说明。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年度一般公共预算财政拨款会议费支出预算</w:t>
      </w:r>
      <w:r>
        <w:rPr>
          <w:rFonts w:ascii="仿宋" w:eastAsia="仿宋" w:hAnsi="仿宋" w:cs="仿宋"/>
        </w:rPr>
        <w:t>20.59</w:t>
      </w:r>
      <w:r>
        <w:rPr>
          <w:rFonts w:ascii="仿宋" w:eastAsia="仿宋" w:hAnsi="仿宋" w:cs="仿宋"/>
        </w:rPr>
        <w:t>万元，支出决算</w:t>
      </w:r>
      <w:r>
        <w:rPr>
          <w:rFonts w:ascii="仿宋" w:eastAsia="仿宋" w:hAnsi="仿宋" w:cs="仿宋"/>
        </w:rPr>
        <w:t>18.91</w:t>
      </w:r>
      <w:r>
        <w:rPr>
          <w:rFonts w:ascii="仿宋" w:eastAsia="仿宋" w:hAnsi="仿宋" w:cs="仿宋"/>
        </w:rPr>
        <w:t>万元，完成预</w:t>
      </w:r>
      <w:r>
        <w:rPr>
          <w:rFonts w:ascii="仿宋" w:eastAsia="仿宋" w:hAnsi="仿宋" w:cs="仿宋"/>
        </w:rPr>
        <w:t>算的</w:t>
      </w:r>
      <w:r>
        <w:rPr>
          <w:rFonts w:ascii="仿宋" w:eastAsia="仿宋" w:hAnsi="仿宋" w:cs="仿宋"/>
        </w:rPr>
        <w:t>91.84%</w:t>
      </w:r>
      <w:r>
        <w:rPr>
          <w:rFonts w:ascii="仿宋" w:eastAsia="仿宋" w:hAnsi="仿宋" w:cs="仿宋"/>
        </w:rPr>
        <w:t>，决算数与预算数的差异原因：严格执行</w:t>
      </w:r>
      <w:r w:rsidR="004567B4">
        <w:rPr>
          <w:rFonts w:ascii="仿宋" w:eastAsia="仿宋" w:hAnsi="仿宋" w:cs="仿宋" w:hint="eastAsia"/>
        </w:rPr>
        <w:t>中央</w:t>
      </w:r>
      <w:r>
        <w:rPr>
          <w:rFonts w:ascii="仿宋" w:eastAsia="仿宋" w:hAnsi="仿宋" w:cs="仿宋"/>
        </w:rPr>
        <w:t>八项规定</w:t>
      </w:r>
      <w:r>
        <w:rPr>
          <w:rFonts w:ascii="仿宋" w:eastAsia="仿宋" w:hAnsi="仿宋" w:cs="仿宋"/>
        </w:rPr>
        <w:t>，厉行节约，反对浪费，降低会议成本。</w:t>
      </w:r>
      <w:r>
        <w:rPr>
          <w:rFonts w:ascii="仿宋" w:eastAsia="仿宋" w:hAnsi="仿宋" w:cs="仿宋"/>
        </w:rPr>
        <w:t>2021</w:t>
      </w:r>
      <w:r>
        <w:rPr>
          <w:rFonts w:ascii="仿宋" w:eastAsia="仿宋" w:hAnsi="仿宋" w:cs="仿宋"/>
        </w:rPr>
        <w:t>年度全年召开会议</w:t>
      </w:r>
      <w:r>
        <w:rPr>
          <w:rFonts w:ascii="仿宋" w:eastAsia="仿宋" w:hAnsi="仿宋" w:cs="仿宋"/>
        </w:rPr>
        <w:t>81</w:t>
      </w:r>
      <w:r>
        <w:rPr>
          <w:rFonts w:ascii="仿宋" w:eastAsia="仿宋" w:hAnsi="仿宋" w:cs="仿宋"/>
        </w:rPr>
        <w:t>个，参加会议</w:t>
      </w:r>
      <w:r>
        <w:rPr>
          <w:rFonts w:ascii="仿宋" w:eastAsia="仿宋" w:hAnsi="仿宋" w:cs="仿宋"/>
        </w:rPr>
        <w:t>1356</w:t>
      </w:r>
      <w:r>
        <w:rPr>
          <w:rFonts w:ascii="仿宋" w:eastAsia="仿宋" w:hAnsi="仿宋" w:cs="仿宋"/>
        </w:rPr>
        <w:t>人次，开支内容：召开全市环保工作会议，全市生态环境业务条线会议发生的费用。</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（四）一般公共预算培训费支出决算情况说明。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年度一般公共预算财政拨款培训费支出预算</w:t>
      </w:r>
      <w:r>
        <w:rPr>
          <w:rFonts w:ascii="仿宋" w:eastAsia="仿宋" w:hAnsi="仿宋" w:cs="仿宋"/>
        </w:rPr>
        <w:t>6.47</w:t>
      </w:r>
      <w:r>
        <w:rPr>
          <w:rFonts w:ascii="仿宋" w:eastAsia="仿宋" w:hAnsi="仿宋" w:cs="仿宋"/>
        </w:rPr>
        <w:t>万元，支出决算</w:t>
      </w:r>
      <w:r>
        <w:rPr>
          <w:rFonts w:ascii="仿宋" w:eastAsia="仿宋" w:hAnsi="仿宋" w:cs="仿宋"/>
        </w:rPr>
        <w:t>3.84</w:t>
      </w:r>
      <w:r>
        <w:rPr>
          <w:rFonts w:ascii="仿宋" w:eastAsia="仿宋" w:hAnsi="仿宋" w:cs="仿宋"/>
        </w:rPr>
        <w:t>万元，完成预算的</w:t>
      </w:r>
      <w:r>
        <w:rPr>
          <w:rFonts w:ascii="仿宋" w:eastAsia="仿宋" w:hAnsi="仿宋" w:cs="仿宋"/>
        </w:rPr>
        <w:t>59.35%</w:t>
      </w:r>
      <w:r>
        <w:rPr>
          <w:rFonts w:ascii="仿宋" w:eastAsia="仿宋" w:hAnsi="仿宋" w:cs="仿宋"/>
        </w:rPr>
        <w:t>，决算数与预算数的差异原因：因疫情影响，现场培训减少，培训费用降低。</w:t>
      </w:r>
      <w:r>
        <w:rPr>
          <w:rFonts w:ascii="仿宋" w:eastAsia="仿宋" w:hAnsi="仿宋" w:cs="仿宋"/>
        </w:rPr>
        <w:t>2021</w:t>
      </w:r>
      <w:r>
        <w:rPr>
          <w:rFonts w:ascii="仿宋" w:eastAsia="仿宋" w:hAnsi="仿宋" w:cs="仿宋"/>
        </w:rPr>
        <w:t>年度全年组织培训</w:t>
      </w:r>
      <w:r>
        <w:rPr>
          <w:rFonts w:ascii="仿宋" w:eastAsia="仿宋" w:hAnsi="仿宋" w:cs="仿宋"/>
        </w:rPr>
        <w:t>2</w:t>
      </w:r>
      <w:r>
        <w:rPr>
          <w:rFonts w:ascii="仿宋" w:eastAsia="仿宋" w:hAnsi="仿宋" w:cs="仿宋"/>
        </w:rPr>
        <w:t>个，组织培训</w:t>
      </w:r>
      <w:r>
        <w:rPr>
          <w:rFonts w:ascii="仿宋" w:eastAsia="仿宋" w:hAnsi="仿宋" w:cs="仿宋"/>
        </w:rPr>
        <w:t>16</w:t>
      </w:r>
      <w:r>
        <w:rPr>
          <w:rFonts w:ascii="仿宋" w:eastAsia="仿宋" w:hAnsi="仿宋" w:cs="仿宋"/>
        </w:rPr>
        <w:t>人次，开支内容：全市生态环境系</w:t>
      </w:r>
      <w:r>
        <w:rPr>
          <w:rFonts w:ascii="仿宋" w:eastAsia="仿宋" w:hAnsi="仿宋" w:cs="仿宋"/>
        </w:rPr>
        <w:t>统各项业务工作培训。</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万元。与上年决算数相同。</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十二、一般公共预算机关运行经费支出决算情况说明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年度机关运行经费支出决算</w:t>
      </w:r>
      <w:r>
        <w:rPr>
          <w:rFonts w:ascii="仿宋" w:eastAsia="仿宋" w:hAnsi="仿宋" w:cs="仿宋"/>
        </w:rPr>
        <w:t>84.04</w:t>
      </w:r>
      <w:r>
        <w:rPr>
          <w:rFonts w:ascii="仿宋" w:eastAsia="仿宋" w:hAnsi="仿宋" w:cs="仿宋"/>
        </w:rPr>
        <w:t>万元。与上年相比，减少</w:t>
      </w:r>
      <w:r>
        <w:rPr>
          <w:rFonts w:ascii="仿宋" w:eastAsia="仿宋" w:hAnsi="仿宋" w:cs="仿宋"/>
        </w:rPr>
        <w:t>2.37</w:t>
      </w:r>
      <w:r>
        <w:rPr>
          <w:rFonts w:ascii="仿宋" w:eastAsia="仿宋" w:hAnsi="仿宋" w:cs="仿宋"/>
        </w:rPr>
        <w:t>万元，减少</w:t>
      </w:r>
      <w:r>
        <w:rPr>
          <w:rFonts w:ascii="仿宋" w:eastAsia="仿宋" w:hAnsi="仿宋" w:cs="仿宋"/>
        </w:rPr>
        <w:t>2.74%</w:t>
      </w:r>
      <w:r>
        <w:rPr>
          <w:rFonts w:ascii="仿宋" w:eastAsia="仿宋" w:hAnsi="仿宋" w:cs="仿宋"/>
        </w:rPr>
        <w:t>，变动原因：厉行节约，进一步压缩机关运行经费支出。</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年度政府采购支出总额</w:t>
      </w:r>
      <w:r>
        <w:rPr>
          <w:rFonts w:ascii="仿宋" w:eastAsia="仿宋" w:hAnsi="仿宋" w:cs="仿宋"/>
        </w:rPr>
        <w:t>5,</w:t>
      </w:r>
      <w:r>
        <w:rPr>
          <w:rFonts w:ascii="仿宋" w:eastAsia="仿宋" w:hAnsi="仿宋" w:cs="仿宋"/>
        </w:rPr>
        <w:t>847.67</w:t>
      </w:r>
      <w:r>
        <w:rPr>
          <w:rFonts w:ascii="仿宋" w:eastAsia="仿宋" w:hAnsi="仿宋" w:cs="仿宋"/>
        </w:rPr>
        <w:t>万元，其中：政府采购货物支出</w:t>
      </w:r>
      <w:r>
        <w:rPr>
          <w:rFonts w:ascii="仿宋" w:eastAsia="仿宋" w:hAnsi="仿宋" w:cs="仿宋"/>
        </w:rPr>
        <w:t>4,730.19</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1,117.48</w:t>
      </w:r>
      <w:r>
        <w:rPr>
          <w:rFonts w:ascii="仿宋" w:eastAsia="仿宋" w:hAnsi="仿宋" w:cs="仿宋"/>
        </w:rPr>
        <w:t>万元。政府采购授予中小企业合同金额</w:t>
      </w:r>
      <w:r>
        <w:rPr>
          <w:rFonts w:ascii="仿宋" w:eastAsia="仿宋" w:hAnsi="仿宋" w:cs="仿宋"/>
        </w:rPr>
        <w:t>1,132.35</w:t>
      </w:r>
      <w:r>
        <w:rPr>
          <w:rFonts w:ascii="仿宋" w:eastAsia="仿宋" w:hAnsi="仿宋" w:cs="仿宋"/>
        </w:rPr>
        <w:t>万元，占政府采购支出总额的</w:t>
      </w:r>
      <w:r>
        <w:rPr>
          <w:rFonts w:ascii="仿宋" w:eastAsia="仿宋" w:hAnsi="仿宋" w:cs="仿宋"/>
        </w:rPr>
        <w:t>19.36%</w:t>
      </w:r>
      <w:r>
        <w:rPr>
          <w:rFonts w:ascii="仿宋" w:eastAsia="仿宋" w:hAnsi="仿宋" w:cs="仿宋"/>
        </w:rPr>
        <w:t>，其中：授予小微企业合同金额</w:t>
      </w:r>
      <w:r>
        <w:rPr>
          <w:rFonts w:ascii="仿宋" w:eastAsia="仿宋" w:hAnsi="仿宋" w:cs="仿宋"/>
        </w:rPr>
        <w:t>1,132.35</w:t>
      </w:r>
      <w:r>
        <w:rPr>
          <w:rFonts w:ascii="仿宋" w:eastAsia="仿宋" w:hAnsi="仿宋" w:cs="仿宋"/>
        </w:rPr>
        <w:t>万元，占政府采购支出总额的</w:t>
      </w:r>
      <w:r>
        <w:rPr>
          <w:rFonts w:ascii="仿宋" w:eastAsia="仿宋" w:hAnsi="仿宋" w:cs="仿宋"/>
        </w:rPr>
        <w:t>19.36%</w:t>
      </w:r>
      <w:r>
        <w:rPr>
          <w:rFonts w:ascii="仿宋" w:eastAsia="仿宋" w:hAnsi="仿宋" w:cs="仿宋"/>
        </w:rPr>
        <w:t>。</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2021</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日，本部门共有车辆</w:t>
      </w:r>
      <w:r>
        <w:rPr>
          <w:rFonts w:ascii="仿宋" w:eastAsia="仿宋" w:hAnsi="仿宋" w:cs="仿宋"/>
        </w:rPr>
        <w:t>8</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1</w:t>
      </w:r>
      <w:r>
        <w:rPr>
          <w:rFonts w:ascii="仿宋" w:eastAsia="仿宋" w:hAnsi="仿宋" w:cs="仿宋"/>
        </w:rPr>
        <w:t>辆、特种专业技术用车</w:t>
      </w:r>
      <w:r>
        <w:rPr>
          <w:rFonts w:ascii="仿宋" w:eastAsia="仿宋" w:hAnsi="仿宋" w:cs="仿宋"/>
        </w:rPr>
        <w:t>1</w:t>
      </w:r>
      <w:r>
        <w:rPr>
          <w:rFonts w:ascii="仿宋" w:eastAsia="仿宋" w:hAnsi="仿宋" w:cs="仿宋"/>
        </w:rPr>
        <w:t>辆、离退休干</w:t>
      </w:r>
      <w:r>
        <w:rPr>
          <w:rFonts w:ascii="仿宋" w:eastAsia="仿宋" w:hAnsi="仿宋" w:cs="仿宋"/>
        </w:rPr>
        <w:t>部用车</w:t>
      </w:r>
      <w:r>
        <w:rPr>
          <w:rFonts w:ascii="仿宋" w:eastAsia="仿宋" w:hAnsi="仿宋" w:cs="仿宋"/>
        </w:rPr>
        <w:t>0</w:t>
      </w:r>
      <w:r>
        <w:rPr>
          <w:rFonts w:ascii="仿宋" w:eastAsia="仿宋" w:hAnsi="仿宋" w:cs="仿宋"/>
        </w:rPr>
        <w:t>辆、其他用车</w:t>
      </w:r>
      <w:r>
        <w:rPr>
          <w:rFonts w:ascii="仿宋" w:eastAsia="仿宋" w:hAnsi="仿宋" w:cs="仿宋"/>
        </w:rPr>
        <w:t>6</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0</w:t>
      </w:r>
      <w:r>
        <w:rPr>
          <w:rFonts w:ascii="仿宋" w:eastAsia="仿宋" w:hAnsi="仿宋" w:cs="仿宋"/>
        </w:rPr>
        <w:t>台（套）。</w:t>
      </w:r>
    </w:p>
    <w:p w:rsidR="00C26EF5" w:rsidRDefault="004C7F7C" w:rsidP="004567B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年度，本部门共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万元；本部门未开展部门整体支出财政重点绩效评价，涉及财政性资金</w:t>
      </w:r>
      <w:r>
        <w:rPr>
          <w:rFonts w:ascii="仿宋" w:eastAsia="仿宋" w:hAnsi="仿宋" w:cs="仿宋"/>
        </w:rPr>
        <w:t>0</w:t>
      </w:r>
      <w:r>
        <w:rPr>
          <w:rFonts w:ascii="仿宋" w:eastAsia="仿宋" w:hAnsi="仿宋" w:cs="仿宋"/>
        </w:rPr>
        <w:t>万元。</w:t>
      </w:r>
    </w:p>
    <w:p w:rsidR="00C26EF5" w:rsidRDefault="004C7F7C">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本部门共对上年度已实施完成的</w:t>
      </w:r>
      <w:r>
        <w:rPr>
          <w:rFonts w:ascii="仿宋" w:eastAsia="仿宋" w:hAnsi="仿宋" w:cs="仿宋"/>
        </w:rPr>
        <w:t>2</w:t>
      </w:r>
      <w:r>
        <w:rPr>
          <w:rFonts w:ascii="仿宋" w:eastAsia="仿宋" w:hAnsi="仿宋" w:cs="仿宋"/>
        </w:rPr>
        <w:t>个项目开展了绩效自评价，涉及财政性资金合计</w:t>
      </w:r>
      <w:r>
        <w:rPr>
          <w:rFonts w:ascii="仿宋" w:eastAsia="仿宋" w:hAnsi="仿宋" w:cs="仿宋"/>
        </w:rPr>
        <w:t>6,000</w:t>
      </w:r>
      <w:r>
        <w:rPr>
          <w:rFonts w:ascii="仿宋" w:eastAsia="仿宋" w:hAnsi="仿宋" w:cs="仿宋"/>
        </w:rPr>
        <w:t>万元；本部门共开展</w:t>
      </w:r>
      <w:r>
        <w:rPr>
          <w:rFonts w:ascii="仿宋" w:eastAsia="仿宋" w:hAnsi="仿宋" w:cs="仿宋"/>
        </w:rPr>
        <w:t>0</w:t>
      </w:r>
      <w:r>
        <w:rPr>
          <w:rFonts w:ascii="仿宋" w:eastAsia="仿宋" w:hAnsi="仿宋" w:cs="仿宋"/>
        </w:rPr>
        <w:t>项部门整体支出绩效自评价，涉及财政性资金合计</w:t>
      </w:r>
      <w:r>
        <w:rPr>
          <w:rFonts w:ascii="仿宋" w:eastAsia="仿宋" w:hAnsi="仿宋" w:cs="仿宋"/>
        </w:rPr>
        <w:t>0</w:t>
      </w:r>
      <w:r>
        <w:rPr>
          <w:rFonts w:ascii="仿宋" w:eastAsia="仿宋" w:hAnsi="仿宋" w:cs="仿宋"/>
        </w:rPr>
        <w:t>万元。</w:t>
      </w:r>
    </w:p>
    <w:p w:rsidR="00C26EF5" w:rsidRDefault="004C7F7C">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C26EF5" w:rsidRDefault="00C26EF5">
      <w:pPr>
        <w:pStyle w:val="a4"/>
        <w:tabs>
          <w:tab w:val="left" w:pos="3864"/>
          <w:tab w:val="left" w:pos="6248"/>
          <w:tab w:val="left" w:pos="7386"/>
        </w:tabs>
        <w:ind w:leftChars="200" w:left="440" w:firstLineChars="206" w:firstLine="659"/>
        <w:jc w:val="both"/>
        <w:rPr>
          <w:rFonts w:ascii="仿宋" w:eastAsia="仿宋" w:hAnsi="仿宋" w:cs="仿宋"/>
        </w:rPr>
      </w:pP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w:t>
      </w:r>
      <w:r>
        <w:rPr>
          <w:rFonts w:ascii="仿宋" w:eastAsia="仿宋" w:hAnsi="仿宋" w:cs="仿宋" w:hint="eastAsia"/>
        </w:rPr>
        <w:lastRenderedPageBreak/>
        <w:t>使用非财政拨款结余（原事业基金）弥补当年收支差额的数额。</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w:t>
      </w:r>
      <w:r>
        <w:rPr>
          <w:rFonts w:ascii="仿宋" w:eastAsia="仿宋" w:hAnsi="仿宋" w:cs="仿宋" w:hint="eastAsia"/>
        </w:rPr>
        <w:t>年的基本支出结转、项目支出结转和结余、经营结余。</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指部门用一般公共预</w:t>
      </w:r>
      <w:r>
        <w:rPr>
          <w:rFonts w:ascii="仿宋" w:eastAsia="仿宋" w:hAnsi="仿宋" w:cs="仿宋" w:hint="eastAsia"/>
        </w:rPr>
        <w:t>算财政拨款安排的因公出国（境）费、公务用车购置及运行维护费和公务接待费。其中，因公出国（境）费反映单位公务出国（境）的国际旅费、国外城市间交通费、住宿费、伙食费、培训费、公杂</w:t>
      </w:r>
      <w:r>
        <w:rPr>
          <w:rFonts w:ascii="仿宋" w:eastAsia="仿宋" w:hAnsi="仿宋" w:cs="仿宋" w:hint="eastAsia"/>
        </w:rPr>
        <w:lastRenderedPageBreak/>
        <w:t>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指行政单位（含参照公务员法管理的事业单位）使用一般公共预算安排的基本支出中的公用经费支出，包</w:t>
      </w:r>
      <w:r>
        <w:rPr>
          <w:rFonts w:ascii="仿宋" w:eastAsia="仿宋" w:hAnsi="仿宋" w:cs="仿宋" w:hint="eastAsia"/>
        </w:rPr>
        <w:t>括办公及印刷费、邮电费、差旅费、会议费、福利费、日常维修费、专用材料及一般设备购置费、办公用房水电费、办公用房取暖费、办公用房物业管理费、公务用车运行维护费及其他费用。</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十九、科学技术支出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技术研究与开发</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其他技术研究与开发支出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反映除上述项目以外其他用于技术研究与开发方面的支出。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行政单位医疗</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反映财政部门安排的行政单位（包括实行公务员管理的事业单位，下同）基本医疗保险缴费经费，未参加医疗</w:t>
      </w:r>
      <w:r>
        <w:rPr>
          <w:rFonts w:ascii="仿宋" w:eastAsia="仿宋" w:hAnsi="仿宋" w:cs="仿宋" w:hint="eastAsia"/>
        </w:rPr>
        <w:lastRenderedPageBreak/>
        <w:t>保险的行政单位的公费医疗经费，按国家规定享受离休人员、红军老战士待遇人员的医疗经费。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事业单位医疗</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反映财政部门安排的事业单位基本医疗保险缴费经费，未参加医疗保险的事业单位的公费医疗经费，按国家规定享受离休人员待遇的医疗经费。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一般行政管理事务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反映行政单位（包括实行公务员管理的事业单位）未单独设置项级科目的其他项目支出。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其他环境保护管理事务支出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反映除上述项目以外其他用于环境保护管理事务方面的</w:t>
      </w:r>
      <w:r>
        <w:rPr>
          <w:rFonts w:ascii="仿宋" w:eastAsia="仿宋" w:hAnsi="仿宋" w:cs="仿宋" w:hint="eastAsia"/>
        </w:rPr>
        <w:t>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环境监测与监察</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其他环境监测与监察支出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反映除上述项目以外其他用于环境监测与监察方面的支出。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二十九、节能环保支出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污染防治</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水体</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反映政府在排水、污水处理、水污染防治、湖库生态环境保护、水</w:t>
      </w:r>
      <w:r>
        <w:rPr>
          <w:rFonts w:ascii="仿宋" w:eastAsia="仿宋" w:hAnsi="仿宋" w:cs="仿宋" w:hint="eastAsia"/>
        </w:rPr>
        <w:lastRenderedPageBreak/>
        <w:t>源地保护、国土江河综合整治、河流治理与保护、地下水修复与保护等方面的支出。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自然生态保护</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生态保护</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反映用于生态功能保护区、生态示范区、生态省（市、县）管理及能力建设、日常管护、宣教、试点示范等支出，生态修复支出，资源开发生态监管</w:t>
      </w:r>
      <w:r>
        <w:rPr>
          <w:rFonts w:ascii="仿宋" w:eastAsia="仿宋" w:hAnsi="仿宋" w:cs="仿宋" w:hint="eastAsia"/>
        </w:rPr>
        <w:t>等支出。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三十一、节能环保支出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污染减排</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生态环境执法监察</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反映生态环境部门监督检查环保法律法规、标准等执行情况的支出，行政处罚、行政诉讼、行政复议支出，环境行政稽查支出，执法装备支出</w:t>
      </w:r>
      <w:r>
        <w:rPr>
          <w:rFonts w:ascii="仿宋" w:eastAsia="仿宋" w:hAnsi="仿宋" w:cs="仿宋" w:hint="eastAsia"/>
        </w:rPr>
        <w:t>,</w:t>
      </w:r>
      <w:r>
        <w:rPr>
          <w:rFonts w:ascii="仿宋" w:eastAsia="仿宋" w:hAnsi="仿宋" w:cs="仿宋" w:hint="eastAsia"/>
        </w:rPr>
        <w:t>排污费申报、征收与使用管理支出，环境问题举报、环境纠纷调查处理支出，突发性污染事故预防、应急处置等支出。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三十二、节能环保支出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污染减排</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其他污染减排支出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反映除上述项目以外其他用于污染减排方面的支出。</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三十三、住房保障支出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w:t>
      </w:r>
      <w:r>
        <w:rPr>
          <w:rFonts w:ascii="仿宋" w:eastAsia="仿宋" w:hAnsi="仿宋" w:cs="仿宋" w:hint="eastAsia"/>
        </w:rPr>
        <w:t>保障部、财政部规定的基本工资和津贴补贴以及规定比例为职工缴纳的住房公积金。</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三十四、住房保障支出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C26EF5" w:rsidRDefault="004C7F7C">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三十五、住房保障支出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lastRenderedPageBreak/>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sectPr w:rsidR="00C26EF5" w:rsidSect="00C26EF5">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7F7C" w:rsidRDefault="004C7F7C" w:rsidP="00C26EF5">
      <w:r>
        <w:separator/>
      </w:r>
    </w:p>
  </w:endnote>
  <w:endnote w:type="continuationSeparator" w:id="1">
    <w:p w:rsidR="004C7F7C" w:rsidRDefault="004C7F7C" w:rsidP="00C26E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7B4" w:rsidRDefault="004567B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7B4" w:rsidRDefault="004567B4">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7B4" w:rsidRDefault="004567B4">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rPr>
        <w:rFonts w:ascii="黑体" w:eastAsia="黑体" w:hAnsi="黑体" w:cs="黑体"/>
      </w:rPr>
    </w:pPr>
    <w:r w:rsidRPr="00C26EF5">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 filled="f" stroked="f">
          <v:textbox style="mso-fit-shape-to-text:t" inset="0,0,0,0">
            <w:txbxContent>
              <w:p w:rsidR="00C26EF5" w:rsidRDefault="00C26EF5">
                <w:pPr>
                  <w:pStyle w:val="a5"/>
                  <w:rPr>
                    <w:rFonts w:ascii="黑体" w:eastAsia="黑体" w:hAnsi="黑体" w:cs="黑体"/>
                  </w:rPr>
                </w:pPr>
                <w:r>
                  <w:rPr>
                    <w:rFonts w:ascii="黑体" w:eastAsia="黑体" w:hAnsi="黑体" w:cs="黑体" w:hint="eastAsia"/>
                  </w:rPr>
                  <w:fldChar w:fldCharType="begin"/>
                </w:r>
                <w:r w:rsidR="004C7F7C">
                  <w:rPr>
                    <w:rFonts w:ascii="黑体" w:eastAsia="黑体" w:hAnsi="黑体" w:cs="黑体" w:hint="eastAsia"/>
                  </w:rPr>
                  <w:instrText xml:space="preserve"> PAGE  \* MERGEFORMAT </w:instrText>
                </w:r>
                <w:r>
                  <w:rPr>
                    <w:rFonts w:ascii="黑体" w:eastAsia="黑体" w:hAnsi="黑体" w:cs="黑体" w:hint="eastAsia"/>
                  </w:rPr>
                  <w:fldChar w:fldCharType="separate"/>
                </w:r>
                <w:r w:rsidR="004567B4">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rPr>
        <w:rFonts w:ascii="黑体" w:eastAsia="黑体" w:hAnsi="黑体" w:cs="黑体"/>
      </w:rPr>
    </w:pPr>
    <w:r w:rsidRPr="00C26EF5">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 filled="f" stroked="f">
          <v:textbox style="mso-fit-shape-to-text:t" inset="0,0,0,0">
            <w:txbxContent>
              <w:p w:rsidR="00C26EF5" w:rsidRDefault="00C26EF5">
                <w:pPr>
                  <w:pStyle w:val="a5"/>
                  <w:rPr>
                    <w:rFonts w:ascii="黑体" w:eastAsia="黑体" w:hAnsi="黑体" w:cs="黑体"/>
                  </w:rPr>
                </w:pPr>
                <w:r>
                  <w:rPr>
                    <w:rFonts w:ascii="黑体" w:eastAsia="黑体" w:hAnsi="黑体" w:cs="黑体" w:hint="eastAsia"/>
                  </w:rPr>
                  <w:fldChar w:fldCharType="begin"/>
                </w:r>
                <w:r w:rsidR="004C7F7C">
                  <w:rPr>
                    <w:rFonts w:ascii="黑体" w:eastAsia="黑体" w:hAnsi="黑体" w:cs="黑体" w:hint="eastAsia"/>
                  </w:rPr>
                  <w:instrText xml:space="preserve"> PAGE  \* MERGEFORMAT </w:instrText>
                </w:r>
                <w:r>
                  <w:rPr>
                    <w:rFonts w:ascii="黑体" w:eastAsia="黑体" w:hAnsi="黑体" w:cs="黑体" w:hint="eastAsia"/>
                  </w:rPr>
                  <w:fldChar w:fldCharType="separate"/>
                </w:r>
                <w:r w:rsidR="004567B4">
                  <w:rPr>
                    <w:rFonts w:ascii="黑体" w:eastAsia="黑体" w:hAnsi="黑体" w:cs="黑体"/>
                    <w:noProof/>
                  </w:rPr>
                  <w:t>- 10 -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- 12 -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- 14 -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- 16 -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- 18 -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- 20 -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- 23 -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- 25 -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- 28 -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- 29 -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- 31 -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5"/>
      <w:jc w:val="center"/>
    </w:pPr>
    <w:r w:rsidRPr="00C26EF5">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 filled="f" stroked="f">
          <v:textbox style="mso-fit-shape-to-text:t" inset="0,0,0,0">
            <w:txbxContent>
              <w:p w:rsidR="00C26EF5" w:rsidRDefault="00C26EF5">
                <w:pPr>
                  <w:pStyle w:val="a5"/>
                </w:pPr>
                <w:r>
                  <w:rPr>
                    <w:rFonts w:hint="eastAsia"/>
                  </w:rPr>
                  <w:fldChar w:fldCharType="begin"/>
                </w:r>
                <w:r w:rsidR="004C7F7C">
                  <w:rPr>
                    <w:rFonts w:hint="eastAsia"/>
                  </w:rPr>
                  <w:instrText xml:space="preserve"> PAGE  \* MERGEFORMAT </w:instrText>
                </w:r>
                <w:r>
                  <w:rPr>
                    <w:rFonts w:hint="eastAsia"/>
                  </w:rPr>
                  <w:fldChar w:fldCharType="separate"/>
                </w:r>
                <w:r w:rsidR="004567B4">
                  <w:rPr>
                    <w:noProof/>
                  </w:rPr>
                  <w:t>- 45 -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7F7C" w:rsidRDefault="004C7F7C">
      <w:r>
        <w:separator/>
      </w:r>
    </w:p>
  </w:footnote>
  <w:footnote w:type="continuationSeparator" w:id="1">
    <w:p w:rsidR="004C7F7C" w:rsidRDefault="004C7F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7B4" w:rsidRDefault="004567B4">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4C7F7C">
    <w:pPr>
      <w:pStyle w:val="a6"/>
      <w:pBdr>
        <w:bottom w:val="single" w:sz="4" w:space="1" w:color="000000"/>
      </w:pBdr>
      <w:jc w:val="both"/>
      <w:rPr>
        <w:lang w:val="en-US"/>
      </w:rPr>
    </w:pPr>
    <w:r>
      <w:rPr>
        <w:rFonts w:hint="eastAsia"/>
        <w:lang w:val="en-US"/>
      </w:rPr>
      <w:t>常州市生态环境局</w:t>
    </w:r>
    <w:r>
      <w:t>2021</w:t>
    </w:r>
    <w:r>
      <w:t>年度部门决算公开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EF5" w:rsidRDefault="00C26EF5">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0"/>
  <w:autoHyphenation/>
  <w:noPunctuationKerning/>
  <w:characterSpacingControl w:val="doNotCompress"/>
  <w:hdrShapeDefaults>
    <o:shapedefaults v:ext="edit" spidmax="6146"/>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C26EF5"/>
    <w:rsid w:val="DBEED555"/>
    <w:rsid w:val="00064984"/>
    <w:rsid w:val="00071789"/>
    <w:rsid w:val="000F12AB"/>
    <w:rsid w:val="001C31F9"/>
    <w:rsid w:val="002E63B1"/>
    <w:rsid w:val="00407CA7"/>
    <w:rsid w:val="00413AD8"/>
    <w:rsid w:val="004567B4"/>
    <w:rsid w:val="004C0647"/>
    <w:rsid w:val="004C7F7C"/>
    <w:rsid w:val="00671ED7"/>
    <w:rsid w:val="00672164"/>
    <w:rsid w:val="006732F1"/>
    <w:rsid w:val="008322BB"/>
    <w:rsid w:val="00867423"/>
    <w:rsid w:val="008B5B05"/>
    <w:rsid w:val="009965EA"/>
    <w:rsid w:val="00A6752E"/>
    <w:rsid w:val="00B92181"/>
    <w:rsid w:val="00BD7F33"/>
    <w:rsid w:val="00C15920"/>
    <w:rsid w:val="00C26EF5"/>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C26EF5"/>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C26EF5"/>
    <w:pPr>
      <w:ind w:left="-40"/>
      <w:outlineLvl w:val="0"/>
    </w:pPr>
    <w:rPr>
      <w:sz w:val="52"/>
      <w:szCs w:val="52"/>
    </w:rPr>
  </w:style>
  <w:style w:type="paragraph" w:styleId="2">
    <w:name w:val="heading 2"/>
    <w:basedOn w:val="a"/>
    <w:next w:val="a"/>
    <w:uiPriority w:val="1"/>
    <w:qFormat/>
    <w:rsid w:val="00C26EF5"/>
    <w:pPr>
      <w:ind w:right="18"/>
      <w:jc w:val="center"/>
      <w:outlineLvl w:val="1"/>
    </w:pPr>
    <w:rPr>
      <w:sz w:val="44"/>
      <w:szCs w:val="44"/>
    </w:rPr>
  </w:style>
  <w:style w:type="paragraph" w:styleId="3">
    <w:name w:val="heading 3"/>
    <w:basedOn w:val="a"/>
    <w:next w:val="a"/>
    <w:uiPriority w:val="1"/>
    <w:qFormat/>
    <w:rsid w:val="00C26EF5"/>
    <w:pPr>
      <w:ind w:left="1"/>
      <w:jc w:val="center"/>
      <w:outlineLvl w:val="2"/>
    </w:pPr>
    <w:rPr>
      <w:sz w:val="40"/>
      <w:szCs w:val="40"/>
    </w:rPr>
  </w:style>
  <w:style w:type="paragraph" w:styleId="4">
    <w:name w:val="heading 4"/>
    <w:basedOn w:val="a"/>
    <w:next w:val="a"/>
    <w:uiPriority w:val="1"/>
    <w:qFormat/>
    <w:rsid w:val="00C26EF5"/>
    <w:pPr>
      <w:jc w:val="center"/>
      <w:outlineLvl w:val="3"/>
    </w:pPr>
    <w:rPr>
      <w:sz w:val="36"/>
      <w:szCs w:val="36"/>
    </w:rPr>
  </w:style>
  <w:style w:type="paragraph" w:styleId="5">
    <w:name w:val="heading 5"/>
    <w:basedOn w:val="a"/>
    <w:next w:val="a"/>
    <w:uiPriority w:val="1"/>
    <w:qFormat/>
    <w:rsid w:val="00C26EF5"/>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26EF5"/>
    <w:pPr>
      <w:suppressLineNumbers/>
      <w:spacing w:before="120" w:after="120"/>
    </w:pPr>
    <w:rPr>
      <w:i/>
      <w:iCs/>
      <w:sz w:val="24"/>
      <w:szCs w:val="24"/>
    </w:rPr>
  </w:style>
  <w:style w:type="paragraph" w:styleId="a4">
    <w:name w:val="Body Text"/>
    <w:basedOn w:val="a"/>
    <w:uiPriority w:val="1"/>
    <w:qFormat/>
    <w:rsid w:val="00C26EF5"/>
    <w:rPr>
      <w:sz w:val="32"/>
      <w:szCs w:val="32"/>
    </w:rPr>
  </w:style>
  <w:style w:type="paragraph" w:styleId="a5">
    <w:name w:val="footer"/>
    <w:basedOn w:val="a"/>
    <w:qFormat/>
    <w:rsid w:val="00C26EF5"/>
    <w:pPr>
      <w:tabs>
        <w:tab w:val="center" w:pos="4153"/>
        <w:tab w:val="right" w:pos="8306"/>
      </w:tabs>
      <w:snapToGrid w:val="0"/>
    </w:pPr>
    <w:rPr>
      <w:sz w:val="18"/>
      <w:szCs w:val="18"/>
    </w:rPr>
  </w:style>
  <w:style w:type="paragraph" w:styleId="a6">
    <w:name w:val="header"/>
    <w:basedOn w:val="a"/>
    <w:qFormat/>
    <w:rsid w:val="00C26EF5"/>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C26EF5"/>
  </w:style>
  <w:style w:type="table" w:styleId="a8">
    <w:name w:val="Table Grid"/>
    <w:basedOn w:val="a1"/>
    <w:qFormat/>
    <w:rsid w:val="00C26EF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C26EF5"/>
  </w:style>
  <w:style w:type="character" w:customStyle="1" w:styleId="aa">
    <w:name w:val="页眉 字符"/>
    <w:basedOn w:val="a0"/>
    <w:qFormat/>
    <w:rsid w:val="00C26EF5"/>
    <w:rPr>
      <w:rFonts w:ascii="Arial Unicode MS" w:eastAsia="Arial Unicode MS" w:hAnsi="Arial Unicode MS" w:cs="Arial Unicode MS"/>
      <w:sz w:val="18"/>
      <w:szCs w:val="18"/>
      <w:lang w:val="zh-CN" w:bidi="zh-CN"/>
    </w:rPr>
  </w:style>
  <w:style w:type="character" w:customStyle="1" w:styleId="ab">
    <w:name w:val="页脚 字符"/>
    <w:basedOn w:val="a0"/>
    <w:qFormat/>
    <w:rsid w:val="00C26EF5"/>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C26EF5"/>
    <w:pPr>
      <w:keepNext/>
      <w:spacing w:before="240" w:after="120"/>
    </w:pPr>
    <w:rPr>
      <w:rFonts w:ascii="Liberation Sans" w:hAnsi="Liberation Sans"/>
      <w:sz w:val="28"/>
      <w:szCs w:val="28"/>
    </w:rPr>
  </w:style>
  <w:style w:type="paragraph" w:customStyle="1" w:styleId="ad">
    <w:name w:val="索引"/>
    <w:basedOn w:val="a"/>
    <w:qFormat/>
    <w:rsid w:val="00C26EF5"/>
    <w:pPr>
      <w:suppressLineNumbers/>
    </w:pPr>
  </w:style>
  <w:style w:type="paragraph" w:customStyle="1" w:styleId="ae">
    <w:name w:val="页眉与页脚"/>
    <w:basedOn w:val="a"/>
    <w:qFormat/>
    <w:rsid w:val="00C26EF5"/>
  </w:style>
  <w:style w:type="paragraph" w:customStyle="1" w:styleId="10">
    <w:name w:val="列出段落1"/>
    <w:basedOn w:val="a"/>
    <w:uiPriority w:val="1"/>
    <w:qFormat/>
    <w:rsid w:val="00C26EF5"/>
    <w:pPr>
      <w:ind w:left="2039" w:hanging="782"/>
    </w:pPr>
  </w:style>
  <w:style w:type="paragraph" w:customStyle="1" w:styleId="TableParagraph">
    <w:name w:val="Table Paragraph"/>
    <w:basedOn w:val="a"/>
    <w:uiPriority w:val="1"/>
    <w:qFormat/>
    <w:rsid w:val="00C26EF5"/>
    <w:rPr>
      <w:rFonts w:ascii="宋体" w:eastAsia="宋体" w:hAnsi="宋体" w:cs="宋体"/>
    </w:rPr>
  </w:style>
  <w:style w:type="paragraph" w:customStyle="1" w:styleId="af">
    <w:name w:val="表格内容"/>
    <w:basedOn w:val="a"/>
    <w:qFormat/>
    <w:rsid w:val="00C26EF5"/>
    <w:pPr>
      <w:suppressLineNumbers/>
    </w:pPr>
  </w:style>
  <w:style w:type="paragraph" w:customStyle="1" w:styleId="af0">
    <w:name w:val="表格标题"/>
    <w:basedOn w:val="af"/>
    <w:qFormat/>
    <w:rsid w:val="00C26EF5"/>
    <w:pPr>
      <w:jc w:val="center"/>
    </w:pPr>
    <w:rPr>
      <w:b/>
      <w:bCs/>
    </w:rPr>
  </w:style>
  <w:style w:type="paragraph" w:customStyle="1" w:styleId="af1">
    <w:name w:val="预格式化的文本"/>
    <w:basedOn w:val="a"/>
    <w:qFormat/>
    <w:rsid w:val="00C26EF5"/>
    <w:rPr>
      <w:rFonts w:ascii="Liberation Mono" w:eastAsia="新宋体" w:hAnsi="Liberation Mono" w:cs="Liberation Mono"/>
      <w:sz w:val="20"/>
      <w:szCs w:val="20"/>
    </w:rPr>
  </w:style>
  <w:style w:type="table" w:customStyle="1" w:styleId="TableNormal">
    <w:name w:val="Table Normal"/>
    <w:uiPriority w:val="2"/>
    <w:unhideWhenUsed/>
    <w:qFormat/>
    <w:rsid w:val="00C26EF5"/>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4048</Words>
  <Characters>23079</Characters>
  <Application>Microsoft Office Word</Application>
  <DocSecurity>0</DocSecurity>
  <Lines>192</Lines>
  <Paragraphs>54</Paragraphs>
  <ScaleCrop>false</ScaleCrop>
  <Company>Microsoft</Company>
  <LinksUpToDate>false</LinksUpToDate>
  <CharactersWithSpaces>27073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AutoBVT</cp:lastModifiedBy>
  <cp:revision>176</cp:revision>
  <dcterms:created xsi:type="dcterms:W3CDTF">2021-04-16T03:22:00Z</dcterms:created>
  <dcterms:modified xsi:type="dcterms:W3CDTF">2025-08-21T08:43:00Z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