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CAC" w:rsidRDefault="00F21CAC">
      <w:pPr>
        <w:ind w:firstLine="600"/>
        <w:rPr>
          <w:rFonts w:ascii="黑体" w:eastAsia="黑体" w:hAnsi="黑体"/>
          <w:sz w:val="30"/>
          <w:szCs w:val="30"/>
        </w:rPr>
      </w:pPr>
    </w:p>
    <w:p w:rsidR="00F21CAC" w:rsidRDefault="00F21CAC">
      <w:pPr>
        <w:ind w:firstLine="640"/>
      </w:pPr>
    </w:p>
    <w:p w:rsidR="00F21CAC" w:rsidRDefault="00F21CAC">
      <w:pPr>
        <w:ind w:firstLine="640"/>
      </w:pPr>
    </w:p>
    <w:p w:rsidR="00F21CAC" w:rsidRDefault="00F21CAC">
      <w:pPr>
        <w:ind w:firstLine="640"/>
      </w:pPr>
    </w:p>
    <w:p w:rsidR="00F21CAC" w:rsidRDefault="00F21CAC">
      <w:pPr>
        <w:ind w:firstLine="640"/>
      </w:pPr>
    </w:p>
    <w:p w:rsidR="00F21CAC" w:rsidRDefault="00F21CAC">
      <w:pPr>
        <w:ind w:firstLine="640"/>
      </w:pPr>
    </w:p>
    <w:p w:rsidR="00F21CAC" w:rsidRDefault="00F21CAC">
      <w:pPr>
        <w:ind w:firstLine="640"/>
      </w:pPr>
    </w:p>
    <w:p w:rsidR="00F21CAC" w:rsidRDefault="00F21CAC">
      <w:pPr>
        <w:ind w:firstLine="640"/>
      </w:pPr>
    </w:p>
    <w:p w:rsidR="00A01027" w:rsidRDefault="00FA7A1D">
      <w:pPr>
        <w:spacing w:line="580" w:lineRule="exact"/>
        <w:ind w:firstLineChars="0" w:firstLine="0"/>
        <w:jc w:val="center"/>
        <w:rPr>
          <w:rFonts w:ascii="方正小标宋简体" w:eastAsia="方正小标宋简体" w:hint="eastAsia"/>
          <w:sz w:val="52"/>
          <w:szCs w:val="52"/>
        </w:rPr>
      </w:pPr>
      <w:r>
        <w:rPr>
          <w:rFonts w:ascii="方正小标宋简体" w:eastAsia="方正小标宋简体" w:hint="eastAsia"/>
          <w:sz w:val="52"/>
          <w:szCs w:val="52"/>
        </w:rPr>
        <w:t>常州市环境保护局2017年度</w:t>
      </w:r>
    </w:p>
    <w:p w:rsidR="00F21CAC" w:rsidRDefault="00FA7A1D">
      <w:pPr>
        <w:spacing w:line="580" w:lineRule="exact"/>
        <w:ind w:firstLineChars="0" w:firstLine="0"/>
        <w:jc w:val="center"/>
        <w:rPr>
          <w:rFonts w:ascii="方正小标宋简体" w:eastAsia="方正小标宋简体"/>
          <w:sz w:val="44"/>
          <w:szCs w:val="44"/>
        </w:rPr>
      </w:pPr>
      <w:r>
        <w:rPr>
          <w:rFonts w:ascii="方正小标宋简体" w:eastAsia="方正小标宋简体" w:hint="eastAsia"/>
          <w:sz w:val="52"/>
          <w:szCs w:val="52"/>
        </w:rPr>
        <w:t>部门决算公开</w:t>
      </w:r>
    </w:p>
    <w:p w:rsidR="00F21CAC" w:rsidRDefault="00F21CAC">
      <w:pPr>
        <w:ind w:firstLine="640"/>
      </w:pPr>
    </w:p>
    <w:p w:rsidR="00F21CAC" w:rsidRDefault="00F21CAC">
      <w:pPr>
        <w:ind w:firstLine="640"/>
      </w:pPr>
    </w:p>
    <w:p w:rsidR="00F21CAC" w:rsidRDefault="00FA7A1D">
      <w:pPr>
        <w:spacing w:line="570" w:lineRule="exact"/>
        <w:ind w:firstLineChars="0" w:firstLine="0"/>
        <w:jc w:val="center"/>
        <w:rPr>
          <w:rFonts w:ascii="黑体" w:eastAsia="黑体" w:hAnsi="黑体"/>
          <w:sz w:val="30"/>
          <w:szCs w:val="30"/>
        </w:rPr>
      </w:pPr>
      <w:r>
        <w:br w:type="page"/>
      </w:r>
      <w:r>
        <w:rPr>
          <w:rFonts w:ascii="黑体" w:eastAsia="黑体" w:hAnsi="黑体"/>
          <w:sz w:val="30"/>
          <w:szCs w:val="30"/>
        </w:rPr>
        <w:lastRenderedPageBreak/>
        <w:t>目  录</w:t>
      </w:r>
    </w:p>
    <w:p w:rsidR="00F21CAC" w:rsidRDefault="00F21CAC">
      <w:pPr>
        <w:spacing w:line="550" w:lineRule="exact"/>
        <w:ind w:firstLine="880"/>
        <w:jc w:val="center"/>
        <w:rPr>
          <w:rFonts w:eastAsia="方正小标宋_GBK"/>
          <w:sz w:val="44"/>
          <w:szCs w:val="44"/>
        </w:rPr>
      </w:pPr>
    </w:p>
    <w:p w:rsidR="00F21CAC" w:rsidRDefault="00FA7A1D">
      <w:pPr>
        <w:spacing w:line="570" w:lineRule="exact"/>
        <w:ind w:firstLine="600"/>
        <w:rPr>
          <w:rFonts w:ascii="黑体" w:eastAsia="黑体" w:hAnsi="黑体"/>
          <w:sz w:val="30"/>
          <w:szCs w:val="30"/>
        </w:rPr>
      </w:pPr>
      <w:r>
        <w:rPr>
          <w:rFonts w:ascii="黑体" w:eastAsia="黑体" w:hAnsi="黑体"/>
          <w:sz w:val="30"/>
          <w:szCs w:val="30"/>
        </w:rPr>
        <w:t>第一部分 部门概况</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一、主要职能</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二、部门机构设置及决算单位构成情况</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三、2017年度主要工作完成情况</w:t>
      </w:r>
    </w:p>
    <w:p w:rsidR="00F21CAC" w:rsidRDefault="00FA7A1D">
      <w:pPr>
        <w:spacing w:line="570" w:lineRule="exact"/>
        <w:ind w:firstLine="600"/>
        <w:rPr>
          <w:rFonts w:ascii="黑体" w:eastAsia="黑体" w:hAnsi="黑体"/>
          <w:sz w:val="30"/>
          <w:szCs w:val="30"/>
        </w:rPr>
      </w:pPr>
      <w:r>
        <w:rPr>
          <w:rFonts w:ascii="黑体" w:eastAsia="黑体" w:hAnsi="黑体"/>
          <w:sz w:val="30"/>
          <w:szCs w:val="30"/>
        </w:rPr>
        <w:t>第二部分 2017年度部门决算表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一、收入支出决算总表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二、收入决算表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三、支出决算表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四、财政拨款收入支出决算总表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五、财政拨款支出决算表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六、财政拨款基本支出决算表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七、一般公共预算财政拨款支出决算表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八、一般公共预算财政拨款基本支出决算表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九、一般公共预算财政拨款“三公”经费、会议费、培训费支出决算表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十、政府性基金预算财政拨款收入支出决算表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十一、机关运行经费支出决算表</w:t>
      </w:r>
    </w:p>
    <w:p w:rsidR="00F21CAC" w:rsidRDefault="00FA7A1D">
      <w:pPr>
        <w:spacing w:line="570" w:lineRule="exact"/>
        <w:ind w:firstLine="600"/>
        <w:rPr>
          <w:rFonts w:ascii="仿宋_GB2312" w:hAnsi="黑体"/>
          <w:sz w:val="30"/>
          <w:szCs w:val="30"/>
        </w:rPr>
      </w:pPr>
      <w:r>
        <w:rPr>
          <w:rFonts w:ascii="仿宋_GB2312" w:hAnsi="黑体" w:hint="eastAsia"/>
          <w:sz w:val="30"/>
          <w:szCs w:val="30"/>
        </w:rPr>
        <w:t>十二、政府采购支出决算表</w:t>
      </w:r>
    </w:p>
    <w:p w:rsidR="00F21CAC" w:rsidRDefault="00FA7A1D">
      <w:pPr>
        <w:spacing w:line="570" w:lineRule="exact"/>
        <w:ind w:firstLine="600"/>
        <w:rPr>
          <w:rFonts w:ascii="黑体" w:eastAsia="黑体" w:hAnsi="黑体"/>
          <w:sz w:val="30"/>
          <w:szCs w:val="30"/>
        </w:rPr>
      </w:pPr>
      <w:r>
        <w:rPr>
          <w:rFonts w:ascii="黑体" w:eastAsia="黑体" w:hAnsi="黑体"/>
          <w:sz w:val="30"/>
          <w:szCs w:val="30"/>
        </w:rPr>
        <w:t>第三部分 2017年度部门决算情况说明</w:t>
      </w:r>
    </w:p>
    <w:p w:rsidR="00F21CAC" w:rsidRDefault="00FA7A1D">
      <w:pPr>
        <w:spacing w:line="570" w:lineRule="exact"/>
        <w:ind w:firstLine="600"/>
        <w:rPr>
          <w:rFonts w:ascii="黑体" w:eastAsia="黑体" w:hAnsi="黑体"/>
          <w:sz w:val="30"/>
          <w:szCs w:val="30"/>
        </w:rPr>
      </w:pPr>
      <w:r>
        <w:rPr>
          <w:rFonts w:ascii="黑体" w:eastAsia="黑体" w:hAnsi="黑体"/>
          <w:sz w:val="30"/>
          <w:szCs w:val="30"/>
        </w:rPr>
        <w:t>第四部分 名词解释</w:t>
      </w:r>
    </w:p>
    <w:p w:rsidR="00F21CAC" w:rsidRDefault="00FA7A1D">
      <w:pPr>
        <w:spacing w:line="570" w:lineRule="exact"/>
        <w:ind w:firstLineChars="0" w:firstLine="0"/>
        <w:jc w:val="center"/>
        <w:rPr>
          <w:rFonts w:ascii="黑体" w:eastAsia="黑体" w:hAnsi="黑体"/>
          <w:sz w:val="30"/>
          <w:szCs w:val="30"/>
        </w:rPr>
      </w:pPr>
      <w:r>
        <w:rPr>
          <w:rFonts w:eastAsia="方正小标宋_GBK"/>
          <w:sz w:val="36"/>
          <w:szCs w:val="36"/>
        </w:rPr>
        <w:br w:type="page"/>
      </w:r>
      <w:r>
        <w:rPr>
          <w:rFonts w:ascii="黑体" w:eastAsia="黑体" w:hAnsi="黑体"/>
          <w:sz w:val="30"/>
          <w:szCs w:val="30"/>
        </w:rPr>
        <w:lastRenderedPageBreak/>
        <w:t>第一部分　部门概况</w:t>
      </w:r>
    </w:p>
    <w:p w:rsidR="00F21CAC" w:rsidRDefault="00F21CAC">
      <w:pPr>
        <w:spacing w:line="570" w:lineRule="exact"/>
        <w:ind w:firstLine="600"/>
        <w:rPr>
          <w:rFonts w:ascii="黑体" w:eastAsia="黑体" w:hAnsi="黑体"/>
          <w:sz w:val="30"/>
          <w:szCs w:val="30"/>
        </w:rPr>
      </w:pPr>
    </w:p>
    <w:p w:rsidR="00F21CAC" w:rsidRDefault="00FA7A1D">
      <w:pPr>
        <w:numPr>
          <w:ilvl w:val="0"/>
          <w:numId w:val="1"/>
        </w:numPr>
        <w:spacing w:line="570" w:lineRule="exact"/>
        <w:ind w:firstLine="600"/>
        <w:rPr>
          <w:rFonts w:ascii="黑体" w:eastAsia="黑体" w:hAnsi="黑体"/>
          <w:sz w:val="30"/>
          <w:szCs w:val="30"/>
        </w:rPr>
      </w:pPr>
      <w:r>
        <w:rPr>
          <w:rFonts w:ascii="黑体" w:eastAsia="黑体" w:hAnsi="黑体"/>
          <w:sz w:val="30"/>
          <w:szCs w:val="30"/>
        </w:rPr>
        <w:t>部门主要职能</w:t>
      </w:r>
    </w:p>
    <w:p w:rsidR="00F21CAC" w:rsidRDefault="00FA7A1D">
      <w:pPr>
        <w:pStyle w:val="a6"/>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Ansi="仿宋" w:cs="宋体" w:hint="eastAsia"/>
          <w:color w:val="000000"/>
          <w:kern w:val="0"/>
          <w:sz w:val="28"/>
          <w:szCs w:val="28"/>
        </w:rPr>
        <w:t>常州市环境保护局</w:t>
      </w:r>
      <w:r>
        <w:rPr>
          <w:rFonts w:ascii="仿宋_GB2312" w:hAnsi="仿宋" w:hint="eastAsia"/>
          <w:color w:val="000000"/>
          <w:sz w:val="28"/>
          <w:szCs w:val="28"/>
        </w:rPr>
        <w:t>承担着对全市环境保护统一监督管理的法定职责。具体工作包括：落实执行环境保护基本制度；负责重大环境问题的统筹协调和监督管理；落实减排目标任务；提出环境保护领域固定资产投资规模和方向、市财政性资金安排意见；承担从源头上预防控制环境污染和环境破坏的监管责任；负责环境污染防治的监督管理；指导、协调、监督生态保护工作；负责核与辐射安全的监督管理；负责环境监测和信息发布；开展环境保护科技工作；组织开展环境保护国际合作交流，归口管理全市环境保护国际合作和利用外资项目</w:t>
      </w:r>
      <w:r>
        <w:rPr>
          <w:rFonts w:ascii="仿宋_GB2312" w:hAnsi="仿宋"/>
          <w:color w:val="000000"/>
          <w:sz w:val="28"/>
          <w:szCs w:val="28"/>
        </w:rPr>
        <w:t>,</w:t>
      </w:r>
      <w:r>
        <w:rPr>
          <w:rFonts w:ascii="仿宋_GB2312" w:hAnsi="仿宋" w:hint="eastAsia"/>
          <w:color w:val="000000"/>
          <w:sz w:val="28"/>
          <w:szCs w:val="28"/>
        </w:rPr>
        <w:t>组织协调市内有关环境保护国际条约的履约工作，参与处理涉外环境保护事务；组织、指导和协调环境保护宣教工作，承办市委市政府交办的其他事项等工作。</w:t>
      </w:r>
    </w:p>
    <w:p w:rsidR="00F21CAC" w:rsidRDefault="00FA7A1D">
      <w:pPr>
        <w:spacing w:line="570" w:lineRule="exact"/>
        <w:ind w:firstLine="600"/>
        <w:rPr>
          <w:rFonts w:ascii="黑体" w:eastAsia="黑体" w:hAnsi="黑体"/>
          <w:sz w:val="30"/>
          <w:szCs w:val="30"/>
        </w:rPr>
      </w:pPr>
      <w:r>
        <w:rPr>
          <w:rFonts w:ascii="黑体" w:eastAsia="黑体" w:hAnsi="黑体"/>
          <w:sz w:val="30"/>
          <w:szCs w:val="30"/>
        </w:rPr>
        <w:t>二、部门机构设置及决算单位构成情况</w:t>
      </w:r>
    </w:p>
    <w:p w:rsidR="00F21CAC" w:rsidRDefault="00FA7A1D">
      <w:pPr>
        <w:spacing w:line="570" w:lineRule="exact"/>
        <w:ind w:firstLine="560"/>
        <w:rPr>
          <w:rFonts w:ascii="仿宋_GB2312"/>
          <w:iCs/>
          <w:spacing w:val="-8"/>
          <w:sz w:val="28"/>
          <w:szCs w:val="28"/>
        </w:rPr>
      </w:pPr>
      <w:r>
        <w:rPr>
          <w:rFonts w:ascii="仿宋_GB2312" w:hint="eastAsia"/>
          <w:sz w:val="28"/>
          <w:szCs w:val="28"/>
        </w:rPr>
        <w:t>1. 根据部门职责分工，本部门内设机构包括</w:t>
      </w:r>
      <w:r>
        <w:rPr>
          <w:rFonts w:ascii="仿宋_GB2312" w:hint="eastAsia"/>
          <w:iCs/>
          <w:spacing w:val="-8"/>
          <w:sz w:val="28"/>
          <w:szCs w:val="28"/>
        </w:rPr>
        <w:t>办公室、生态文明建设处、规划财务处、政策法规处、污染物排放总量控制处（环境监测处）、水污染防治处（市太湖办督查应急处）、大气污染防治处、自然生态保护处（土壤污染防治处）、行政服务处、环境监理处、核与辐射安全监督管理处。本部门下属7个直属事业单位包括：常州市环境监察支队、常州市环境监测中心、常州市固废与辐射环境管理中心、常州市环境科学研究院、常州环保科技开发推广中心、常州市环境信息中心和常州市机动车排污监管中心。</w:t>
      </w:r>
    </w:p>
    <w:p w:rsidR="00F21CAC" w:rsidRDefault="00FA7A1D">
      <w:pPr>
        <w:spacing w:line="570" w:lineRule="exact"/>
        <w:ind w:firstLine="560"/>
        <w:rPr>
          <w:rFonts w:ascii="仿宋_GB2312"/>
          <w:spacing w:val="-8"/>
          <w:sz w:val="28"/>
          <w:szCs w:val="28"/>
        </w:rPr>
      </w:pPr>
      <w:r>
        <w:rPr>
          <w:rFonts w:ascii="仿宋_GB2312" w:hint="eastAsia"/>
          <w:sz w:val="28"/>
          <w:szCs w:val="28"/>
        </w:rPr>
        <w:t>2. 从决算单位构成看，纳入常州市环境保护局2017年部门汇总决算</w:t>
      </w:r>
      <w:r>
        <w:rPr>
          <w:rFonts w:ascii="仿宋_GB2312" w:hint="eastAsia"/>
          <w:sz w:val="28"/>
          <w:szCs w:val="28"/>
        </w:rPr>
        <w:lastRenderedPageBreak/>
        <w:t>编制范围的预算单位共计六家，具体包括：常州市环境保护局本级</w:t>
      </w:r>
      <w:r>
        <w:rPr>
          <w:rFonts w:ascii="仿宋_GB2312" w:hint="eastAsia"/>
          <w:spacing w:val="-8"/>
          <w:sz w:val="28"/>
          <w:szCs w:val="28"/>
        </w:rPr>
        <w:t>、常州市环境监察支队、常州市环境监测中心、常州市固体废物监督管理中心、</w:t>
      </w:r>
      <w:r>
        <w:rPr>
          <w:rFonts w:ascii="仿宋_GB2312" w:hAnsi="仿宋" w:cs="宋体" w:hint="eastAsia"/>
          <w:color w:val="000000"/>
          <w:kern w:val="0"/>
          <w:sz w:val="28"/>
          <w:szCs w:val="28"/>
        </w:rPr>
        <w:t>常州市机动车排气污染监督管理中心、常州市环境科学研究院</w:t>
      </w:r>
      <w:r>
        <w:rPr>
          <w:rFonts w:ascii="仿宋_GB2312" w:hint="eastAsia"/>
          <w:spacing w:val="-8"/>
          <w:sz w:val="28"/>
          <w:szCs w:val="28"/>
        </w:rPr>
        <w:t>。</w:t>
      </w:r>
    </w:p>
    <w:p w:rsidR="00F21CAC" w:rsidRDefault="00FA7A1D">
      <w:pPr>
        <w:spacing w:line="570" w:lineRule="exact"/>
        <w:ind w:firstLine="600"/>
        <w:rPr>
          <w:rFonts w:ascii="黑体" w:eastAsia="黑体" w:hAnsi="黑体"/>
          <w:sz w:val="30"/>
          <w:szCs w:val="30"/>
        </w:rPr>
      </w:pPr>
      <w:r>
        <w:rPr>
          <w:rFonts w:ascii="黑体" w:eastAsia="黑体" w:hAnsi="黑体"/>
          <w:sz w:val="30"/>
          <w:szCs w:val="30"/>
        </w:rPr>
        <w:t>三、2017年度主要工作完成情况</w:t>
      </w:r>
    </w:p>
    <w:p w:rsidR="00F21CAC" w:rsidRDefault="00FA7A1D">
      <w:pPr>
        <w:spacing w:line="560" w:lineRule="exact"/>
        <w:ind w:firstLine="643"/>
        <w:rPr>
          <w:rFonts w:ascii="黑体" w:eastAsia="黑体"/>
          <w:szCs w:val="32"/>
        </w:rPr>
      </w:pPr>
      <w:r>
        <w:rPr>
          <w:rFonts w:ascii="楷体_GB2312" w:eastAsia="楷体_GB2312" w:hint="eastAsia"/>
          <w:b/>
          <w:szCs w:val="32"/>
        </w:rPr>
        <w:t>（一）</w:t>
      </w:r>
      <w:r>
        <w:rPr>
          <w:rFonts w:ascii="黑体" w:eastAsia="黑体" w:hint="eastAsia"/>
          <w:szCs w:val="32"/>
        </w:rPr>
        <w:t>注重生态建设，优化城乡生态品质</w:t>
      </w:r>
    </w:p>
    <w:p w:rsidR="00F21CAC" w:rsidRDefault="00FA7A1D">
      <w:pPr>
        <w:spacing w:line="560" w:lineRule="exact"/>
        <w:ind w:firstLine="560"/>
        <w:rPr>
          <w:sz w:val="28"/>
          <w:szCs w:val="28"/>
        </w:rPr>
      </w:pPr>
      <w:r>
        <w:rPr>
          <w:sz w:val="28"/>
          <w:szCs w:val="28"/>
        </w:rPr>
        <w:t>坚持保护与修复并重，全面推进</w:t>
      </w:r>
      <w:r>
        <w:rPr>
          <w:sz w:val="28"/>
          <w:szCs w:val="28"/>
        </w:rPr>
        <w:t>“</w:t>
      </w:r>
      <w:r>
        <w:rPr>
          <w:sz w:val="28"/>
          <w:szCs w:val="28"/>
        </w:rPr>
        <w:t>一圈、一带、一区</w:t>
      </w:r>
      <w:r>
        <w:rPr>
          <w:sz w:val="28"/>
          <w:szCs w:val="28"/>
        </w:rPr>
        <w:t>”</w:t>
      </w:r>
      <w:r>
        <w:rPr>
          <w:sz w:val="28"/>
          <w:szCs w:val="28"/>
        </w:rPr>
        <w:t>建设，逐步形成较为完整的生态系统，不断提升生态环境状况指数和绿色发展指数。</w:t>
      </w:r>
    </w:p>
    <w:p w:rsidR="00F21CAC" w:rsidRDefault="00FA7A1D">
      <w:pPr>
        <w:numPr>
          <w:ilvl w:val="0"/>
          <w:numId w:val="2"/>
        </w:numPr>
        <w:spacing w:line="560" w:lineRule="exact"/>
        <w:ind w:firstLine="643"/>
        <w:rPr>
          <w:sz w:val="28"/>
          <w:szCs w:val="28"/>
        </w:rPr>
      </w:pPr>
      <w:r>
        <w:rPr>
          <w:b/>
          <w:szCs w:val="32"/>
        </w:rPr>
        <w:t>推进生态绿城建设。</w:t>
      </w:r>
      <w:r>
        <w:rPr>
          <w:sz w:val="28"/>
          <w:szCs w:val="28"/>
        </w:rPr>
        <w:t>以</w:t>
      </w:r>
      <w:r>
        <w:rPr>
          <w:sz w:val="28"/>
          <w:szCs w:val="28"/>
        </w:rPr>
        <w:t>“</w:t>
      </w:r>
      <w:r>
        <w:rPr>
          <w:sz w:val="28"/>
          <w:szCs w:val="28"/>
        </w:rPr>
        <w:t>品质提升</w:t>
      </w:r>
      <w:r>
        <w:rPr>
          <w:sz w:val="28"/>
          <w:szCs w:val="28"/>
        </w:rPr>
        <w:t>”</w:t>
      </w:r>
      <w:r>
        <w:rPr>
          <w:sz w:val="28"/>
          <w:szCs w:val="28"/>
        </w:rPr>
        <w:t>、</w:t>
      </w:r>
      <w:r>
        <w:rPr>
          <w:sz w:val="28"/>
          <w:szCs w:val="28"/>
        </w:rPr>
        <w:t>“</w:t>
      </w:r>
      <w:r>
        <w:rPr>
          <w:sz w:val="28"/>
          <w:szCs w:val="28"/>
        </w:rPr>
        <w:t>品牌打造</w:t>
      </w:r>
      <w:r>
        <w:rPr>
          <w:sz w:val="28"/>
          <w:szCs w:val="28"/>
        </w:rPr>
        <w:t>”</w:t>
      </w:r>
      <w:r>
        <w:rPr>
          <w:sz w:val="28"/>
          <w:szCs w:val="28"/>
        </w:rPr>
        <w:t>、</w:t>
      </w:r>
      <w:r>
        <w:rPr>
          <w:sz w:val="28"/>
          <w:szCs w:val="28"/>
        </w:rPr>
        <w:t>“</w:t>
      </w:r>
      <w:r>
        <w:rPr>
          <w:sz w:val="28"/>
          <w:szCs w:val="28"/>
        </w:rPr>
        <w:t>基础深化</w:t>
      </w:r>
      <w:r>
        <w:rPr>
          <w:sz w:val="28"/>
          <w:szCs w:val="28"/>
        </w:rPr>
        <w:t>”</w:t>
      </w:r>
      <w:r>
        <w:rPr>
          <w:sz w:val="28"/>
          <w:szCs w:val="28"/>
        </w:rPr>
        <w:t>为引领，不断丰富生态绿城建设内涵，全面提升全市生态环境水平。</w:t>
      </w:r>
    </w:p>
    <w:p w:rsidR="00F21CAC" w:rsidRDefault="00FA7A1D">
      <w:pPr>
        <w:spacing w:line="560" w:lineRule="exact"/>
        <w:ind w:firstLine="643"/>
        <w:rPr>
          <w:sz w:val="28"/>
          <w:szCs w:val="28"/>
        </w:rPr>
      </w:pPr>
      <w:r>
        <w:rPr>
          <w:b/>
          <w:szCs w:val="32"/>
        </w:rPr>
        <w:t>2</w:t>
      </w:r>
      <w:r>
        <w:rPr>
          <w:b/>
          <w:szCs w:val="32"/>
        </w:rPr>
        <w:t>、推进</w:t>
      </w:r>
      <w:r>
        <w:rPr>
          <w:b/>
          <w:szCs w:val="32"/>
        </w:rPr>
        <w:t>“</w:t>
      </w:r>
      <w:r>
        <w:rPr>
          <w:b/>
          <w:szCs w:val="32"/>
        </w:rPr>
        <w:t>一圈、一带、一区</w:t>
      </w:r>
      <w:r>
        <w:rPr>
          <w:b/>
          <w:szCs w:val="32"/>
        </w:rPr>
        <w:t>”</w:t>
      </w:r>
      <w:r>
        <w:rPr>
          <w:b/>
          <w:szCs w:val="32"/>
        </w:rPr>
        <w:t>建设。</w:t>
      </w:r>
      <w:r>
        <w:rPr>
          <w:sz w:val="28"/>
          <w:szCs w:val="28"/>
        </w:rPr>
        <w:t>督促推进太湖生态保护圈、长江生态安全带和武进生态引领区建设，太湖（武进区）重要保护区生态资源第一阶段调查已完成，《新北区长江生态环境保护规划》通过专家评审，武进区《生态保护引领区建设方案》已上报省政府。</w:t>
      </w:r>
    </w:p>
    <w:p w:rsidR="00F21CAC" w:rsidRDefault="00FA7A1D">
      <w:pPr>
        <w:spacing w:line="560" w:lineRule="exact"/>
        <w:ind w:firstLine="643"/>
        <w:rPr>
          <w:szCs w:val="32"/>
        </w:rPr>
      </w:pPr>
      <w:r>
        <w:rPr>
          <w:b/>
          <w:szCs w:val="32"/>
        </w:rPr>
        <w:t>3</w:t>
      </w:r>
      <w:r>
        <w:rPr>
          <w:b/>
          <w:szCs w:val="32"/>
        </w:rPr>
        <w:t>、加强自然生态保护。</w:t>
      </w:r>
      <w:r>
        <w:rPr>
          <w:sz w:val="28"/>
          <w:szCs w:val="28"/>
        </w:rPr>
        <w:t>严格生态红线区域保护，完成</w:t>
      </w:r>
      <w:r>
        <w:rPr>
          <w:sz w:val="28"/>
          <w:szCs w:val="28"/>
        </w:rPr>
        <w:t>20</w:t>
      </w:r>
      <w:r>
        <w:rPr>
          <w:sz w:val="28"/>
          <w:szCs w:val="28"/>
        </w:rPr>
        <w:t>块生态红线区域内污染源调查、</w:t>
      </w:r>
      <w:r>
        <w:rPr>
          <w:sz w:val="28"/>
          <w:szCs w:val="28"/>
        </w:rPr>
        <w:t>8</w:t>
      </w:r>
      <w:r>
        <w:rPr>
          <w:sz w:val="28"/>
          <w:szCs w:val="28"/>
        </w:rPr>
        <w:t>块生态资源调查；落实生态红线日常监管监察及长效管理工作，开展自然保护区专项执法检查、省级自然保护区遥感监测实地核查等，辖区内生态红线保护面积保持稳定，生态红线区域内生态环境质量不断改善。</w:t>
      </w:r>
    </w:p>
    <w:p w:rsidR="00F21CAC" w:rsidRDefault="00FA7A1D">
      <w:pPr>
        <w:spacing w:line="560" w:lineRule="exact"/>
        <w:ind w:firstLineChars="100" w:firstLine="321"/>
        <w:rPr>
          <w:rFonts w:ascii="楷体_GB2312" w:eastAsia="楷体_GB2312"/>
          <w:b/>
          <w:szCs w:val="32"/>
        </w:rPr>
      </w:pPr>
      <w:r>
        <w:rPr>
          <w:rFonts w:ascii="楷体_GB2312" w:eastAsia="楷体_GB2312" w:hint="eastAsia"/>
          <w:b/>
          <w:szCs w:val="32"/>
        </w:rPr>
        <w:t>（二）抓好综合治理，促进环境质量改善</w:t>
      </w:r>
    </w:p>
    <w:p w:rsidR="00F21CAC" w:rsidRDefault="00FA7A1D">
      <w:pPr>
        <w:spacing w:line="560" w:lineRule="exact"/>
        <w:ind w:firstLine="643"/>
        <w:rPr>
          <w:kern w:val="0"/>
          <w:sz w:val="28"/>
          <w:szCs w:val="28"/>
        </w:rPr>
      </w:pPr>
      <w:r>
        <w:rPr>
          <w:b/>
          <w:szCs w:val="32"/>
        </w:rPr>
        <w:t>1</w:t>
      </w:r>
      <w:r>
        <w:rPr>
          <w:b/>
          <w:szCs w:val="32"/>
        </w:rPr>
        <w:t>、加强大气污染防治。</w:t>
      </w:r>
      <w:r>
        <w:rPr>
          <w:snapToGrid w:val="0"/>
          <w:kern w:val="0"/>
          <w:sz w:val="28"/>
          <w:szCs w:val="28"/>
        </w:rPr>
        <w:t>推进燃煤锅炉整治。淘汰</w:t>
      </w:r>
      <w:r>
        <w:rPr>
          <w:snapToGrid w:val="0"/>
          <w:kern w:val="0"/>
          <w:sz w:val="28"/>
          <w:szCs w:val="28"/>
        </w:rPr>
        <w:t>10-35</w:t>
      </w:r>
      <w:r>
        <w:rPr>
          <w:snapToGrid w:val="0"/>
          <w:kern w:val="0"/>
          <w:sz w:val="28"/>
          <w:szCs w:val="28"/>
        </w:rPr>
        <w:t>蒸吨</w:t>
      </w:r>
      <w:r>
        <w:rPr>
          <w:snapToGrid w:val="0"/>
          <w:kern w:val="0"/>
          <w:sz w:val="28"/>
          <w:szCs w:val="28"/>
        </w:rPr>
        <w:t>/</w:t>
      </w:r>
      <w:r>
        <w:rPr>
          <w:snapToGrid w:val="0"/>
          <w:kern w:val="0"/>
          <w:sz w:val="28"/>
          <w:szCs w:val="28"/>
        </w:rPr>
        <w:t>小时燃煤锅炉</w:t>
      </w:r>
      <w:r>
        <w:rPr>
          <w:snapToGrid w:val="0"/>
          <w:kern w:val="0"/>
          <w:sz w:val="28"/>
          <w:szCs w:val="28"/>
        </w:rPr>
        <w:t>2</w:t>
      </w:r>
      <w:r>
        <w:rPr>
          <w:rFonts w:hint="eastAsia"/>
          <w:snapToGrid w:val="0"/>
          <w:kern w:val="0"/>
          <w:sz w:val="28"/>
          <w:szCs w:val="28"/>
        </w:rPr>
        <w:t>7</w:t>
      </w:r>
      <w:r>
        <w:rPr>
          <w:snapToGrid w:val="0"/>
          <w:kern w:val="0"/>
          <w:sz w:val="28"/>
          <w:szCs w:val="28"/>
        </w:rPr>
        <w:t>台，</w:t>
      </w:r>
      <w:r>
        <w:rPr>
          <w:sz w:val="28"/>
          <w:szCs w:val="28"/>
        </w:rPr>
        <w:t>完成江成投资</w:t>
      </w:r>
      <w:r>
        <w:rPr>
          <w:sz w:val="28"/>
          <w:szCs w:val="28"/>
        </w:rPr>
        <w:t>35</w:t>
      </w:r>
      <w:r>
        <w:rPr>
          <w:sz w:val="28"/>
          <w:szCs w:val="28"/>
        </w:rPr>
        <w:t>吨锅炉煤改气和华伦热电</w:t>
      </w:r>
      <w:r>
        <w:rPr>
          <w:sz w:val="28"/>
          <w:szCs w:val="28"/>
        </w:rPr>
        <w:t>4#</w:t>
      </w:r>
      <w:r>
        <w:rPr>
          <w:sz w:val="28"/>
          <w:szCs w:val="28"/>
        </w:rPr>
        <w:t>炉、长江热能</w:t>
      </w:r>
      <w:r>
        <w:rPr>
          <w:sz w:val="28"/>
          <w:szCs w:val="28"/>
        </w:rPr>
        <w:t>“</w:t>
      </w:r>
      <w:r>
        <w:rPr>
          <w:sz w:val="28"/>
          <w:szCs w:val="28"/>
        </w:rPr>
        <w:t>以新带老</w:t>
      </w:r>
      <w:r>
        <w:rPr>
          <w:sz w:val="28"/>
          <w:szCs w:val="28"/>
        </w:rPr>
        <w:t>”</w:t>
      </w:r>
      <w:r>
        <w:rPr>
          <w:sz w:val="28"/>
          <w:szCs w:val="28"/>
        </w:rPr>
        <w:t>以及新港热电改建锅炉超低排放改造</w:t>
      </w:r>
      <w:r>
        <w:rPr>
          <w:snapToGrid w:val="0"/>
          <w:kern w:val="0"/>
          <w:sz w:val="28"/>
          <w:szCs w:val="28"/>
        </w:rPr>
        <w:t>。深化挥发性有机</w:t>
      </w:r>
      <w:r>
        <w:rPr>
          <w:snapToGrid w:val="0"/>
          <w:kern w:val="0"/>
          <w:sz w:val="28"/>
          <w:szCs w:val="28"/>
        </w:rPr>
        <w:lastRenderedPageBreak/>
        <w:t>物污染治理。</w:t>
      </w:r>
      <w:r>
        <w:rPr>
          <w:kern w:val="0"/>
          <w:sz w:val="28"/>
          <w:szCs w:val="28"/>
        </w:rPr>
        <w:t>严格落实</w:t>
      </w:r>
      <w:r>
        <w:rPr>
          <w:kern w:val="0"/>
          <w:sz w:val="28"/>
          <w:szCs w:val="28"/>
        </w:rPr>
        <w:t>“</w:t>
      </w:r>
      <w:r>
        <w:rPr>
          <w:kern w:val="0"/>
          <w:sz w:val="28"/>
          <w:szCs w:val="28"/>
        </w:rPr>
        <w:t>双防双控</w:t>
      </w:r>
      <w:r>
        <w:rPr>
          <w:kern w:val="0"/>
          <w:sz w:val="28"/>
          <w:szCs w:val="28"/>
        </w:rPr>
        <w:t>”</w:t>
      </w:r>
      <w:r>
        <w:rPr>
          <w:kern w:val="0"/>
          <w:sz w:val="28"/>
          <w:szCs w:val="28"/>
        </w:rPr>
        <w:t>。</w:t>
      </w:r>
    </w:p>
    <w:p w:rsidR="00F21CAC" w:rsidRDefault="00FA7A1D">
      <w:pPr>
        <w:spacing w:line="560" w:lineRule="exact"/>
        <w:ind w:firstLine="643"/>
        <w:rPr>
          <w:sz w:val="28"/>
          <w:szCs w:val="28"/>
        </w:rPr>
      </w:pPr>
      <w:r>
        <w:rPr>
          <w:b/>
          <w:szCs w:val="32"/>
        </w:rPr>
        <w:t>2</w:t>
      </w:r>
      <w:r>
        <w:rPr>
          <w:b/>
          <w:szCs w:val="32"/>
        </w:rPr>
        <w:t>、加强水污染防治。</w:t>
      </w:r>
      <w:r>
        <w:rPr>
          <w:snapToGrid w:val="0"/>
          <w:kern w:val="0"/>
          <w:sz w:val="28"/>
          <w:szCs w:val="28"/>
        </w:rPr>
        <w:t>实现太湖安全度夏。</w:t>
      </w:r>
      <w:r>
        <w:rPr>
          <w:sz w:val="28"/>
          <w:szCs w:val="28"/>
        </w:rPr>
        <w:t>扎实推进</w:t>
      </w:r>
      <w:r>
        <w:rPr>
          <w:sz w:val="28"/>
          <w:szCs w:val="28"/>
        </w:rPr>
        <w:t>“</w:t>
      </w:r>
      <w:r>
        <w:rPr>
          <w:sz w:val="28"/>
          <w:szCs w:val="28"/>
        </w:rPr>
        <w:t>水十条</w:t>
      </w:r>
      <w:r>
        <w:rPr>
          <w:sz w:val="28"/>
          <w:szCs w:val="28"/>
        </w:rPr>
        <w:t>”</w:t>
      </w:r>
      <w:r>
        <w:rPr>
          <w:sz w:val="28"/>
          <w:szCs w:val="28"/>
        </w:rPr>
        <w:t>任务。加快饮用水源地隐患整治。打造</w:t>
      </w:r>
      <w:r>
        <w:rPr>
          <w:sz w:val="28"/>
          <w:szCs w:val="28"/>
        </w:rPr>
        <w:t>“</w:t>
      </w:r>
      <w:r>
        <w:rPr>
          <w:sz w:val="28"/>
          <w:szCs w:val="28"/>
        </w:rPr>
        <w:t>清水工程</w:t>
      </w:r>
      <w:r>
        <w:rPr>
          <w:sz w:val="28"/>
          <w:szCs w:val="28"/>
        </w:rPr>
        <w:t>”</w:t>
      </w:r>
      <w:r>
        <w:rPr>
          <w:sz w:val="28"/>
          <w:szCs w:val="28"/>
        </w:rPr>
        <w:t>升级版。</w:t>
      </w:r>
    </w:p>
    <w:p w:rsidR="00F21CAC" w:rsidRDefault="00FA7A1D">
      <w:pPr>
        <w:spacing w:line="560" w:lineRule="exact"/>
        <w:ind w:firstLine="643"/>
        <w:rPr>
          <w:szCs w:val="32"/>
        </w:rPr>
      </w:pPr>
      <w:r>
        <w:rPr>
          <w:b/>
          <w:szCs w:val="32"/>
        </w:rPr>
        <w:t>3</w:t>
      </w:r>
      <w:r>
        <w:rPr>
          <w:b/>
          <w:szCs w:val="32"/>
        </w:rPr>
        <w:t>、加强土壤污染防治。</w:t>
      </w:r>
      <w:r>
        <w:rPr>
          <w:sz w:val="28"/>
          <w:szCs w:val="28"/>
        </w:rPr>
        <w:t>完成土壤污染重点行业企业筛查、空间位置遥感核实和农用地详查点位布设工作。</w:t>
      </w:r>
    </w:p>
    <w:p w:rsidR="00F21CAC" w:rsidRDefault="00FA7A1D">
      <w:pPr>
        <w:spacing w:line="560" w:lineRule="exact"/>
        <w:ind w:firstLine="643"/>
        <w:rPr>
          <w:bCs/>
          <w:sz w:val="28"/>
          <w:szCs w:val="28"/>
        </w:rPr>
      </w:pPr>
      <w:r>
        <w:rPr>
          <w:b/>
          <w:szCs w:val="32"/>
        </w:rPr>
        <w:t>4</w:t>
      </w:r>
      <w:r>
        <w:rPr>
          <w:b/>
          <w:szCs w:val="32"/>
        </w:rPr>
        <w:t>、加强核与辐射以及固废环境管理。</w:t>
      </w:r>
      <w:r>
        <w:rPr>
          <w:bCs/>
          <w:sz w:val="28"/>
          <w:szCs w:val="28"/>
        </w:rPr>
        <w:t>加强审批、监管和评估工作</w:t>
      </w:r>
      <w:r>
        <w:rPr>
          <w:sz w:val="28"/>
          <w:szCs w:val="28"/>
        </w:rPr>
        <w:t>，</w:t>
      </w:r>
      <w:r>
        <w:rPr>
          <w:bCs/>
          <w:sz w:val="28"/>
          <w:szCs w:val="28"/>
        </w:rPr>
        <w:t>确保核与辐射环评执行率、许可证发证率、续证率和</w:t>
      </w:r>
      <w:r>
        <w:rPr>
          <w:bCs/>
          <w:sz w:val="28"/>
          <w:szCs w:val="28"/>
        </w:rPr>
        <w:t>“</w:t>
      </w:r>
      <w:r>
        <w:rPr>
          <w:bCs/>
          <w:sz w:val="28"/>
          <w:szCs w:val="28"/>
        </w:rPr>
        <w:t>三同时</w:t>
      </w:r>
      <w:r>
        <w:rPr>
          <w:bCs/>
          <w:sz w:val="28"/>
          <w:szCs w:val="28"/>
        </w:rPr>
        <w:t>”</w:t>
      </w:r>
      <w:r>
        <w:rPr>
          <w:bCs/>
          <w:sz w:val="28"/>
          <w:szCs w:val="28"/>
        </w:rPr>
        <w:t>验收率达</w:t>
      </w:r>
      <w:r>
        <w:rPr>
          <w:bCs/>
          <w:sz w:val="28"/>
          <w:szCs w:val="28"/>
        </w:rPr>
        <w:t>100%</w:t>
      </w:r>
      <w:r>
        <w:rPr>
          <w:bCs/>
          <w:sz w:val="28"/>
          <w:szCs w:val="28"/>
        </w:rPr>
        <w:t>，全年收贮</w:t>
      </w:r>
      <w:r>
        <w:rPr>
          <w:bCs/>
          <w:sz w:val="28"/>
          <w:szCs w:val="28"/>
        </w:rPr>
        <w:t>31</w:t>
      </w:r>
      <w:r>
        <w:rPr>
          <w:bCs/>
          <w:sz w:val="28"/>
          <w:szCs w:val="28"/>
        </w:rPr>
        <w:t>枚废旧、闲置放射源，保障全市核与辐射的环境安全。</w:t>
      </w:r>
    </w:p>
    <w:p w:rsidR="00F21CAC" w:rsidRDefault="00FA7A1D">
      <w:pPr>
        <w:spacing w:line="560" w:lineRule="exact"/>
        <w:ind w:firstLine="643"/>
        <w:rPr>
          <w:rFonts w:ascii="楷体_GB2312" w:eastAsia="楷体_GB2312"/>
          <w:b/>
          <w:bCs/>
          <w:szCs w:val="32"/>
        </w:rPr>
      </w:pPr>
      <w:r>
        <w:rPr>
          <w:rFonts w:ascii="楷体_GB2312" w:eastAsia="楷体_GB2312" w:hint="eastAsia"/>
          <w:b/>
          <w:bCs/>
          <w:szCs w:val="32"/>
        </w:rPr>
        <w:t>（三）坚持依法行政，严厉打击违法行为</w:t>
      </w:r>
    </w:p>
    <w:p w:rsidR="00F21CAC" w:rsidRDefault="00FA7A1D">
      <w:pPr>
        <w:spacing w:line="560" w:lineRule="exact"/>
        <w:ind w:firstLine="562"/>
        <w:rPr>
          <w:sz w:val="28"/>
          <w:szCs w:val="28"/>
        </w:rPr>
      </w:pPr>
      <w:r>
        <w:rPr>
          <w:b/>
          <w:sz w:val="28"/>
          <w:szCs w:val="28"/>
        </w:rPr>
        <w:t>1</w:t>
      </w:r>
      <w:r>
        <w:rPr>
          <w:b/>
          <w:sz w:val="28"/>
          <w:szCs w:val="28"/>
        </w:rPr>
        <w:t>、坚持严格准入与优质服务并重。</w:t>
      </w:r>
      <w:r>
        <w:rPr>
          <w:bCs/>
          <w:sz w:val="28"/>
          <w:szCs w:val="28"/>
        </w:rPr>
        <w:t>围绕市委、市政府</w:t>
      </w:r>
      <w:r>
        <w:rPr>
          <w:bCs/>
          <w:sz w:val="28"/>
          <w:szCs w:val="28"/>
        </w:rPr>
        <w:t>“</w:t>
      </w:r>
      <w:r>
        <w:rPr>
          <w:bCs/>
          <w:sz w:val="28"/>
          <w:szCs w:val="28"/>
        </w:rPr>
        <w:t>重大项目提升年</w:t>
      </w:r>
      <w:r>
        <w:rPr>
          <w:bCs/>
          <w:sz w:val="28"/>
          <w:szCs w:val="28"/>
        </w:rPr>
        <w:t>”</w:t>
      </w:r>
      <w:r>
        <w:rPr>
          <w:bCs/>
          <w:sz w:val="28"/>
          <w:szCs w:val="28"/>
        </w:rPr>
        <w:t>要求，充分发挥</w:t>
      </w:r>
      <w:r>
        <w:rPr>
          <w:bCs/>
          <w:sz w:val="28"/>
          <w:szCs w:val="28"/>
        </w:rPr>
        <w:t>“</w:t>
      </w:r>
      <w:r>
        <w:rPr>
          <w:bCs/>
          <w:sz w:val="28"/>
          <w:szCs w:val="28"/>
        </w:rPr>
        <w:t>环保直通车</w:t>
      </w:r>
      <w:r>
        <w:rPr>
          <w:bCs/>
          <w:sz w:val="28"/>
          <w:szCs w:val="28"/>
        </w:rPr>
        <w:t>”</w:t>
      </w:r>
      <w:r>
        <w:rPr>
          <w:bCs/>
          <w:sz w:val="28"/>
          <w:szCs w:val="28"/>
        </w:rPr>
        <w:t>品牌优势，靠前服务、主动对接、热情服务，已完成市重点项目环评审批</w:t>
      </w:r>
      <w:r>
        <w:rPr>
          <w:bCs/>
          <w:sz w:val="28"/>
          <w:szCs w:val="28"/>
        </w:rPr>
        <w:t>135</w:t>
      </w:r>
      <w:r>
        <w:rPr>
          <w:bCs/>
          <w:sz w:val="28"/>
          <w:szCs w:val="28"/>
        </w:rPr>
        <w:t>个，审批办结率为</w:t>
      </w:r>
      <w:r>
        <w:rPr>
          <w:bCs/>
          <w:sz w:val="28"/>
          <w:szCs w:val="28"/>
        </w:rPr>
        <w:t>87.7%</w:t>
      </w:r>
      <w:r>
        <w:rPr>
          <w:bCs/>
          <w:sz w:val="28"/>
          <w:szCs w:val="28"/>
        </w:rPr>
        <w:t>，</w:t>
      </w:r>
      <w:r>
        <w:rPr>
          <w:bCs/>
          <w:sz w:val="28"/>
          <w:szCs w:val="28"/>
        </w:rPr>
        <w:t>“</w:t>
      </w:r>
      <w:r>
        <w:rPr>
          <w:bCs/>
          <w:sz w:val="28"/>
          <w:szCs w:val="28"/>
        </w:rPr>
        <w:t>环保服务众泰汽车金坛项目纪实</w:t>
      </w:r>
      <w:r>
        <w:rPr>
          <w:bCs/>
          <w:sz w:val="28"/>
          <w:szCs w:val="28"/>
        </w:rPr>
        <w:t>”</w:t>
      </w:r>
      <w:r>
        <w:rPr>
          <w:bCs/>
          <w:sz w:val="28"/>
          <w:szCs w:val="28"/>
        </w:rPr>
        <w:t>列入</w:t>
      </w:r>
      <w:r>
        <w:rPr>
          <w:sz w:val="28"/>
          <w:szCs w:val="28"/>
        </w:rPr>
        <w:t>全市窗口单位</w:t>
      </w:r>
      <w:r>
        <w:rPr>
          <w:sz w:val="28"/>
          <w:szCs w:val="28"/>
        </w:rPr>
        <w:t>“</w:t>
      </w:r>
      <w:r>
        <w:rPr>
          <w:sz w:val="28"/>
          <w:szCs w:val="28"/>
        </w:rPr>
        <w:t>十佳优秀服务事例</w:t>
      </w:r>
      <w:r>
        <w:rPr>
          <w:sz w:val="28"/>
          <w:szCs w:val="28"/>
        </w:rPr>
        <w:t>”</w:t>
      </w:r>
      <w:r>
        <w:rPr>
          <w:bCs/>
          <w:sz w:val="28"/>
          <w:szCs w:val="28"/>
        </w:rPr>
        <w:t>。积极推进简政放权，</w:t>
      </w:r>
      <w:r>
        <w:rPr>
          <w:sz w:val="28"/>
          <w:szCs w:val="28"/>
        </w:rPr>
        <w:t>完成武进国家高新技术产业开发区、常州国家高新技术产业开发区、常州综合保税区省级环评改革试点工作。</w:t>
      </w:r>
    </w:p>
    <w:p w:rsidR="00F21CAC" w:rsidRDefault="00FA7A1D">
      <w:pPr>
        <w:spacing w:line="560" w:lineRule="exact"/>
        <w:ind w:firstLine="562"/>
        <w:rPr>
          <w:sz w:val="28"/>
          <w:szCs w:val="28"/>
        </w:rPr>
      </w:pPr>
      <w:r>
        <w:rPr>
          <w:b/>
          <w:sz w:val="28"/>
          <w:szCs w:val="28"/>
        </w:rPr>
        <w:t>2</w:t>
      </w:r>
      <w:r>
        <w:rPr>
          <w:b/>
          <w:sz w:val="28"/>
          <w:szCs w:val="28"/>
        </w:rPr>
        <w:t>、开展大练兵活动和专项执法行动。</w:t>
      </w:r>
      <w:r>
        <w:rPr>
          <w:kern w:val="0"/>
          <w:sz w:val="28"/>
          <w:szCs w:val="28"/>
        </w:rPr>
        <w:t>先后组织开展中央环保督察和省级环境综合督查问题整改、京津冀及周边地区大气污染防治强化督查等</w:t>
      </w:r>
      <w:r>
        <w:rPr>
          <w:kern w:val="0"/>
          <w:sz w:val="28"/>
          <w:szCs w:val="28"/>
        </w:rPr>
        <w:t>12</w:t>
      </w:r>
      <w:r>
        <w:rPr>
          <w:kern w:val="0"/>
          <w:sz w:val="28"/>
          <w:szCs w:val="28"/>
        </w:rPr>
        <w:t>项环保专项行动</w:t>
      </w:r>
      <w:r>
        <w:rPr>
          <w:sz w:val="28"/>
          <w:szCs w:val="28"/>
        </w:rPr>
        <w:t>，严厉查处环境违法行为，部分突出环境问题得到有效解决。特别是京津冀及周边地区大气强化督查，环保部专门致函省政府通报表扬了常州市督查组的突出表现。</w:t>
      </w:r>
    </w:p>
    <w:p w:rsidR="00F21CAC" w:rsidRDefault="00FA7A1D">
      <w:pPr>
        <w:spacing w:line="560" w:lineRule="exact"/>
        <w:ind w:firstLine="562"/>
        <w:rPr>
          <w:sz w:val="28"/>
          <w:szCs w:val="28"/>
        </w:rPr>
      </w:pPr>
      <w:r>
        <w:rPr>
          <w:b/>
          <w:sz w:val="28"/>
          <w:szCs w:val="28"/>
        </w:rPr>
        <w:t>3</w:t>
      </w:r>
      <w:r>
        <w:rPr>
          <w:b/>
          <w:sz w:val="28"/>
          <w:szCs w:val="28"/>
        </w:rPr>
        <w:t>、抓好信访调处和环境应急工作。</w:t>
      </w:r>
      <w:r>
        <w:rPr>
          <w:sz w:val="28"/>
          <w:szCs w:val="28"/>
        </w:rPr>
        <w:t>开展环境风险企业隐患排查，大</w:t>
      </w:r>
      <w:r>
        <w:rPr>
          <w:sz w:val="28"/>
          <w:szCs w:val="28"/>
        </w:rPr>
        <w:lastRenderedPageBreak/>
        <w:t>力推进突发环境事件风险评估，环境风险源企业入库率达</w:t>
      </w:r>
      <w:r>
        <w:rPr>
          <w:sz w:val="28"/>
          <w:szCs w:val="28"/>
        </w:rPr>
        <w:t>7</w:t>
      </w:r>
      <w:r>
        <w:rPr>
          <w:rFonts w:hint="eastAsia"/>
          <w:sz w:val="28"/>
          <w:szCs w:val="28"/>
        </w:rPr>
        <w:t>0.9</w:t>
      </w:r>
      <w:r>
        <w:rPr>
          <w:sz w:val="28"/>
          <w:szCs w:val="28"/>
        </w:rPr>
        <w:t>%</w:t>
      </w:r>
      <w:r>
        <w:rPr>
          <w:rFonts w:hint="eastAsia"/>
          <w:sz w:val="28"/>
          <w:szCs w:val="28"/>
        </w:rPr>
        <w:t>，</w:t>
      </w:r>
      <w:r>
        <w:rPr>
          <w:sz w:val="28"/>
          <w:szCs w:val="28"/>
        </w:rPr>
        <w:t>较大以上环境风险企业环境安全</w:t>
      </w:r>
      <w:r>
        <w:rPr>
          <w:sz w:val="28"/>
          <w:szCs w:val="28"/>
        </w:rPr>
        <w:t>“</w:t>
      </w:r>
      <w:r>
        <w:rPr>
          <w:sz w:val="28"/>
          <w:szCs w:val="28"/>
        </w:rPr>
        <w:t>八查八改</w:t>
      </w:r>
      <w:r>
        <w:rPr>
          <w:sz w:val="28"/>
          <w:szCs w:val="28"/>
        </w:rPr>
        <w:t>”</w:t>
      </w:r>
      <w:r>
        <w:rPr>
          <w:sz w:val="28"/>
          <w:szCs w:val="28"/>
        </w:rPr>
        <w:t>覆盖率达</w:t>
      </w:r>
      <w:r>
        <w:rPr>
          <w:rFonts w:hint="eastAsia"/>
          <w:sz w:val="28"/>
          <w:szCs w:val="28"/>
        </w:rPr>
        <w:t>78.7</w:t>
      </w:r>
      <w:r>
        <w:rPr>
          <w:sz w:val="28"/>
          <w:szCs w:val="28"/>
        </w:rPr>
        <w:t>%</w:t>
      </w:r>
      <w:r>
        <w:rPr>
          <w:sz w:val="28"/>
          <w:szCs w:val="28"/>
        </w:rPr>
        <w:t>。加强突发环境事件应急响应，共妥善处置突发环境事件</w:t>
      </w:r>
      <w:r>
        <w:rPr>
          <w:sz w:val="28"/>
          <w:szCs w:val="28"/>
        </w:rPr>
        <w:t>11</w:t>
      </w:r>
      <w:r>
        <w:rPr>
          <w:sz w:val="28"/>
          <w:szCs w:val="28"/>
        </w:rPr>
        <w:t>起，未对周边环境造成较大影响。</w:t>
      </w:r>
    </w:p>
    <w:p w:rsidR="00F21CAC" w:rsidRDefault="00FA7A1D">
      <w:pPr>
        <w:spacing w:line="560" w:lineRule="exact"/>
        <w:ind w:firstLine="643"/>
        <w:rPr>
          <w:rFonts w:ascii="楷体_GB2312" w:eastAsia="楷体_GB2312"/>
          <w:b/>
          <w:szCs w:val="32"/>
        </w:rPr>
      </w:pPr>
      <w:r>
        <w:rPr>
          <w:rFonts w:ascii="楷体_GB2312" w:eastAsia="楷体_GB2312" w:hint="eastAsia"/>
          <w:b/>
          <w:szCs w:val="32"/>
        </w:rPr>
        <w:t>（四）加强队伍建设，提升环保队伍形象</w:t>
      </w:r>
    </w:p>
    <w:p w:rsidR="00F21CAC" w:rsidRDefault="00FA7A1D">
      <w:pPr>
        <w:spacing w:line="560" w:lineRule="exact"/>
        <w:ind w:firstLine="560"/>
        <w:rPr>
          <w:bCs/>
          <w:sz w:val="28"/>
          <w:szCs w:val="28"/>
        </w:rPr>
      </w:pPr>
      <w:r>
        <w:rPr>
          <w:bCs/>
          <w:sz w:val="28"/>
          <w:szCs w:val="28"/>
        </w:rPr>
        <w:t>习总书记指出：</w:t>
      </w:r>
      <w:r>
        <w:rPr>
          <w:bCs/>
          <w:sz w:val="28"/>
          <w:szCs w:val="28"/>
        </w:rPr>
        <w:t>“</w:t>
      </w:r>
      <w:r>
        <w:rPr>
          <w:bCs/>
          <w:sz w:val="28"/>
          <w:szCs w:val="28"/>
        </w:rPr>
        <w:t>自然生态要山清水秀，政治生态也要山清水秀。</w:t>
      </w:r>
      <w:r>
        <w:rPr>
          <w:bCs/>
          <w:sz w:val="28"/>
          <w:szCs w:val="28"/>
        </w:rPr>
        <w:t>”</w:t>
      </w:r>
      <w:r>
        <w:rPr>
          <w:rFonts w:hint="eastAsia"/>
          <w:bCs/>
          <w:sz w:val="28"/>
          <w:szCs w:val="28"/>
        </w:rPr>
        <w:t>始终坚持内强素质、外树形象，打造风清气正的干部队伍。</w:t>
      </w:r>
    </w:p>
    <w:p w:rsidR="00F21CAC" w:rsidRDefault="00FA7A1D">
      <w:pPr>
        <w:spacing w:line="560" w:lineRule="exact"/>
        <w:ind w:firstLine="562"/>
        <w:rPr>
          <w:bCs/>
          <w:sz w:val="28"/>
          <w:szCs w:val="28"/>
        </w:rPr>
      </w:pPr>
      <w:r>
        <w:rPr>
          <w:b/>
          <w:sz w:val="28"/>
          <w:szCs w:val="28"/>
        </w:rPr>
        <w:t>1</w:t>
      </w:r>
      <w:r>
        <w:rPr>
          <w:b/>
          <w:sz w:val="28"/>
          <w:szCs w:val="28"/>
        </w:rPr>
        <w:t>、抓作风建设。</w:t>
      </w:r>
      <w:r>
        <w:rPr>
          <w:bCs/>
          <w:sz w:val="28"/>
          <w:szCs w:val="28"/>
        </w:rPr>
        <w:t>全面开展</w:t>
      </w:r>
      <w:r>
        <w:rPr>
          <w:bCs/>
          <w:sz w:val="28"/>
          <w:szCs w:val="28"/>
        </w:rPr>
        <w:t>“</w:t>
      </w:r>
      <w:r>
        <w:rPr>
          <w:bCs/>
          <w:sz w:val="28"/>
          <w:szCs w:val="28"/>
        </w:rPr>
        <w:t>三大一实干</w:t>
      </w:r>
      <w:r>
        <w:rPr>
          <w:bCs/>
          <w:sz w:val="28"/>
          <w:szCs w:val="28"/>
        </w:rPr>
        <w:t>”</w:t>
      </w:r>
      <w:r>
        <w:rPr>
          <w:bCs/>
          <w:sz w:val="28"/>
          <w:szCs w:val="28"/>
        </w:rPr>
        <w:t>活动，将其作为推进学习教育常态化制度化的重要实践，走访群众</w:t>
      </w:r>
      <w:r>
        <w:rPr>
          <w:bCs/>
          <w:sz w:val="28"/>
          <w:szCs w:val="28"/>
        </w:rPr>
        <w:t>1687</w:t>
      </w:r>
      <w:r>
        <w:rPr>
          <w:bCs/>
          <w:sz w:val="28"/>
          <w:szCs w:val="28"/>
        </w:rPr>
        <w:t>户和</w:t>
      </w:r>
      <w:r>
        <w:rPr>
          <w:rFonts w:hint="eastAsia"/>
          <w:bCs/>
          <w:sz w:val="28"/>
          <w:szCs w:val="28"/>
        </w:rPr>
        <w:t>企业</w:t>
      </w:r>
      <w:r>
        <w:rPr>
          <w:rFonts w:hint="eastAsia"/>
          <w:bCs/>
          <w:sz w:val="28"/>
          <w:szCs w:val="28"/>
        </w:rPr>
        <w:t>1284</w:t>
      </w:r>
      <w:r>
        <w:rPr>
          <w:rFonts w:hint="eastAsia"/>
          <w:bCs/>
          <w:sz w:val="28"/>
          <w:szCs w:val="28"/>
        </w:rPr>
        <w:t>家</w:t>
      </w:r>
      <w:r>
        <w:rPr>
          <w:bCs/>
          <w:sz w:val="28"/>
          <w:szCs w:val="28"/>
        </w:rPr>
        <w:t>；牵头组织开展</w:t>
      </w:r>
      <w:r>
        <w:rPr>
          <w:bCs/>
          <w:sz w:val="28"/>
          <w:szCs w:val="28"/>
        </w:rPr>
        <w:t>“</w:t>
      </w:r>
      <w:r>
        <w:rPr>
          <w:bCs/>
          <w:sz w:val="28"/>
          <w:szCs w:val="28"/>
        </w:rPr>
        <w:t>争创宜居环境新优势</w:t>
      </w:r>
      <w:r>
        <w:rPr>
          <w:bCs/>
          <w:sz w:val="28"/>
          <w:szCs w:val="28"/>
        </w:rPr>
        <w:t>”</w:t>
      </w:r>
      <w:r>
        <w:rPr>
          <w:bCs/>
          <w:sz w:val="28"/>
          <w:szCs w:val="28"/>
        </w:rPr>
        <w:t>大讨论活动，完成《争创宜居环境新优势，种好常州幸福树》调研报告</w:t>
      </w:r>
      <w:r>
        <w:rPr>
          <w:rFonts w:hint="eastAsia"/>
          <w:bCs/>
          <w:sz w:val="28"/>
          <w:szCs w:val="28"/>
        </w:rPr>
        <w:t>。</w:t>
      </w:r>
      <w:r>
        <w:rPr>
          <w:rFonts w:hAnsi="Calibri"/>
          <w:color w:val="000000"/>
          <w:sz w:val="28"/>
          <w:szCs w:val="28"/>
        </w:rPr>
        <w:t>结合环保</w:t>
      </w:r>
      <w:r>
        <w:rPr>
          <w:rFonts w:hAnsi="Calibri" w:hint="eastAsia"/>
          <w:color w:val="000000"/>
          <w:sz w:val="28"/>
          <w:szCs w:val="28"/>
        </w:rPr>
        <w:t>工作</w:t>
      </w:r>
      <w:r>
        <w:rPr>
          <w:rFonts w:hAnsi="Calibri"/>
          <w:color w:val="000000"/>
          <w:sz w:val="28"/>
          <w:szCs w:val="28"/>
        </w:rPr>
        <w:t>实际，组织开展</w:t>
      </w:r>
      <w:r>
        <w:rPr>
          <w:color w:val="000000"/>
          <w:sz w:val="28"/>
          <w:szCs w:val="28"/>
        </w:rPr>
        <w:t>“</w:t>
      </w:r>
      <w:r>
        <w:rPr>
          <w:rFonts w:hAnsi="Calibri"/>
          <w:color w:val="000000"/>
          <w:sz w:val="28"/>
          <w:szCs w:val="28"/>
        </w:rPr>
        <w:t>学先进、树典型、争一流</w:t>
      </w:r>
      <w:r>
        <w:rPr>
          <w:color w:val="000000"/>
          <w:sz w:val="28"/>
          <w:szCs w:val="28"/>
        </w:rPr>
        <w:t>”</w:t>
      </w:r>
      <w:r>
        <w:rPr>
          <w:rFonts w:hAnsi="Calibri"/>
          <w:color w:val="000000"/>
          <w:sz w:val="28"/>
          <w:szCs w:val="28"/>
        </w:rPr>
        <w:t>主题活动</w:t>
      </w:r>
      <w:r>
        <w:rPr>
          <w:rFonts w:hAnsi="Calibri" w:hint="eastAsia"/>
          <w:color w:val="000000"/>
          <w:sz w:val="28"/>
          <w:szCs w:val="28"/>
        </w:rPr>
        <w:t>，通过选树先进典型，营造比学赶帮超的良好氛围，提升环保系统各条线、各板块的综合实力和美誉度。</w:t>
      </w:r>
    </w:p>
    <w:p w:rsidR="00F21CAC" w:rsidRDefault="00FA7A1D">
      <w:pPr>
        <w:spacing w:line="560" w:lineRule="exact"/>
        <w:ind w:firstLine="562"/>
        <w:rPr>
          <w:rFonts w:ascii="仿宋_GB2312" w:hAnsi="Calibri"/>
          <w:bCs/>
          <w:sz w:val="28"/>
          <w:szCs w:val="28"/>
        </w:rPr>
      </w:pPr>
      <w:r>
        <w:rPr>
          <w:rFonts w:hint="eastAsia"/>
          <w:b/>
          <w:sz w:val="28"/>
          <w:szCs w:val="28"/>
        </w:rPr>
        <w:t>2</w:t>
      </w:r>
      <w:r>
        <w:rPr>
          <w:rFonts w:hint="eastAsia"/>
          <w:b/>
          <w:sz w:val="28"/>
          <w:szCs w:val="28"/>
        </w:rPr>
        <w:t>、抓廉政建设。</w:t>
      </w:r>
      <w:r>
        <w:rPr>
          <w:rFonts w:hint="eastAsia"/>
          <w:bCs/>
          <w:sz w:val="28"/>
          <w:szCs w:val="28"/>
        </w:rPr>
        <w:t>围绕</w:t>
      </w:r>
      <w:r>
        <w:rPr>
          <w:bCs/>
          <w:sz w:val="28"/>
          <w:szCs w:val="28"/>
        </w:rPr>
        <w:t>“</w:t>
      </w:r>
      <w:r>
        <w:rPr>
          <w:rFonts w:hint="eastAsia"/>
          <w:bCs/>
          <w:sz w:val="28"/>
          <w:szCs w:val="28"/>
        </w:rPr>
        <w:t>两个责任</w:t>
      </w:r>
      <w:r>
        <w:rPr>
          <w:bCs/>
          <w:sz w:val="28"/>
          <w:szCs w:val="28"/>
        </w:rPr>
        <w:t>”</w:t>
      </w:r>
      <w:r>
        <w:rPr>
          <w:rFonts w:hint="eastAsia"/>
          <w:bCs/>
          <w:sz w:val="28"/>
          <w:szCs w:val="28"/>
        </w:rPr>
        <w:t>的落实，层层签订党风廉政责任状，形成局党组统一领导、领导班子成员齐抓共管、部门各负其责的良好局面。在市纪委第十五派驻纪检组的指导帮助下，制订出台《关于深入推进廉政风险防控机制建设的实施意见》，积极开展风险隐患排查，修订《廉政风险防控措施》，共排出风险点</w:t>
      </w:r>
      <w:r>
        <w:rPr>
          <w:bCs/>
          <w:sz w:val="28"/>
          <w:szCs w:val="28"/>
        </w:rPr>
        <w:t>67</w:t>
      </w:r>
      <w:r>
        <w:rPr>
          <w:rFonts w:hint="eastAsia"/>
          <w:bCs/>
          <w:sz w:val="28"/>
          <w:szCs w:val="28"/>
        </w:rPr>
        <w:t>个，制订防范措施将近</w:t>
      </w:r>
      <w:r>
        <w:rPr>
          <w:bCs/>
          <w:sz w:val="28"/>
          <w:szCs w:val="28"/>
        </w:rPr>
        <w:t>200</w:t>
      </w:r>
      <w:r>
        <w:rPr>
          <w:rFonts w:hint="eastAsia"/>
          <w:bCs/>
          <w:sz w:val="28"/>
          <w:szCs w:val="28"/>
        </w:rPr>
        <w:t>条。定期召开党风廉政建设工作会议，研究、布置、检查和报告党风廉政建设工作情况，邀请专家作从严治党廉洁自律专题报告。</w:t>
      </w:r>
      <w:r>
        <w:rPr>
          <w:rFonts w:hint="eastAsia"/>
          <w:sz w:val="28"/>
          <w:szCs w:val="28"/>
        </w:rPr>
        <w:t>积极</w:t>
      </w:r>
      <w:r>
        <w:rPr>
          <w:rFonts w:ascii="仿宋_GB2312" w:hAnsi="Calibri" w:hint="eastAsia"/>
          <w:bCs/>
          <w:sz w:val="28"/>
          <w:szCs w:val="28"/>
        </w:rPr>
        <w:t>配合</w:t>
      </w:r>
      <w:r>
        <w:rPr>
          <w:rFonts w:ascii="仿宋_GB2312" w:hAnsi="Calibri" w:hint="eastAsia"/>
          <w:sz w:val="28"/>
          <w:szCs w:val="28"/>
        </w:rPr>
        <w:t>市委巡察组进驻我局开展省市联巡工作，</w:t>
      </w:r>
      <w:r>
        <w:rPr>
          <w:rFonts w:ascii="仿宋_GB2312" w:hint="eastAsia"/>
          <w:bCs/>
          <w:sz w:val="28"/>
          <w:szCs w:val="28"/>
        </w:rPr>
        <w:t>主动接受检查，</w:t>
      </w:r>
      <w:r>
        <w:rPr>
          <w:rFonts w:ascii="仿宋_GB2312" w:hAnsi="Calibri" w:hint="eastAsia"/>
          <w:sz w:val="28"/>
          <w:szCs w:val="28"/>
        </w:rPr>
        <w:t>如实</w:t>
      </w:r>
      <w:r>
        <w:rPr>
          <w:rFonts w:ascii="仿宋_GB2312" w:hAnsi="Calibri"/>
          <w:sz w:val="28"/>
          <w:szCs w:val="28"/>
          <w:lang w:eastAsia="zh-TW"/>
        </w:rPr>
        <w:t>反映问题</w:t>
      </w:r>
      <w:r>
        <w:rPr>
          <w:rFonts w:ascii="仿宋_GB2312" w:hAnsi="Calibri" w:hint="eastAsia"/>
          <w:bCs/>
          <w:sz w:val="28"/>
          <w:szCs w:val="28"/>
        </w:rPr>
        <w:t>，并针对反馈意见，认真制定整改方案，积极落实整改措施。</w:t>
      </w:r>
    </w:p>
    <w:p w:rsidR="00F21CAC" w:rsidRDefault="00FA7A1D">
      <w:pPr>
        <w:spacing w:line="560" w:lineRule="exact"/>
        <w:ind w:firstLine="562"/>
        <w:rPr>
          <w:bCs/>
          <w:sz w:val="28"/>
          <w:szCs w:val="28"/>
          <w:lang w:val="zh-TW"/>
        </w:rPr>
      </w:pPr>
      <w:r>
        <w:rPr>
          <w:rFonts w:hint="eastAsia"/>
          <w:b/>
          <w:sz w:val="28"/>
          <w:szCs w:val="28"/>
        </w:rPr>
        <w:t>3</w:t>
      </w:r>
      <w:r>
        <w:rPr>
          <w:rFonts w:hint="eastAsia"/>
          <w:b/>
          <w:sz w:val="28"/>
          <w:szCs w:val="28"/>
        </w:rPr>
        <w:t>、抓垂管改革。</w:t>
      </w:r>
      <w:r>
        <w:rPr>
          <w:bCs/>
          <w:sz w:val="28"/>
          <w:szCs w:val="28"/>
        </w:rPr>
        <w:t>根据省环保厅统一部署，开展省以下环保机构监测</w:t>
      </w:r>
      <w:r>
        <w:rPr>
          <w:bCs/>
          <w:sz w:val="28"/>
          <w:szCs w:val="28"/>
        </w:rPr>
        <w:lastRenderedPageBreak/>
        <w:t>监察执法垂直管理制度改革，深入基层调研，查摆问题，组织研讨，理清思路，与市相关部门紧密沟通交流，集思广益拟定方案，在省环保厅指导下，</w:t>
      </w:r>
      <w:r>
        <w:rPr>
          <w:bCs/>
          <w:sz w:val="28"/>
          <w:szCs w:val="28"/>
          <w:lang w:val="zh-TW"/>
        </w:rPr>
        <w:t>在全省率先成立了</w:t>
      </w:r>
      <w:r>
        <w:rPr>
          <w:bCs/>
          <w:sz w:val="28"/>
          <w:szCs w:val="28"/>
        </w:rPr>
        <w:t>常州市环保机构监测监察执法垂直管理制度改革工作领导小组</w:t>
      </w:r>
      <w:r>
        <w:rPr>
          <w:bCs/>
          <w:sz w:val="28"/>
          <w:szCs w:val="28"/>
          <w:lang w:val="zh-TW"/>
        </w:rPr>
        <w:t>，率先召开了环保垂改工作启动会，编制的环保垂改工作方案率先通过省级备案。</w:t>
      </w:r>
    </w:p>
    <w:p w:rsidR="00F21CAC" w:rsidRDefault="00F21CAC">
      <w:pPr>
        <w:spacing w:line="560" w:lineRule="exact"/>
        <w:ind w:firstLine="560"/>
        <w:rPr>
          <w:bCs/>
          <w:sz w:val="28"/>
          <w:szCs w:val="28"/>
          <w:lang w:val="zh-TW"/>
        </w:rPr>
      </w:pPr>
    </w:p>
    <w:p w:rsidR="00F21CAC" w:rsidRDefault="00F21CAC">
      <w:pPr>
        <w:spacing w:line="560" w:lineRule="exact"/>
        <w:ind w:firstLine="560"/>
        <w:rPr>
          <w:bCs/>
          <w:sz w:val="28"/>
          <w:szCs w:val="28"/>
          <w:lang w:val="zh-TW"/>
        </w:rPr>
      </w:pPr>
    </w:p>
    <w:p w:rsidR="00F21CAC" w:rsidRDefault="00F21CAC">
      <w:pPr>
        <w:spacing w:line="560" w:lineRule="exact"/>
        <w:ind w:firstLine="560"/>
        <w:rPr>
          <w:bCs/>
          <w:sz w:val="28"/>
          <w:szCs w:val="28"/>
          <w:lang w:val="zh-TW"/>
        </w:rPr>
      </w:pPr>
    </w:p>
    <w:p w:rsidR="00F21CAC" w:rsidRDefault="00FA7A1D">
      <w:pPr>
        <w:spacing w:line="560" w:lineRule="exact"/>
        <w:ind w:firstLine="640"/>
        <w:rPr>
          <w:rFonts w:ascii="黑体" w:eastAsia="黑体" w:hAnsi="黑体"/>
          <w:szCs w:val="32"/>
        </w:rPr>
      </w:pPr>
      <w:r>
        <w:rPr>
          <w:rFonts w:ascii="黑体" w:eastAsia="黑体" w:hAnsi="黑体"/>
          <w:szCs w:val="32"/>
        </w:rPr>
        <w:t xml:space="preserve">第二部分　</w:t>
      </w:r>
      <w:r>
        <w:rPr>
          <w:rFonts w:ascii="黑体" w:eastAsia="黑体" w:hAnsi="黑体" w:hint="eastAsia"/>
          <w:szCs w:val="32"/>
        </w:rPr>
        <w:t>常州市环境保护局</w:t>
      </w:r>
      <w:r>
        <w:rPr>
          <w:rFonts w:ascii="黑体" w:eastAsia="黑体" w:hAnsi="黑体"/>
          <w:szCs w:val="32"/>
        </w:rPr>
        <w:t>部门2017年度部门决算表</w:t>
      </w:r>
    </w:p>
    <w:p w:rsidR="00F21CAC" w:rsidRDefault="00F21CAC">
      <w:pPr>
        <w:tabs>
          <w:tab w:val="left" w:pos="3031"/>
        </w:tabs>
        <w:spacing w:line="240" w:lineRule="exact"/>
        <w:ind w:firstLineChars="0" w:firstLine="0"/>
      </w:pPr>
    </w:p>
    <w:p w:rsidR="00F21CAC" w:rsidRDefault="00F21CAC">
      <w:pPr>
        <w:tabs>
          <w:tab w:val="left" w:pos="3031"/>
        </w:tabs>
        <w:spacing w:line="240" w:lineRule="exact"/>
        <w:ind w:firstLineChars="0" w:firstLine="0"/>
      </w:pPr>
    </w:p>
    <w:p w:rsidR="00F21CAC" w:rsidRDefault="00FA7A1D">
      <w:pPr>
        <w:tabs>
          <w:tab w:val="left" w:pos="3031"/>
        </w:tabs>
        <w:ind w:firstLineChars="0" w:firstLine="0"/>
        <w:rPr>
          <w:rFonts w:ascii="仿宋_GB2312" w:hAnsi="仿宋"/>
          <w:snapToGrid w:val="0"/>
          <w:color w:val="000000"/>
          <w:spacing w:val="-4"/>
          <w:kern w:val="0"/>
          <w:szCs w:val="32"/>
        </w:rPr>
      </w:pPr>
      <w:r>
        <w:rPr>
          <w:rFonts w:ascii="仿宋_GB2312" w:hAnsi="仿宋" w:hint="eastAsia"/>
          <w:snapToGrid w:val="0"/>
          <w:color w:val="000000"/>
          <w:spacing w:val="-4"/>
          <w:kern w:val="0"/>
          <w:szCs w:val="32"/>
        </w:rPr>
        <w:t>具体公开表附后。</w:t>
      </w:r>
    </w:p>
    <w:p w:rsidR="00F21CAC" w:rsidRDefault="00F21CAC">
      <w:pPr>
        <w:tabs>
          <w:tab w:val="left" w:pos="3031"/>
        </w:tabs>
        <w:ind w:firstLineChars="0" w:firstLine="0"/>
        <w:rPr>
          <w:rFonts w:ascii="仿宋_GB2312" w:hAnsi="仿宋"/>
          <w:snapToGrid w:val="0"/>
          <w:color w:val="000000"/>
          <w:spacing w:val="-4"/>
          <w:kern w:val="0"/>
          <w:szCs w:val="32"/>
        </w:rPr>
      </w:pPr>
    </w:p>
    <w:p w:rsidR="00F21CAC" w:rsidRDefault="00F21CAC">
      <w:pPr>
        <w:tabs>
          <w:tab w:val="left" w:pos="3031"/>
        </w:tabs>
        <w:ind w:firstLineChars="0" w:firstLine="0"/>
        <w:rPr>
          <w:rFonts w:ascii="仿宋_GB2312" w:hAnsi="仿宋"/>
          <w:snapToGrid w:val="0"/>
          <w:color w:val="000000"/>
          <w:spacing w:val="-4"/>
          <w:kern w:val="0"/>
          <w:szCs w:val="32"/>
        </w:rPr>
      </w:pPr>
    </w:p>
    <w:p w:rsidR="00F21CAC" w:rsidRDefault="00F21CAC">
      <w:pPr>
        <w:tabs>
          <w:tab w:val="left" w:pos="3031"/>
        </w:tabs>
        <w:ind w:firstLineChars="0" w:firstLine="0"/>
        <w:rPr>
          <w:rFonts w:ascii="仿宋_GB2312" w:hAnsi="仿宋"/>
          <w:snapToGrid w:val="0"/>
          <w:color w:val="000000"/>
          <w:spacing w:val="-4"/>
          <w:kern w:val="0"/>
          <w:szCs w:val="32"/>
        </w:rPr>
      </w:pPr>
    </w:p>
    <w:p w:rsidR="00F21CAC" w:rsidRDefault="00FA7A1D">
      <w:pPr>
        <w:widowControl/>
        <w:spacing w:line="540" w:lineRule="exact"/>
        <w:ind w:firstLineChars="0" w:firstLine="0"/>
        <w:jc w:val="center"/>
        <w:rPr>
          <w:rFonts w:ascii="黑体" w:eastAsia="黑体" w:hAnsi="黑体"/>
          <w:szCs w:val="32"/>
        </w:rPr>
      </w:pPr>
      <w:r>
        <w:rPr>
          <w:rFonts w:ascii="黑体" w:eastAsia="黑体" w:hAnsi="黑体"/>
          <w:szCs w:val="32"/>
        </w:rPr>
        <w:t>第三部分  2017年度决算情况说明</w:t>
      </w:r>
    </w:p>
    <w:p w:rsidR="00F21CAC" w:rsidRDefault="00F21CAC">
      <w:pPr>
        <w:widowControl/>
        <w:spacing w:line="480" w:lineRule="exact"/>
        <w:ind w:firstLine="560"/>
        <w:rPr>
          <w:rFonts w:ascii="黑体" w:eastAsia="黑体" w:hAnsi="黑体"/>
          <w:sz w:val="28"/>
          <w:szCs w:val="28"/>
        </w:rPr>
      </w:pPr>
    </w:p>
    <w:p w:rsidR="00F21CAC" w:rsidRDefault="00FA7A1D">
      <w:pPr>
        <w:widowControl/>
        <w:spacing w:line="480" w:lineRule="exact"/>
        <w:ind w:firstLine="560"/>
        <w:rPr>
          <w:rFonts w:ascii="黑体" w:eastAsia="黑体" w:hAnsi="黑体"/>
          <w:sz w:val="28"/>
          <w:szCs w:val="28"/>
        </w:rPr>
      </w:pPr>
      <w:r>
        <w:rPr>
          <w:rFonts w:ascii="黑体" w:eastAsia="黑体" w:hAnsi="黑体"/>
          <w:sz w:val="28"/>
          <w:szCs w:val="28"/>
        </w:rPr>
        <w:t>一、收入支出总体情况说明</w:t>
      </w:r>
    </w:p>
    <w:p w:rsidR="00F21CAC" w:rsidRDefault="00FA7A1D">
      <w:pPr>
        <w:spacing w:line="480" w:lineRule="exact"/>
        <w:ind w:firstLine="560"/>
        <w:rPr>
          <w:rFonts w:ascii="仿宋_GB2312"/>
          <w:sz w:val="28"/>
          <w:szCs w:val="28"/>
        </w:rPr>
      </w:pPr>
      <w:r>
        <w:rPr>
          <w:rFonts w:ascii="仿宋_GB2312" w:hint="eastAsia"/>
          <w:sz w:val="28"/>
          <w:szCs w:val="28"/>
        </w:rPr>
        <w:t>常州市环境保护局2017年度收入总计9695.6万元、支出总计10293.98元，与上年相比收入增加759.36万元，增加8.5%，主要原因是新增财政预算单位常州市环境科学研究院；支出增加1379.62万元，增长15.5%。主要原因是新增财政预算单位常州市环境科学研究院。其中：</w:t>
      </w:r>
    </w:p>
    <w:p w:rsidR="00F21CAC" w:rsidRDefault="00FA7A1D">
      <w:pPr>
        <w:spacing w:line="480" w:lineRule="exact"/>
        <w:ind w:firstLine="560"/>
        <w:rPr>
          <w:rFonts w:ascii="仿宋_GB2312"/>
          <w:sz w:val="28"/>
          <w:szCs w:val="28"/>
        </w:rPr>
      </w:pPr>
      <w:r>
        <w:rPr>
          <w:rFonts w:ascii="仿宋_GB2312" w:hint="eastAsia"/>
          <w:sz w:val="28"/>
          <w:szCs w:val="28"/>
        </w:rPr>
        <w:t>（一）收入总计9695.6万元。包括：</w:t>
      </w:r>
    </w:p>
    <w:p w:rsidR="00F21CAC" w:rsidRDefault="00FA7A1D">
      <w:pPr>
        <w:spacing w:line="480" w:lineRule="exact"/>
        <w:ind w:firstLine="560"/>
        <w:rPr>
          <w:rFonts w:ascii="仿宋_GB2312"/>
          <w:sz w:val="28"/>
          <w:szCs w:val="28"/>
        </w:rPr>
      </w:pPr>
      <w:r>
        <w:rPr>
          <w:rFonts w:ascii="仿宋_GB2312" w:hint="eastAsia"/>
          <w:sz w:val="28"/>
          <w:szCs w:val="28"/>
        </w:rPr>
        <w:t>1．财政拨款收入8607.38万元，为当年从财政取得的一般公共预算拨款和政府性基金预算拨款， 与上年相比增加1320.01万元，增长18.1%。主要原因是新增财政预算单位常州市环境科学研究院,财政拨款收入增</w:t>
      </w:r>
      <w:r>
        <w:rPr>
          <w:rFonts w:ascii="仿宋_GB2312" w:hint="eastAsia"/>
          <w:sz w:val="28"/>
          <w:szCs w:val="28"/>
        </w:rPr>
        <w:lastRenderedPageBreak/>
        <w:t>加。</w:t>
      </w:r>
    </w:p>
    <w:p w:rsidR="00F21CAC" w:rsidRDefault="00FA7A1D">
      <w:pPr>
        <w:spacing w:line="480" w:lineRule="exact"/>
        <w:ind w:firstLine="560"/>
        <w:rPr>
          <w:rFonts w:ascii="仿宋_GB2312"/>
          <w:sz w:val="28"/>
          <w:szCs w:val="28"/>
        </w:rPr>
      </w:pPr>
      <w:r>
        <w:rPr>
          <w:rFonts w:ascii="仿宋_GB2312" w:hint="eastAsia"/>
          <w:sz w:val="28"/>
          <w:szCs w:val="28"/>
        </w:rPr>
        <w:t>2．上级补助收入550.68万元，为</w:t>
      </w:r>
      <w:r>
        <w:rPr>
          <w:rFonts w:ascii="仿宋_GB2312" w:hAnsi="仿宋" w:hint="eastAsia"/>
          <w:snapToGrid w:val="0"/>
          <w:color w:val="000000"/>
          <w:spacing w:val="-4"/>
          <w:kern w:val="0"/>
          <w:sz w:val="28"/>
          <w:szCs w:val="28"/>
        </w:rPr>
        <w:t>常州市环境监测中心收到上级单位拨入的非财政补助资金</w:t>
      </w:r>
      <w:r>
        <w:rPr>
          <w:rFonts w:ascii="仿宋_GB2312" w:hint="eastAsia"/>
          <w:sz w:val="28"/>
          <w:szCs w:val="28"/>
        </w:rPr>
        <w:t>。与上年相比减少1428.39万元，减少43.8%。主要原因是市环境监测中心省级拨款减少。</w:t>
      </w:r>
    </w:p>
    <w:p w:rsidR="00F21CAC" w:rsidRDefault="00FA7A1D">
      <w:pPr>
        <w:spacing w:line="480" w:lineRule="exact"/>
        <w:ind w:firstLine="544"/>
        <w:rPr>
          <w:rFonts w:ascii="仿宋_GB2312" w:hAnsi="仿宋"/>
          <w:snapToGrid w:val="0"/>
          <w:color w:val="000000"/>
          <w:spacing w:val="-4"/>
          <w:kern w:val="0"/>
          <w:sz w:val="28"/>
          <w:szCs w:val="28"/>
        </w:rPr>
      </w:pPr>
      <w:r>
        <w:rPr>
          <w:rFonts w:ascii="仿宋_GB2312" w:hAnsi="仿宋"/>
          <w:snapToGrid w:val="0"/>
          <w:color w:val="000000"/>
          <w:spacing w:val="-4"/>
          <w:kern w:val="0"/>
          <w:sz w:val="28"/>
          <w:szCs w:val="28"/>
        </w:rPr>
        <w:t>3</w:t>
      </w:r>
      <w:r>
        <w:rPr>
          <w:rFonts w:ascii="仿宋_GB2312" w:hAnsi="仿宋" w:hint="eastAsia"/>
          <w:snapToGrid w:val="0"/>
          <w:color w:val="000000"/>
          <w:spacing w:val="-4"/>
          <w:kern w:val="0"/>
          <w:sz w:val="28"/>
          <w:szCs w:val="28"/>
        </w:rPr>
        <w:t>．事业收入0万元，与上年相比无增减，增减0%。主要原因是本部门无事业收入。</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4. 经营收入189.55万元，</w:t>
      </w:r>
      <w:r>
        <w:rPr>
          <w:rFonts w:ascii="仿宋_GB2312" w:hint="eastAsia"/>
          <w:sz w:val="28"/>
          <w:szCs w:val="28"/>
        </w:rPr>
        <w:t>与上年相比增加189.55万元，增长100%。主要原因是新增财政预算单位常州市环境科学研究院,经营收入增加。</w:t>
      </w:r>
    </w:p>
    <w:p w:rsidR="00F21CAC" w:rsidRDefault="00FA7A1D">
      <w:pPr>
        <w:spacing w:line="48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5. 附属单位上缴收入0万元，与上年相比无增减。主要原因是本部门无附属单位上缴收入。</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6．其他收入348万元，</w:t>
      </w:r>
      <w:r>
        <w:rPr>
          <w:rFonts w:ascii="仿宋_GB2312" w:hAnsi="仿宋" w:hint="eastAsia"/>
          <w:snapToGrid w:val="0"/>
          <w:color w:val="000000"/>
          <w:spacing w:val="-4"/>
          <w:kern w:val="0"/>
          <w:sz w:val="28"/>
          <w:szCs w:val="28"/>
        </w:rPr>
        <w:t>为单位取得的除上述收入以外的各项收入，主要为市环保局的环保专户拨</w:t>
      </w:r>
      <w:r>
        <w:rPr>
          <w:rFonts w:ascii="仿宋_GB2312" w:hAnsi="仿宋" w:hint="eastAsia"/>
          <w:snapToGrid w:val="0"/>
          <w:color w:val="000000" w:themeColor="text1"/>
          <w:spacing w:val="-4"/>
          <w:kern w:val="0"/>
          <w:sz w:val="28"/>
          <w:szCs w:val="28"/>
        </w:rPr>
        <w:t>款</w:t>
      </w:r>
      <w:r>
        <w:rPr>
          <w:rFonts w:ascii="仿宋_GB2312" w:hAnsi="仿宋" w:hint="eastAsia"/>
          <w:snapToGrid w:val="0"/>
          <w:color w:val="000000"/>
          <w:spacing w:val="-4"/>
          <w:kern w:val="0"/>
          <w:sz w:val="28"/>
          <w:szCs w:val="28"/>
        </w:rPr>
        <w:t>。与上年相比减少321.8万元，减少48</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。主要原因是环保历年专项资金拨款减少。</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7. 用事业基金弥补收支差额0万元，与上年相比无增减。主要原因是本部门无用事业基金弥补收支差额。</w:t>
      </w:r>
    </w:p>
    <w:p w:rsidR="00F21CAC" w:rsidRDefault="00FA7A1D">
      <w:pPr>
        <w:spacing w:line="480" w:lineRule="exact"/>
        <w:ind w:firstLine="560"/>
        <w:rPr>
          <w:rFonts w:ascii="仿宋_GB2312"/>
          <w:sz w:val="28"/>
          <w:szCs w:val="28"/>
        </w:rPr>
      </w:pPr>
      <w:r>
        <w:rPr>
          <w:rFonts w:ascii="仿宋_GB2312" w:hint="eastAsia"/>
          <w:sz w:val="28"/>
          <w:szCs w:val="28"/>
        </w:rPr>
        <w:t>8．年初结转和结余1004.52万元，</w:t>
      </w:r>
      <w:r>
        <w:rPr>
          <w:rFonts w:ascii="仿宋_GB2312" w:hAnsi="仿宋" w:hint="eastAsia"/>
          <w:snapToGrid w:val="0"/>
          <w:color w:val="000000" w:themeColor="text1"/>
          <w:spacing w:val="-4"/>
          <w:kern w:val="0"/>
          <w:sz w:val="28"/>
          <w:szCs w:val="28"/>
        </w:rPr>
        <w:t>主要部分项目为跨年度实施的项目，各单位上年结转本年使用的环保专项等</w:t>
      </w:r>
      <w:r>
        <w:rPr>
          <w:rFonts w:ascii="仿宋_GB2312" w:hAnsi="仿宋" w:hint="eastAsia"/>
          <w:snapToGrid w:val="0"/>
          <w:color w:val="000000"/>
          <w:spacing w:val="-4"/>
          <w:kern w:val="0"/>
          <w:sz w:val="28"/>
          <w:szCs w:val="28"/>
        </w:rPr>
        <w:t>资金。</w:t>
      </w:r>
    </w:p>
    <w:p w:rsidR="00F21CAC" w:rsidRDefault="00FA7A1D">
      <w:pPr>
        <w:spacing w:line="480" w:lineRule="exact"/>
        <w:ind w:firstLine="560"/>
        <w:rPr>
          <w:rFonts w:ascii="仿宋_GB2312"/>
          <w:sz w:val="28"/>
          <w:szCs w:val="28"/>
        </w:rPr>
      </w:pPr>
      <w:r>
        <w:rPr>
          <w:rFonts w:ascii="仿宋_GB2312" w:hint="eastAsia"/>
          <w:sz w:val="28"/>
          <w:szCs w:val="28"/>
        </w:rPr>
        <w:t>（二）支出总计10293.98万元。包括：</w:t>
      </w:r>
    </w:p>
    <w:p w:rsidR="00F21CAC" w:rsidRDefault="00FA7A1D">
      <w:pPr>
        <w:spacing w:line="480" w:lineRule="exact"/>
        <w:ind w:firstLine="560"/>
        <w:rPr>
          <w:rFonts w:ascii="仿宋_GB2312"/>
          <w:sz w:val="28"/>
          <w:szCs w:val="28"/>
        </w:rPr>
      </w:pPr>
      <w:r>
        <w:rPr>
          <w:rFonts w:ascii="仿宋_GB2312" w:hint="eastAsia"/>
          <w:sz w:val="28"/>
          <w:szCs w:val="28"/>
        </w:rPr>
        <w:t>1．一般公共服务（类）支出0万元。与上年相比减少1万元，减少100%。主要原因是市</w:t>
      </w:r>
      <w:r>
        <w:rPr>
          <w:rFonts w:ascii="仿宋_GB2312" w:hAnsi="仿宋" w:hint="eastAsia"/>
          <w:snapToGrid w:val="0"/>
          <w:color w:val="000000"/>
          <w:spacing w:val="-4"/>
          <w:kern w:val="0"/>
          <w:sz w:val="28"/>
          <w:szCs w:val="28"/>
        </w:rPr>
        <w:t>环境监测中心课题费减少。</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snapToGrid w:val="0"/>
          <w:color w:val="000000"/>
          <w:spacing w:val="-4"/>
          <w:kern w:val="0"/>
          <w:sz w:val="28"/>
          <w:szCs w:val="28"/>
        </w:rPr>
        <w:t>2</w:t>
      </w:r>
      <w:r>
        <w:rPr>
          <w:rFonts w:ascii="仿宋_GB2312" w:hAnsi="仿宋" w:hint="eastAsia"/>
          <w:snapToGrid w:val="0"/>
          <w:color w:val="000000"/>
          <w:spacing w:val="-4"/>
          <w:kern w:val="0"/>
          <w:sz w:val="28"/>
          <w:szCs w:val="28"/>
        </w:rPr>
        <w:t>．外交（类）支出0万元，与上年相比无增减，增减0%。主要原因是本部门无外交（类）支出。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3. 国防（类）支出0万元，与上年相比无增减，增减0%。主要原因是本部门无国防（类）支出。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lastRenderedPageBreak/>
        <w:t>4.公共安全（类）支出0万元，与上年相比无增减，增减0%。主要原因是本部门无公共安全（类）支出。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5. 教育（类）支出0万元，与上年相比无增减，增减0%。主要原因是本部门无教育（类）支出。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6.科学技术与支出0万元。与上年相比减少1.4万元，减少100</w:t>
      </w:r>
      <w:r>
        <w:rPr>
          <w:rFonts w:ascii="仿宋_GB2312" w:hAnsi="仿宋"/>
          <w:snapToGrid w:val="0"/>
          <w:color w:val="000000"/>
          <w:spacing w:val="-4"/>
          <w:kern w:val="0"/>
          <w:sz w:val="28"/>
          <w:szCs w:val="28"/>
        </w:rPr>
        <w:t xml:space="preserve"> %</w:t>
      </w:r>
      <w:r>
        <w:rPr>
          <w:rFonts w:ascii="仿宋_GB2312" w:hAnsi="仿宋" w:hint="eastAsia"/>
          <w:snapToGrid w:val="0"/>
          <w:color w:val="000000"/>
          <w:spacing w:val="-4"/>
          <w:kern w:val="0"/>
          <w:sz w:val="28"/>
          <w:szCs w:val="28"/>
        </w:rPr>
        <w:t>。主要原因是2017年度无上级下达的课题研究经费。</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7. 文化体育与传媒（类）支出0万元，与上年相比无增减，增减0%。主要原因是本部门无文化体育与传媒（类）支出。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8.社会保障和就业支出484.78万元，主要用于</w:t>
      </w:r>
      <w:r>
        <w:rPr>
          <w:rFonts w:ascii="仿宋_GB2312" w:hAnsi="仿宋" w:hint="eastAsia"/>
          <w:color w:val="000000"/>
          <w:sz w:val="28"/>
          <w:szCs w:val="28"/>
        </w:rPr>
        <w:t>离退休人员支出</w:t>
      </w:r>
      <w:r>
        <w:rPr>
          <w:rFonts w:ascii="仿宋_GB2312" w:hAnsi="仿宋" w:hint="eastAsia"/>
          <w:snapToGrid w:val="0"/>
          <w:color w:val="000000"/>
          <w:spacing w:val="-4"/>
          <w:kern w:val="0"/>
          <w:sz w:val="28"/>
          <w:szCs w:val="28"/>
        </w:rPr>
        <w:t>。与上年相比增加37.05万元，增长8.28</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。主要原因是退休人员增加，财政政策性追加。</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9．医疗卫生与计划生育支出168.17万元，</w:t>
      </w:r>
      <w:r>
        <w:rPr>
          <w:rFonts w:ascii="仿宋_GB2312" w:hAnsi="仿宋" w:hint="eastAsia"/>
          <w:color w:val="000000"/>
          <w:sz w:val="28"/>
          <w:szCs w:val="28"/>
        </w:rPr>
        <w:t>主要用于医疗保险</w:t>
      </w:r>
      <w:r>
        <w:rPr>
          <w:rFonts w:ascii="仿宋_GB2312" w:hAnsi="仿宋" w:hint="eastAsia"/>
          <w:snapToGrid w:val="0"/>
          <w:color w:val="000000"/>
          <w:spacing w:val="-4"/>
          <w:kern w:val="0"/>
          <w:sz w:val="28"/>
          <w:szCs w:val="28"/>
        </w:rPr>
        <w:t>。与上年相比增加0.08万元，增长0.05</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。与上年基本持平。</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10．节能环保支出8976.5万元，</w:t>
      </w:r>
      <w:r>
        <w:rPr>
          <w:rFonts w:ascii="仿宋_GB2312" w:hAnsi="仿宋" w:hint="eastAsia"/>
          <w:color w:val="000000"/>
          <w:sz w:val="28"/>
          <w:szCs w:val="28"/>
        </w:rPr>
        <w:t>主要用于环境保护管理事务、环境监测监察、污染减排、治理大气、水体、噪声、固体废弃物、放射性物质等方面的支出</w:t>
      </w:r>
      <w:r>
        <w:rPr>
          <w:rFonts w:ascii="仿宋_GB2312" w:hAnsi="仿宋" w:hint="eastAsia"/>
          <w:snapToGrid w:val="0"/>
          <w:color w:val="000000"/>
          <w:spacing w:val="-4"/>
          <w:kern w:val="0"/>
          <w:sz w:val="28"/>
          <w:szCs w:val="28"/>
        </w:rPr>
        <w:t>。与上年相比增加1216.1万元，增加15.67</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。主要原因是新增财政预算拨款单位市环境保护研究院。</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11.城乡社区支出2.18万元，主要用于城市长效管理奖励。与上年相比减少2.82万元，减少56.4%。主要原因为城市长效管理奖励资金减少。</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12. 农林水（类）支出0万元，与上年相比无增减，增减0%。主要原因是本部门无农林水（类）支出。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13. 交通运输（类）支出0万元，与上年相比无增减，增减0%。主要原</w:t>
      </w:r>
      <w:r>
        <w:rPr>
          <w:rFonts w:ascii="仿宋_GB2312" w:hAnsi="仿宋" w:hint="eastAsia"/>
          <w:snapToGrid w:val="0"/>
          <w:color w:val="000000"/>
          <w:spacing w:val="-4"/>
          <w:kern w:val="0"/>
          <w:sz w:val="28"/>
          <w:szCs w:val="28"/>
        </w:rPr>
        <w:lastRenderedPageBreak/>
        <w:t>因是本部门无交通运输（类）支出。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14. 资源勘探信息等（类）支出0万元，与上年相比无增减，增减0%。主要原因是本部门无资源勘探信息等（类）支出。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15. 商业服务业等（类）支出0万元，与上年相比无增减，增减0%。主要原因是本部门无商业服务业等（类）支出。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16. 金融（类）支出0万元，与上年相比无增减，增减0%。主要原因是本部门无金融（类）支出。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17. 援助其他地区（类）支出0万元，与上年相比无增减，增减0%。主要原因是本部门无援助其他地区（类）支出。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18. 国土海洋气象等（类）支出0万元，与上年相比无增减，增减0%。主要原因是本部门无国土海洋气象等（类）支出。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19．住房保障支出662.35万元，</w:t>
      </w:r>
      <w:r>
        <w:rPr>
          <w:rFonts w:ascii="仿宋_GB2312" w:hAnsi="仿宋" w:hint="eastAsia"/>
          <w:color w:val="000000"/>
          <w:sz w:val="28"/>
          <w:szCs w:val="28"/>
        </w:rPr>
        <w:t>主要用于职工的住房公积金、购房补贴、提租补贴等支出</w:t>
      </w:r>
      <w:r>
        <w:rPr>
          <w:rFonts w:ascii="仿宋_GB2312" w:hAnsi="仿宋" w:hint="eastAsia"/>
          <w:snapToGrid w:val="0"/>
          <w:color w:val="000000"/>
          <w:spacing w:val="-4"/>
          <w:kern w:val="0"/>
          <w:sz w:val="28"/>
          <w:szCs w:val="28"/>
        </w:rPr>
        <w:t>。与上年相比增加145.71万元，增长28.2</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。主要原因是职工住房公积金等的财政政策性追加。</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20. 粮油物资储备（类）支出0万元，与上年相比无增减，增减0%。主要原因是本部门无粮油物资储备（类）支出。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21. 其他（类）支出0万元，与上年相比减少14.1万元，减少100%。主要原因是2017年度无省级拨入专项资金。</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22. 债务还本（类）支出0万元，与上年相比无增减，增减0%。主要原因是本部门无债务还本（类）支出。</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23. 债务付息（类）支出0万元，与上年相比无增减，增减0%。主要原因是本部门无债务付息（类）支出。</w:t>
      </w:r>
    </w:p>
    <w:p w:rsidR="00F21CAC" w:rsidRDefault="00FA7A1D">
      <w:pPr>
        <w:spacing w:line="480" w:lineRule="exact"/>
        <w:ind w:firstLine="560"/>
        <w:rPr>
          <w:rFonts w:ascii="仿宋_GB2312"/>
          <w:sz w:val="28"/>
          <w:szCs w:val="28"/>
        </w:rPr>
      </w:pPr>
      <w:r>
        <w:rPr>
          <w:rFonts w:ascii="仿宋_GB2312" w:hint="eastAsia"/>
          <w:sz w:val="28"/>
          <w:szCs w:val="28"/>
        </w:rPr>
        <w:lastRenderedPageBreak/>
        <w:t>24．结余分配0万元，与上年相比无增减，增减0%。</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25．年末结转和结余3905.02万元，为单位结转下年的项目支出结转和结余和经营结余。</w:t>
      </w:r>
      <w:r>
        <w:rPr>
          <w:rFonts w:ascii="仿宋_GB2312" w:hAnsi="仿宋" w:hint="eastAsia"/>
          <w:snapToGrid w:val="0"/>
          <w:color w:val="000000"/>
          <w:spacing w:val="-4"/>
          <w:kern w:val="0"/>
          <w:sz w:val="28"/>
          <w:szCs w:val="28"/>
        </w:rPr>
        <w:t>主要以前年度预算安排的财政专项资金由于</w:t>
      </w:r>
      <w:r>
        <w:rPr>
          <w:rFonts w:ascii="仿宋_GB2312" w:hAnsi="仿宋" w:hint="eastAsia"/>
          <w:snapToGrid w:val="0"/>
          <w:color w:val="000000" w:themeColor="text1"/>
          <w:spacing w:val="-4"/>
          <w:kern w:val="0"/>
          <w:sz w:val="28"/>
          <w:szCs w:val="28"/>
        </w:rPr>
        <w:t>项目为跨年度项目，按合同规定需分阶段跨年度支付，</w:t>
      </w:r>
      <w:r>
        <w:rPr>
          <w:rFonts w:ascii="仿宋_GB2312" w:hAnsi="仿宋" w:hint="eastAsia"/>
          <w:snapToGrid w:val="0"/>
          <w:color w:val="000000"/>
          <w:spacing w:val="-4"/>
          <w:kern w:val="0"/>
          <w:sz w:val="28"/>
          <w:szCs w:val="28"/>
        </w:rPr>
        <w:t>需要延迟到以后年度按有关规定使用的资金。</w:t>
      </w:r>
    </w:p>
    <w:p w:rsidR="00F21CAC" w:rsidRDefault="00F21CAC">
      <w:pPr>
        <w:spacing w:line="480" w:lineRule="exact"/>
        <w:ind w:firstLine="560"/>
        <w:rPr>
          <w:rFonts w:ascii="仿宋_GB2312"/>
          <w:sz w:val="28"/>
          <w:szCs w:val="28"/>
        </w:rPr>
      </w:pPr>
    </w:p>
    <w:p w:rsidR="00F21CAC" w:rsidRDefault="00FA7A1D">
      <w:pPr>
        <w:widowControl/>
        <w:spacing w:line="480" w:lineRule="exact"/>
        <w:ind w:firstLine="560"/>
        <w:rPr>
          <w:rFonts w:ascii="黑体" w:eastAsia="黑体" w:hAnsi="黑体"/>
          <w:sz w:val="28"/>
          <w:szCs w:val="28"/>
        </w:rPr>
      </w:pPr>
      <w:r>
        <w:rPr>
          <w:rFonts w:ascii="黑体" w:eastAsia="黑体" w:hAnsi="黑体" w:hint="eastAsia"/>
          <w:sz w:val="28"/>
          <w:szCs w:val="28"/>
        </w:rPr>
        <w:t>二、收入决算情况说明</w:t>
      </w:r>
    </w:p>
    <w:p w:rsidR="00F21CAC" w:rsidRDefault="00FA7A1D">
      <w:pPr>
        <w:autoSpaceDE w:val="0"/>
        <w:autoSpaceDN w:val="0"/>
        <w:adjustRightInd w:val="0"/>
        <w:snapToGrid w:val="0"/>
        <w:spacing w:line="570" w:lineRule="exact"/>
        <w:ind w:firstLine="544"/>
        <w:rPr>
          <w:rFonts w:ascii="仿宋_GB2312" w:hAnsi="仿宋"/>
          <w:snapToGrid w:val="0"/>
          <w:color w:val="000000"/>
          <w:spacing w:val="-4"/>
          <w:kern w:val="0"/>
          <w:sz w:val="28"/>
          <w:szCs w:val="28"/>
        </w:rPr>
      </w:pPr>
      <w:r>
        <w:rPr>
          <w:rFonts w:ascii="仿宋_GB2312" w:hAnsi="仿宋" w:hint="eastAsia"/>
          <w:snapToGrid w:val="0"/>
          <w:color w:val="000000"/>
          <w:spacing w:val="-4"/>
          <w:kern w:val="0"/>
          <w:sz w:val="28"/>
          <w:szCs w:val="28"/>
        </w:rPr>
        <w:t>常州市环境保护局本年收入合计9695.6万元，其中：财政拨款收入8607.38万元，占88.78</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；上级补助收入550.68万元，占5.68</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；经营收入189.55万元，占1.96%；其他收入348万元，占3.59</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w:t>
      </w:r>
    </w:p>
    <w:p w:rsidR="00F21CAC" w:rsidRDefault="00F21CAC">
      <w:pPr>
        <w:autoSpaceDE w:val="0"/>
        <w:autoSpaceDN w:val="0"/>
        <w:adjustRightInd w:val="0"/>
        <w:snapToGrid w:val="0"/>
        <w:spacing w:line="570" w:lineRule="exact"/>
        <w:ind w:firstLine="624"/>
        <w:rPr>
          <w:rFonts w:ascii="仿宋_GB2312" w:hAnsi="仿宋"/>
          <w:snapToGrid w:val="0"/>
          <w:color w:val="000000"/>
          <w:spacing w:val="-4"/>
          <w:kern w:val="0"/>
          <w:szCs w:val="32"/>
        </w:rPr>
      </w:pPr>
    </w:p>
    <w:p w:rsidR="00F21CAC" w:rsidRDefault="00FA7A1D">
      <w:pPr>
        <w:ind w:firstLine="640"/>
      </w:pPr>
      <w:r>
        <w:rPr>
          <w:noProof/>
        </w:rPr>
        <w:drawing>
          <wp:inline distT="0" distB="0" distL="114300" distR="114300">
            <wp:extent cx="4995545" cy="3298190"/>
            <wp:effectExtent l="0" t="0" r="14605" b="165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cstate="print"/>
                    <a:stretch>
                      <a:fillRect/>
                    </a:stretch>
                  </pic:blipFill>
                  <pic:spPr>
                    <a:xfrm>
                      <a:off x="0" y="0"/>
                      <a:ext cx="4995545" cy="3298190"/>
                    </a:xfrm>
                    <a:prstGeom prst="rect">
                      <a:avLst/>
                    </a:prstGeom>
                    <a:noFill/>
                    <a:ln w="9525">
                      <a:noFill/>
                    </a:ln>
                  </pic:spPr>
                </pic:pic>
              </a:graphicData>
            </a:graphic>
          </wp:inline>
        </w:drawing>
      </w:r>
    </w:p>
    <w:p w:rsidR="00F21CAC" w:rsidRDefault="00FA7A1D">
      <w:pPr>
        <w:spacing w:line="480" w:lineRule="exact"/>
        <w:ind w:firstLine="560"/>
        <w:jc w:val="center"/>
        <w:rPr>
          <w:rFonts w:ascii="仿宋_GB2312"/>
          <w:sz w:val="28"/>
          <w:szCs w:val="28"/>
        </w:rPr>
      </w:pPr>
      <w:r>
        <w:rPr>
          <w:rFonts w:ascii="仿宋_GB2312" w:hint="eastAsia"/>
          <w:sz w:val="28"/>
          <w:szCs w:val="28"/>
        </w:rPr>
        <w:t>图1：收入决算图</w:t>
      </w:r>
    </w:p>
    <w:p w:rsidR="00F21CAC" w:rsidRDefault="00FA7A1D">
      <w:pPr>
        <w:widowControl/>
        <w:spacing w:line="480" w:lineRule="exact"/>
        <w:ind w:firstLine="560"/>
        <w:rPr>
          <w:rFonts w:ascii="黑体" w:eastAsia="黑体" w:hAnsi="黑体"/>
          <w:sz w:val="28"/>
          <w:szCs w:val="28"/>
        </w:rPr>
      </w:pPr>
      <w:r>
        <w:rPr>
          <w:rFonts w:ascii="黑体" w:eastAsia="黑体" w:hAnsi="黑体" w:hint="eastAsia"/>
          <w:sz w:val="28"/>
          <w:szCs w:val="28"/>
        </w:rPr>
        <w:t>三、支出决算情况说明</w:t>
      </w:r>
    </w:p>
    <w:p w:rsidR="00F21CAC" w:rsidRDefault="00FA7A1D">
      <w:pPr>
        <w:spacing w:line="480" w:lineRule="exact"/>
        <w:ind w:leftChars="50" w:left="160" w:firstLineChars="150" w:firstLine="408"/>
        <w:rPr>
          <w:rFonts w:ascii="仿宋_GB2312"/>
          <w:sz w:val="28"/>
          <w:szCs w:val="28"/>
        </w:rPr>
      </w:pPr>
      <w:r>
        <w:rPr>
          <w:rFonts w:ascii="仿宋_GB2312" w:hAnsi="仿宋" w:hint="eastAsia"/>
          <w:snapToGrid w:val="0"/>
          <w:color w:val="000000"/>
          <w:spacing w:val="-4"/>
          <w:kern w:val="0"/>
          <w:sz w:val="28"/>
          <w:szCs w:val="28"/>
        </w:rPr>
        <w:t>常州市环境保护局</w:t>
      </w:r>
      <w:r>
        <w:rPr>
          <w:rFonts w:ascii="仿宋_GB2312" w:hint="eastAsia"/>
          <w:sz w:val="28"/>
          <w:szCs w:val="28"/>
        </w:rPr>
        <w:t>本年支出合计10293.98万元，其中：基本支出</w:t>
      </w:r>
      <w:r>
        <w:rPr>
          <w:rFonts w:ascii="仿宋_GB2312" w:hint="eastAsia"/>
          <w:sz w:val="28"/>
          <w:szCs w:val="28"/>
        </w:rPr>
        <w:lastRenderedPageBreak/>
        <w:t>5113.53万元，占49.67%；项目支出4990.9万元，占48.48%；经营支出189.55万元，占1.8%。</w:t>
      </w:r>
    </w:p>
    <w:p w:rsidR="00F21CAC" w:rsidRDefault="00F21CAC">
      <w:pPr>
        <w:spacing w:line="480" w:lineRule="exact"/>
        <w:ind w:leftChars="50" w:left="160" w:firstLineChars="150" w:firstLine="420"/>
        <w:rPr>
          <w:rFonts w:ascii="仿宋_GB2312"/>
          <w:sz w:val="28"/>
          <w:szCs w:val="28"/>
        </w:rPr>
      </w:pPr>
    </w:p>
    <w:p w:rsidR="00F21CAC" w:rsidRDefault="00FA7A1D">
      <w:pPr>
        <w:ind w:firstLine="640"/>
      </w:pPr>
      <w:r>
        <w:rPr>
          <w:noProof/>
        </w:rPr>
        <w:drawing>
          <wp:inline distT="0" distB="0" distL="114300" distR="114300">
            <wp:extent cx="4902835" cy="3122930"/>
            <wp:effectExtent l="0" t="0" r="12065" b="127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cstate="print"/>
                    <a:stretch>
                      <a:fillRect/>
                    </a:stretch>
                  </pic:blipFill>
                  <pic:spPr>
                    <a:xfrm>
                      <a:off x="0" y="0"/>
                      <a:ext cx="4902835" cy="3122930"/>
                    </a:xfrm>
                    <a:prstGeom prst="rect">
                      <a:avLst/>
                    </a:prstGeom>
                    <a:noFill/>
                    <a:ln w="9525">
                      <a:noFill/>
                    </a:ln>
                  </pic:spPr>
                </pic:pic>
              </a:graphicData>
            </a:graphic>
          </wp:inline>
        </w:drawing>
      </w:r>
    </w:p>
    <w:p w:rsidR="00F21CAC" w:rsidRDefault="00FA7A1D">
      <w:pPr>
        <w:spacing w:line="480" w:lineRule="exact"/>
        <w:ind w:leftChars="50" w:left="160" w:firstLineChars="150" w:firstLine="420"/>
        <w:jc w:val="center"/>
        <w:rPr>
          <w:rFonts w:ascii="仿宋_GB2312"/>
          <w:sz w:val="28"/>
          <w:szCs w:val="28"/>
        </w:rPr>
      </w:pPr>
      <w:r>
        <w:rPr>
          <w:rFonts w:ascii="仿宋_GB2312" w:hint="eastAsia"/>
          <w:sz w:val="28"/>
          <w:szCs w:val="28"/>
        </w:rPr>
        <w:t>图2：支出决算图</w:t>
      </w:r>
    </w:p>
    <w:p w:rsidR="00F21CAC" w:rsidRDefault="00FA7A1D">
      <w:pPr>
        <w:widowControl/>
        <w:spacing w:line="480" w:lineRule="exact"/>
        <w:ind w:firstLine="560"/>
        <w:rPr>
          <w:rFonts w:ascii="黑体" w:eastAsia="黑体" w:hAnsi="黑体"/>
          <w:sz w:val="28"/>
          <w:szCs w:val="28"/>
        </w:rPr>
      </w:pPr>
      <w:r>
        <w:rPr>
          <w:rFonts w:ascii="黑体" w:eastAsia="黑体" w:hAnsi="黑体" w:hint="eastAsia"/>
          <w:sz w:val="28"/>
          <w:szCs w:val="28"/>
        </w:rPr>
        <w:t>四、财政拨款收入支出决算总体情况说明</w:t>
      </w:r>
    </w:p>
    <w:p w:rsidR="00F21CAC" w:rsidRDefault="00FA7A1D">
      <w:pPr>
        <w:spacing w:line="480" w:lineRule="exact"/>
        <w:ind w:firstLine="544"/>
        <w:rPr>
          <w:rFonts w:ascii="仿宋_GB2312"/>
          <w:sz w:val="28"/>
          <w:szCs w:val="28"/>
        </w:rPr>
      </w:pPr>
      <w:r>
        <w:rPr>
          <w:rFonts w:ascii="仿宋_GB2312" w:hAnsi="仿宋" w:hint="eastAsia"/>
          <w:snapToGrid w:val="0"/>
          <w:color w:val="000000"/>
          <w:spacing w:val="-4"/>
          <w:kern w:val="0"/>
          <w:sz w:val="28"/>
          <w:szCs w:val="28"/>
        </w:rPr>
        <w:t>常州市环境保护局</w:t>
      </w:r>
      <w:r>
        <w:rPr>
          <w:rFonts w:ascii="仿宋_GB2312" w:hint="eastAsia"/>
          <w:sz w:val="28"/>
          <w:szCs w:val="28"/>
        </w:rPr>
        <w:t>2017年度财政拨款收入8607.38万元，与上年相比，增加882.03万元，增长11.4%；支出8770.98万元，与上年相比，增加1045.63万元，增长13.5%。主要原因是</w:t>
      </w:r>
      <w:r>
        <w:rPr>
          <w:rFonts w:ascii="仿宋_GB2312" w:hAnsi="仿宋" w:hint="eastAsia"/>
          <w:snapToGrid w:val="0"/>
          <w:color w:val="000000"/>
          <w:spacing w:val="-4"/>
          <w:kern w:val="0"/>
          <w:sz w:val="28"/>
          <w:szCs w:val="28"/>
        </w:rPr>
        <w:t>新增财政预算拨款单位市环境保护研究院</w:t>
      </w:r>
      <w:r>
        <w:rPr>
          <w:rFonts w:ascii="仿宋_GB2312" w:hint="eastAsia"/>
          <w:sz w:val="28"/>
          <w:szCs w:val="28"/>
        </w:rPr>
        <w:t>。</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五、财政拨款支出决算情况说明</w:t>
      </w:r>
    </w:p>
    <w:p w:rsidR="00F21CAC" w:rsidRDefault="00FA7A1D">
      <w:pPr>
        <w:spacing w:line="480" w:lineRule="exact"/>
        <w:ind w:firstLine="560"/>
        <w:rPr>
          <w:rFonts w:ascii="仿宋_GB2312"/>
          <w:sz w:val="28"/>
          <w:szCs w:val="28"/>
        </w:rPr>
      </w:pPr>
      <w:r>
        <w:rPr>
          <w:rFonts w:ascii="仿宋_GB2312" w:hint="eastAsia"/>
          <w:sz w:val="28"/>
          <w:szCs w:val="28"/>
        </w:rPr>
        <w:t>财政拨款支出决算反映的是一般公共预算和政府性基金预算财政拨款支出的总体情况，既包括使用本年从本级财政取得的拨款发生的支出，也包括使用上年度财政拨款结转和结余资金发生的支出。</w:t>
      </w:r>
      <w:r>
        <w:rPr>
          <w:rFonts w:ascii="仿宋_GB2312" w:hAnsi="仿宋" w:hint="eastAsia"/>
          <w:snapToGrid w:val="0"/>
          <w:color w:val="000000"/>
          <w:spacing w:val="-4"/>
          <w:kern w:val="0"/>
          <w:sz w:val="28"/>
          <w:szCs w:val="28"/>
        </w:rPr>
        <w:t>常州市环境保护局</w:t>
      </w:r>
      <w:r>
        <w:rPr>
          <w:rFonts w:ascii="仿宋_GB2312" w:hint="eastAsia"/>
          <w:sz w:val="28"/>
          <w:szCs w:val="28"/>
        </w:rPr>
        <w:t>2017年财政拨款支出8770.98万元，占本年支出合计的85.2%。与上年相比，财政拨款支出增加1045.63万元，增长13.5%。主要原因是</w:t>
      </w:r>
      <w:r>
        <w:rPr>
          <w:rFonts w:ascii="仿宋_GB2312" w:hAnsi="仿宋" w:hint="eastAsia"/>
          <w:snapToGrid w:val="0"/>
          <w:color w:val="000000"/>
          <w:spacing w:val="-4"/>
          <w:kern w:val="0"/>
          <w:sz w:val="28"/>
          <w:szCs w:val="28"/>
        </w:rPr>
        <w:t>新增</w:t>
      </w:r>
      <w:r>
        <w:rPr>
          <w:rFonts w:ascii="仿宋_GB2312" w:hAnsi="仿宋" w:hint="eastAsia"/>
          <w:snapToGrid w:val="0"/>
          <w:color w:val="000000"/>
          <w:spacing w:val="-4"/>
          <w:kern w:val="0"/>
          <w:sz w:val="28"/>
          <w:szCs w:val="28"/>
        </w:rPr>
        <w:lastRenderedPageBreak/>
        <w:t>财政预算拨款单位市环境保护研究院</w:t>
      </w:r>
      <w:r>
        <w:rPr>
          <w:rFonts w:ascii="仿宋_GB2312" w:hint="eastAsia"/>
          <w:sz w:val="28"/>
          <w:szCs w:val="28"/>
        </w:rPr>
        <w:t>。</w:t>
      </w:r>
    </w:p>
    <w:p w:rsidR="00F21CAC" w:rsidRDefault="00FA7A1D">
      <w:pPr>
        <w:spacing w:line="480" w:lineRule="exact"/>
        <w:ind w:firstLine="544"/>
        <w:rPr>
          <w:rFonts w:ascii="仿宋_GB2312"/>
          <w:sz w:val="28"/>
          <w:szCs w:val="28"/>
        </w:rPr>
      </w:pPr>
      <w:r>
        <w:rPr>
          <w:rFonts w:ascii="仿宋_GB2312" w:hAnsi="仿宋" w:hint="eastAsia"/>
          <w:snapToGrid w:val="0"/>
          <w:color w:val="000000"/>
          <w:spacing w:val="-4"/>
          <w:kern w:val="0"/>
          <w:sz w:val="28"/>
          <w:szCs w:val="28"/>
        </w:rPr>
        <w:t>常州市环境保护局</w:t>
      </w:r>
      <w:r>
        <w:rPr>
          <w:rFonts w:ascii="仿宋_GB2312" w:hint="eastAsia"/>
          <w:sz w:val="28"/>
          <w:szCs w:val="28"/>
        </w:rPr>
        <w:t>2017年度财政拨款支出年初预算为4230.95万元，支出决算为8770.98万元，完成年初预算的207.3%。决算数大于年初预算的主要原因是</w:t>
      </w:r>
      <w:r>
        <w:rPr>
          <w:rFonts w:ascii="仿宋_GB2312" w:hAnsi="仿宋"/>
          <w:snapToGrid w:val="0"/>
          <w:color w:val="000000"/>
          <w:spacing w:val="-4"/>
          <w:kern w:val="0"/>
          <w:sz w:val="28"/>
          <w:szCs w:val="28"/>
        </w:rPr>
        <w:t>1</w:t>
      </w:r>
      <w:r>
        <w:rPr>
          <w:rFonts w:ascii="仿宋_GB2312" w:hAnsi="仿宋" w:hint="eastAsia"/>
          <w:snapToGrid w:val="0"/>
          <w:color w:val="000000"/>
          <w:spacing w:val="-4"/>
          <w:kern w:val="0"/>
          <w:sz w:val="28"/>
          <w:szCs w:val="28"/>
        </w:rPr>
        <w:t>、正常性经费的政策性追加，</w:t>
      </w:r>
      <w:r>
        <w:rPr>
          <w:rFonts w:ascii="仿宋_GB2312" w:hAnsi="仿宋"/>
          <w:snapToGrid w:val="0"/>
          <w:color w:val="000000"/>
          <w:spacing w:val="-4"/>
          <w:kern w:val="0"/>
          <w:sz w:val="28"/>
          <w:szCs w:val="28"/>
        </w:rPr>
        <w:t>2</w:t>
      </w:r>
      <w:r>
        <w:rPr>
          <w:rFonts w:ascii="仿宋_GB2312" w:hAnsi="仿宋" w:hint="eastAsia"/>
          <w:snapToGrid w:val="0"/>
          <w:color w:val="000000"/>
          <w:spacing w:val="-4"/>
          <w:kern w:val="0"/>
          <w:sz w:val="28"/>
          <w:szCs w:val="28"/>
        </w:rPr>
        <w:t>、环保专项资金未纳入年初部门预算，为年度追加</w:t>
      </w:r>
      <w:r>
        <w:rPr>
          <w:rFonts w:ascii="仿宋_GB2312" w:hint="eastAsia"/>
          <w:sz w:val="28"/>
          <w:szCs w:val="28"/>
        </w:rPr>
        <w:t xml:space="preserve">。其中： </w:t>
      </w:r>
    </w:p>
    <w:p w:rsidR="00F21CAC" w:rsidRDefault="00FA7A1D">
      <w:pPr>
        <w:autoSpaceDE w:val="0"/>
        <w:autoSpaceDN w:val="0"/>
        <w:adjustRightInd w:val="0"/>
        <w:snapToGrid w:val="0"/>
        <w:spacing w:line="570" w:lineRule="exact"/>
        <w:ind w:firstLine="560"/>
        <w:rPr>
          <w:rFonts w:ascii="仿宋_GB2312" w:hAnsi="仿宋"/>
          <w:snapToGrid w:val="0"/>
          <w:color w:val="000000" w:themeColor="text1"/>
          <w:spacing w:val="-4"/>
          <w:kern w:val="0"/>
          <w:sz w:val="28"/>
          <w:szCs w:val="28"/>
        </w:rPr>
      </w:pPr>
      <w:r>
        <w:rPr>
          <w:rFonts w:ascii="仿宋_GB2312" w:hint="eastAsia"/>
          <w:color w:val="000000" w:themeColor="text1"/>
          <w:sz w:val="28"/>
          <w:szCs w:val="28"/>
        </w:rPr>
        <w:t>（一）</w:t>
      </w:r>
      <w:r>
        <w:rPr>
          <w:rFonts w:ascii="仿宋_GB2312" w:hAnsi="仿宋" w:hint="eastAsia"/>
          <w:snapToGrid w:val="0"/>
          <w:color w:val="000000" w:themeColor="text1"/>
          <w:spacing w:val="-4"/>
          <w:kern w:val="0"/>
          <w:sz w:val="28"/>
          <w:szCs w:val="28"/>
        </w:rPr>
        <w:t>社会保障和就业</w:t>
      </w:r>
    </w:p>
    <w:p w:rsidR="00F21CAC" w:rsidRDefault="00FA7A1D">
      <w:pPr>
        <w:autoSpaceDE w:val="0"/>
        <w:autoSpaceDN w:val="0"/>
        <w:adjustRightInd w:val="0"/>
        <w:snapToGrid w:val="0"/>
        <w:spacing w:line="570" w:lineRule="exact"/>
        <w:ind w:firstLine="544"/>
        <w:rPr>
          <w:rFonts w:ascii="仿宋_GB2312" w:hAnsi="仿宋"/>
          <w:color w:val="000000" w:themeColor="text1"/>
          <w:sz w:val="28"/>
          <w:szCs w:val="28"/>
        </w:rPr>
      </w:pPr>
      <w:r>
        <w:rPr>
          <w:rFonts w:ascii="仿宋_GB2312" w:hAnsi="仿宋"/>
          <w:snapToGrid w:val="0"/>
          <w:color w:val="000000" w:themeColor="text1"/>
          <w:spacing w:val="-4"/>
          <w:kern w:val="0"/>
          <w:sz w:val="28"/>
          <w:szCs w:val="28"/>
        </w:rPr>
        <w:t>1.</w:t>
      </w:r>
      <w:r>
        <w:rPr>
          <w:rFonts w:ascii="仿宋_GB2312" w:hAnsi="仿宋" w:hint="eastAsia"/>
          <w:snapToGrid w:val="0"/>
          <w:color w:val="000000" w:themeColor="text1"/>
          <w:spacing w:val="-4"/>
          <w:kern w:val="0"/>
          <w:sz w:val="28"/>
          <w:szCs w:val="28"/>
        </w:rPr>
        <w:t>行政事业单位离退休</w:t>
      </w:r>
      <w:r>
        <w:rPr>
          <w:rFonts w:ascii="仿宋_GB2312" w:hAnsi="仿宋"/>
          <w:snapToGrid w:val="0"/>
          <w:color w:val="000000" w:themeColor="text1"/>
          <w:spacing w:val="-4"/>
          <w:kern w:val="0"/>
          <w:sz w:val="28"/>
          <w:szCs w:val="28"/>
        </w:rPr>
        <w:t>-</w:t>
      </w:r>
      <w:r>
        <w:rPr>
          <w:rFonts w:ascii="仿宋_GB2312" w:hAnsi="仿宋" w:hint="eastAsia"/>
          <w:snapToGrid w:val="0"/>
          <w:color w:val="000000" w:themeColor="text1"/>
          <w:spacing w:val="-4"/>
          <w:kern w:val="0"/>
          <w:sz w:val="28"/>
          <w:szCs w:val="28"/>
        </w:rPr>
        <w:t>归口管理的行政事业单位离退休。</w:t>
      </w:r>
      <w:r>
        <w:rPr>
          <w:rFonts w:ascii="仿宋_GB2312" w:hAnsi="仿宋" w:hint="eastAsia"/>
          <w:color w:val="000000" w:themeColor="text1"/>
          <w:sz w:val="28"/>
          <w:szCs w:val="28"/>
        </w:rPr>
        <w:t>年初预算为230.78万元，支出决算为264.55万元，完成年初预算的114.6%。</w:t>
      </w:r>
      <w:r>
        <w:rPr>
          <w:rFonts w:ascii="仿宋_GB2312" w:hint="eastAsia"/>
          <w:sz w:val="28"/>
          <w:szCs w:val="28"/>
        </w:rPr>
        <w:t>决算数大于预算数的主要原因是</w:t>
      </w:r>
      <w:r>
        <w:rPr>
          <w:rFonts w:ascii="仿宋_GB2312" w:hAnsi="仿宋" w:hint="eastAsia"/>
          <w:color w:val="000000" w:themeColor="text1"/>
          <w:sz w:val="28"/>
          <w:szCs w:val="28"/>
        </w:rPr>
        <w:t>当年行政单位退休人员增加，政策性追加33.77万元。</w:t>
      </w:r>
    </w:p>
    <w:p w:rsidR="00F21CAC" w:rsidRDefault="00FA7A1D">
      <w:pPr>
        <w:autoSpaceDE w:val="0"/>
        <w:autoSpaceDN w:val="0"/>
        <w:adjustRightInd w:val="0"/>
        <w:snapToGrid w:val="0"/>
        <w:spacing w:line="570" w:lineRule="exact"/>
        <w:ind w:firstLine="544"/>
        <w:rPr>
          <w:rFonts w:ascii="仿宋_GB2312" w:hAnsi="仿宋"/>
          <w:color w:val="000000" w:themeColor="text1"/>
          <w:sz w:val="28"/>
          <w:szCs w:val="28"/>
        </w:rPr>
      </w:pPr>
      <w:r>
        <w:rPr>
          <w:rFonts w:ascii="仿宋_GB2312" w:hAnsi="仿宋"/>
          <w:snapToGrid w:val="0"/>
          <w:color w:val="000000" w:themeColor="text1"/>
          <w:spacing w:val="-4"/>
          <w:kern w:val="0"/>
          <w:sz w:val="28"/>
          <w:szCs w:val="28"/>
        </w:rPr>
        <w:t>2.</w:t>
      </w:r>
      <w:r>
        <w:rPr>
          <w:rFonts w:ascii="仿宋_GB2312" w:hAnsi="仿宋" w:hint="eastAsia"/>
          <w:snapToGrid w:val="0"/>
          <w:color w:val="000000" w:themeColor="text1"/>
          <w:spacing w:val="-4"/>
          <w:kern w:val="0"/>
          <w:sz w:val="28"/>
          <w:szCs w:val="28"/>
        </w:rPr>
        <w:t xml:space="preserve"> 行政事业单位离退休</w:t>
      </w:r>
      <w:r>
        <w:rPr>
          <w:rFonts w:ascii="仿宋_GB2312" w:hAnsi="仿宋"/>
          <w:snapToGrid w:val="0"/>
          <w:color w:val="000000" w:themeColor="text1"/>
          <w:spacing w:val="-4"/>
          <w:kern w:val="0"/>
          <w:sz w:val="28"/>
          <w:szCs w:val="28"/>
        </w:rPr>
        <w:t>-</w:t>
      </w:r>
      <w:r>
        <w:rPr>
          <w:rFonts w:ascii="仿宋_GB2312" w:hAnsi="仿宋" w:hint="eastAsia"/>
          <w:snapToGrid w:val="0"/>
          <w:color w:val="000000" w:themeColor="text1"/>
          <w:spacing w:val="-4"/>
          <w:kern w:val="0"/>
          <w:sz w:val="28"/>
          <w:szCs w:val="28"/>
        </w:rPr>
        <w:t>事业单位离退休。</w:t>
      </w:r>
      <w:r>
        <w:rPr>
          <w:rFonts w:ascii="仿宋_GB2312" w:hAnsi="仿宋" w:hint="eastAsia"/>
          <w:color w:val="000000" w:themeColor="text1"/>
          <w:sz w:val="28"/>
          <w:szCs w:val="28"/>
        </w:rPr>
        <w:t>年初预算为199.89万元，支出决算为220.23万元，完成年初预算的110.2%。</w:t>
      </w:r>
      <w:r>
        <w:rPr>
          <w:rFonts w:ascii="仿宋_GB2312" w:hint="eastAsia"/>
          <w:sz w:val="28"/>
          <w:szCs w:val="28"/>
        </w:rPr>
        <w:t>决算数大于预算数的主要原因是</w:t>
      </w:r>
      <w:r>
        <w:rPr>
          <w:rFonts w:ascii="仿宋_GB2312" w:hAnsi="仿宋" w:hint="eastAsia"/>
          <w:color w:val="000000" w:themeColor="text1"/>
          <w:sz w:val="28"/>
          <w:szCs w:val="28"/>
        </w:rPr>
        <w:t>当年事业单位退休人员增加，政策性追加20.34万元。</w:t>
      </w:r>
    </w:p>
    <w:p w:rsidR="00F21CAC" w:rsidRDefault="00FA7A1D">
      <w:pPr>
        <w:autoSpaceDE w:val="0"/>
        <w:autoSpaceDN w:val="0"/>
        <w:adjustRightInd w:val="0"/>
        <w:snapToGrid w:val="0"/>
        <w:spacing w:line="570" w:lineRule="exact"/>
        <w:ind w:firstLine="544"/>
        <w:rPr>
          <w:rFonts w:ascii="仿宋_GB2312" w:hAnsi="仿宋"/>
          <w:snapToGrid w:val="0"/>
          <w:color w:val="000000" w:themeColor="text1"/>
          <w:spacing w:val="-4"/>
          <w:kern w:val="0"/>
          <w:sz w:val="28"/>
          <w:szCs w:val="28"/>
        </w:rPr>
      </w:pPr>
      <w:r>
        <w:rPr>
          <w:rFonts w:ascii="仿宋_GB2312" w:hAnsi="仿宋" w:hint="eastAsia"/>
          <w:snapToGrid w:val="0"/>
          <w:color w:val="000000" w:themeColor="text1"/>
          <w:spacing w:val="-4"/>
          <w:kern w:val="0"/>
          <w:sz w:val="28"/>
          <w:szCs w:val="28"/>
        </w:rPr>
        <w:t>（二）医疗卫生与计划生育支出</w:t>
      </w:r>
    </w:p>
    <w:p w:rsidR="00F21CAC" w:rsidRDefault="00FA7A1D">
      <w:pPr>
        <w:autoSpaceDE w:val="0"/>
        <w:autoSpaceDN w:val="0"/>
        <w:adjustRightInd w:val="0"/>
        <w:snapToGrid w:val="0"/>
        <w:spacing w:line="570" w:lineRule="exact"/>
        <w:ind w:firstLine="544"/>
        <w:rPr>
          <w:rFonts w:ascii="仿宋_GB2312" w:hAnsi="仿宋"/>
          <w:snapToGrid w:val="0"/>
          <w:color w:val="000000" w:themeColor="text1"/>
          <w:spacing w:val="-4"/>
          <w:kern w:val="0"/>
          <w:sz w:val="28"/>
          <w:szCs w:val="28"/>
        </w:rPr>
      </w:pPr>
      <w:r>
        <w:rPr>
          <w:rFonts w:ascii="仿宋_GB2312" w:hAnsi="仿宋" w:hint="eastAsia"/>
          <w:snapToGrid w:val="0"/>
          <w:color w:val="000000" w:themeColor="text1"/>
          <w:spacing w:val="-4"/>
          <w:kern w:val="0"/>
          <w:sz w:val="28"/>
          <w:szCs w:val="28"/>
        </w:rPr>
        <w:t>1.医疗保障-行政单位医疗。年初预算为70.01万元，支出决算为56.46万元，</w:t>
      </w:r>
      <w:r>
        <w:rPr>
          <w:rFonts w:ascii="仿宋_GB2312" w:hAnsi="仿宋" w:hint="eastAsia"/>
          <w:color w:val="000000" w:themeColor="text1"/>
          <w:sz w:val="28"/>
          <w:szCs w:val="28"/>
        </w:rPr>
        <w:t>完成年初预算的80.6%。</w:t>
      </w:r>
      <w:r>
        <w:rPr>
          <w:rFonts w:ascii="仿宋_GB2312" w:hint="eastAsia"/>
          <w:sz w:val="28"/>
          <w:szCs w:val="28"/>
        </w:rPr>
        <w:t>决算数小于预算数的主要原因是</w:t>
      </w:r>
      <w:r>
        <w:rPr>
          <w:rFonts w:ascii="仿宋_GB2312" w:hAnsi="仿宋" w:hint="eastAsia"/>
          <w:snapToGrid w:val="0"/>
          <w:color w:val="000000" w:themeColor="text1"/>
          <w:spacing w:val="-4"/>
          <w:kern w:val="0"/>
          <w:sz w:val="28"/>
          <w:szCs w:val="28"/>
        </w:rPr>
        <w:t>当年政策性追减。</w:t>
      </w:r>
    </w:p>
    <w:p w:rsidR="00F21CAC" w:rsidRDefault="00FA7A1D">
      <w:pPr>
        <w:autoSpaceDE w:val="0"/>
        <w:autoSpaceDN w:val="0"/>
        <w:adjustRightInd w:val="0"/>
        <w:snapToGrid w:val="0"/>
        <w:spacing w:line="570" w:lineRule="exact"/>
        <w:ind w:firstLine="544"/>
        <w:rPr>
          <w:rFonts w:ascii="仿宋_GB2312" w:hAnsi="仿宋"/>
          <w:snapToGrid w:val="0"/>
          <w:color w:val="000000" w:themeColor="text1"/>
          <w:spacing w:val="-4"/>
          <w:kern w:val="0"/>
          <w:sz w:val="28"/>
          <w:szCs w:val="28"/>
        </w:rPr>
      </w:pPr>
      <w:r>
        <w:rPr>
          <w:rFonts w:ascii="仿宋_GB2312" w:hAnsi="仿宋" w:hint="eastAsia"/>
          <w:snapToGrid w:val="0"/>
          <w:color w:val="000000" w:themeColor="text1"/>
          <w:spacing w:val="-4"/>
          <w:kern w:val="0"/>
          <w:sz w:val="28"/>
          <w:szCs w:val="28"/>
        </w:rPr>
        <w:t>2.医疗保障-事业单位医疗。年初预算为110.76万元，支出决算为111.71万元，</w:t>
      </w:r>
      <w:r>
        <w:rPr>
          <w:rFonts w:ascii="仿宋_GB2312" w:hAnsi="仿宋" w:hint="eastAsia"/>
          <w:color w:val="000000" w:themeColor="text1"/>
          <w:sz w:val="28"/>
          <w:szCs w:val="28"/>
        </w:rPr>
        <w:t>完成年初预算的100%。</w:t>
      </w:r>
      <w:r>
        <w:rPr>
          <w:rFonts w:ascii="仿宋_GB2312" w:hAnsi="仿宋" w:hint="eastAsia"/>
          <w:snapToGrid w:val="0"/>
          <w:color w:val="000000" w:themeColor="text1"/>
          <w:spacing w:val="-4"/>
          <w:kern w:val="0"/>
          <w:sz w:val="28"/>
          <w:szCs w:val="28"/>
        </w:rPr>
        <w:t>年初预算基本持平。</w:t>
      </w:r>
    </w:p>
    <w:p w:rsidR="00F21CAC" w:rsidRDefault="00FA7A1D">
      <w:pPr>
        <w:autoSpaceDE w:val="0"/>
        <w:autoSpaceDN w:val="0"/>
        <w:adjustRightInd w:val="0"/>
        <w:snapToGrid w:val="0"/>
        <w:spacing w:line="570" w:lineRule="exact"/>
        <w:ind w:firstLine="544"/>
        <w:rPr>
          <w:rFonts w:ascii="仿宋_GB2312" w:hAnsi="仿宋"/>
          <w:snapToGrid w:val="0"/>
          <w:color w:val="000000" w:themeColor="text1"/>
          <w:spacing w:val="-4"/>
          <w:kern w:val="0"/>
          <w:sz w:val="28"/>
          <w:szCs w:val="28"/>
        </w:rPr>
      </w:pPr>
      <w:r>
        <w:rPr>
          <w:rFonts w:ascii="仿宋_GB2312" w:hAnsi="仿宋" w:hint="eastAsia"/>
          <w:snapToGrid w:val="0"/>
          <w:color w:val="000000" w:themeColor="text1"/>
          <w:spacing w:val="-4"/>
          <w:kern w:val="0"/>
          <w:sz w:val="28"/>
          <w:szCs w:val="28"/>
        </w:rPr>
        <w:t>（三）节能环保支出</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snapToGrid w:val="0"/>
          <w:color w:val="000000" w:themeColor="text1"/>
          <w:spacing w:val="-4"/>
          <w:kern w:val="0"/>
          <w:sz w:val="28"/>
          <w:szCs w:val="28"/>
        </w:rPr>
        <w:t>1.</w:t>
      </w:r>
      <w:r>
        <w:rPr>
          <w:rFonts w:ascii="仿宋_GB2312" w:hAnsi="仿宋" w:hint="eastAsia"/>
          <w:snapToGrid w:val="0"/>
          <w:color w:val="000000" w:themeColor="text1"/>
          <w:spacing w:val="-4"/>
          <w:kern w:val="0"/>
          <w:sz w:val="28"/>
          <w:szCs w:val="28"/>
        </w:rPr>
        <w:t>环境保护管理事务</w:t>
      </w:r>
      <w:r>
        <w:rPr>
          <w:rFonts w:ascii="仿宋_GB2312" w:hAnsi="仿宋"/>
          <w:snapToGrid w:val="0"/>
          <w:color w:val="000000" w:themeColor="text1"/>
          <w:spacing w:val="-4"/>
          <w:kern w:val="0"/>
          <w:sz w:val="28"/>
          <w:szCs w:val="28"/>
        </w:rPr>
        <w:t>-</w:t>
      </w:r>
      <w:r>
        <w:rPr>
          <w:rFonts w:ascii="仿宋_GB2312" w:hAnsi="仿宋" w:hint="eastAsia"/>
          <w:snapToGrid w:val="0"/>
          <w:color w:val="000000" w:themeColor="text1"/>
          <w:spacing w:val="-4"/>
          <w:kern w:val="0"/>
          <w:sz w:val="28"/>
          <w:szCs w:val="28"/>
        </w:rPr>
        <w:t>行政运行。</w:t>
      </w:r>
      <w:r>
        <w:rPr>
          <w:rFonts w:ascii="仿宋_GB2312" w:hAnsi="仿宋" w:hint="eastAsia"/>
          <w:color w:val="000000" w:themeColor="text1"/>
          <w:sz w:val="28"/>
          <w:szCs w:val="28"/>
        </w:rPr>
        <w:t>年初预算为1255.39</w:t>
      </w:r>
      <w:r>
        <w:rPr>
          <w:rFonts w:ascii="仿宋_GB2312" w:hAnsi="仿宋" w:hint="eastAsia"/>
          <w:color w:val="000000"/>
          <w:sz w:val="28"/>
          <w:szCs w:val="28"/>
        </w:rPr>
        <w:t>万元，支出决算为1835.16万元，</w:t>
      </w:r>
      <w:r>
        <w:rPr>
          <w:rFonts w:ascii="仿宋_GB2312" w:hAnsi="仿宋" w:hint="eastAsia"/>
          <w:color w:val="000000" w:themeColor="text1"/>
          <w:sz w:val="28"/>
          <w:szCs w:val="28"/>
        </w:rPr>
        <w:t>完成年初预算的146.2%。</w:t>
      </w:r>
      <w:r>
        <w:rPr>
          <w:rFonts w:ascii="仿宋_GB2312" w:hint="eastAsia"/>
          <w:sz w:val="28"/>
          <w:szCs w:val="28"/>
        </w:rPr>
        <w:t>决算数大于预算数的主要原因是</w:t>
      </w:r>
      <w:r>
        <w:rPr>
          <w:rFonts w:ascii="仿宋_GB2312" w:hAnsi="仿宋" w:hint="eastAsia"/>
          <w:color w:val="000000"/>
          <w:sz w:val="28"/>
          <w:szCs w:val="28"/>
        </w:rPr>
        <w:t>当年增人增资，政策性追加579.77万元。</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snapToGrid w:val="0"/>
          <w:color w:val="000000"/>
          <w:spacing w:val="-4"/>
          <w:kern w:val="0"/>
          <w:sz w:val="28"/>
          <w:szCs w:val="28"/>
        </w:rPr>
        <w:lastRenderedPageBreak/>
        <w:t>2.</w:t>
      </w:r>
      <w:r>
        <w:rPr>
          <w:rFonts w:ascii="仿宋_GB2312" w:hAnsi="仿宋" w:hint="eastAsia"/>
          <w:snapToGrid w:val="0"/>
          <w:color w:val="000000"/>
          <w:spacing w:val="-4"/>
          <w:kern w:val="0"/>
          <w:sz w:val="28"/>
          <w:szCs w:val="28"/>
        </w:rPr>
        <w:t>环境保护管理事务</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一般行政管理事务。</w:t>
      </w:r>
      <w:r>
        <w:rPr>
          <w:rFonts w:ascii="仿宋_GB2312" w:hAnsi="仿宋" w:hint="eastAsia"/>
          <w:color w:val="000000"/>
          <w:sz w:val="28"/>
          <w:szCs w:val="28"/>
        </w:rPr>
        <w:t>年初预算为70.7万元，支出决算为70.7万元，</w:t>
      </w:r>
      <w:r>
        <w:rPr>
          <w:rFonts w:ascii="仿宋_GB2312" w:hAnsi="仿宋" w:hint="eastAsia"/>
          <w:color w:val="000000" w:themeColor="text1"/>
          <w:sz w:val="28"/>
          <w:szCs w:val="28"/>
        </w:rPr>
        <w:t>完成年初预算的100%。</w:t>
      </w:r>
      <w:r>
        <w:rPr>
          <w:rFonts w:ascii="仿宋_GB2312" w:hAnsi="仿宋" w:hint="eastAsia"/>
          <w:color w:val="000000"/>
          <w:sz w:val="28"/>
          <w:szCs w:val="28"/>
        </w:rPr>
        <w:t>与年初预算持平。</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snapToGrid w:val="0"/>
          <w:color w:val="000000"/>
          <w:spacing w:val="-4"/>
          <w:kern w:val="0"/>
          <w:sz w:val="28"/>
          <w:szCs w:val="28"/>
        </w:rPr>
        <w:t>3.</w:t>
      </w:r>
      <w:r>
        <w:rPr>
          <w:rFonts w:ascii="仿宋_GB2312" w:hAnsi="仿宋" w:hint="eastAsia"/>
          <w:snapToGrid w:val="0"/>
          <w:color w:val="000000"/>
          <w:spacing w:val="-4"/>
          <w:kern w:val="0"/>
          <w:sz w:val="28"/>
          <w:szCs w:val="28"/>
        </w:rPr>
        <w:t>环境保护管理事务</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环境保护法规、规划及标准。</w:t>
      </w:r>
      <w:r>
        <w:rPr>
          <w:rFonts w:ascii="仿宋_GB2312" w:hAnsi="仿宋" w:hint="eastAsia"/>
          <w:color w:val="000000"/>
          <w:sz w:val="28"/>
          <w:szCs w:val="28"/>
        </w:rPr>
        <w:t>年初预算为40万元，支出决算为40万元，</w:t>
      </w:r>
      <w:r>
        <w:rPr>
          <w:rFonts w:ascii="仿宋_GB2312" w:hAnsi="仿宋" w:hint="eastAsia"/>
          <w:color w:val="000000" w:themeColor="text1"/>
          <w:sz w:val="28"/>
          <w:szCs w:val="28"/>
        </w:rPr>
        <w:t>完成年初预算的100%。</w:t>
      </w:r>
      <w:r>
        <w:rPr>
          <w:rFonts w:ascii="仿宋_GB2312" w:hAnsi="仿宋" w:hint="eastAsia"/>
          <w:color w:val="000000"/>
          <w:sz w:val="28"/>
          <w:szCs w:val="28"/>
        </w:rPr>
        <w:t>与预算持平。</w:t>
      </w:r>
    </w:p>
    <w:p w:rsidR="00F21CAC" w:rsidRDefault="00FA7A1D">
      <w:pPr>
        <w:autoSpaceDE w:val="0"/>
        <w:autoSpaceDN w:val="0"/>
        <w:adjustRightInd w:val="0"/>
        <w:snapToGrid w:val="0"/>
        <w:spacing w:line="570" w:lineRule="exact"/>
        <w:ind w:firstLine="560"/>
        <w:rPr>
          <w:rFonts w:ascii="仿宋_GB2312" w:hAnsi="仿宋"/>
          <w:color w:val="000000"/>
          <w:sz w:val="28"/>
          <w:szCs w:val="28"/>
        </w:rPr>
      </w:pPr>
      <w:r>
        <w:rPr>
          <w:rFonts w:ascii="仿宋_GB2312" w:hAnsi="仿宋" w:hint="eastAsia"/>
          <w:color w:val="000000"/>
          <w:sz w:val="28"/>
          <w:szCs w:val="28"/>
        </w:rPr>
        <w:t>4.其他环境保护管理事务支出。年初预算为188.17万元，支出决算为186.42万元，</w:t>
      </w:r>
      <w:r>
        <w:rPr>
          <w:rFonts w:ascii="仿宋_GB2312" w:hAnsi="仿宋" w:hint="eastAsia"/>
          <w:color w:val="000000" w:themeColor="text1"/>
          <w:sz w:val="28"/>
          <w:szCs w:val="28"/>
        </w:rPr>
        <w:t>完成年初预算的99.1%。</w:t>
      </w:r>
      <w:r>
        <w:rPr>
          <w:rFonts w:ascii="仿宋_GB2312" w:hint="eastAsia"/>
          <w:sz w:val="28"/>
          <w:szCs w:val="28"/>
        </w:rPr>
        <w:t>与年初预算基本持平。</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hint="eastAsia"/>
          <w:snapToGrid w:val="0"/>
          <w:color w:val="000000"/>
          <w:spacing w:val="-4"/>
          <w:kern w:val="0"/>
          <w:sz w:val="28"/>
          <w:szCs w:val="28"/>
        </w:rPr>
        <w:t>5</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环境监测与监察</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核与辐射安全监督。</w:t>
      </w:r>
      <w:r>
        <w:rPr>
          <w:rFonts w:ascii="仿宋_GB2312" w:hAnsi="仿宋" w:hint="eastAsia"/>
          <w:color w:val="000000"/>
          <w:sz w:val="28"/>
          <w:szCs w:val="28"/>
        </w:rPr>
        <w:t>年初预算为147.09万元，支出决算为221.85万元，</w:t>
      </w:r>
      <w:r>
        <w:rPr>
          <w:rFonts w:ascii="仿宋_GB2312" w:hAnsi="仿宋" w:hint="eastAsia"/>
          <w:color w:val="000000" w:themeColor="text1"/>
          <w:sz w:val="28"/>
          <w:szCs w:val="28"/>
        </w:rPr>
        <w:t>完成年初预算的150.8%。</w:t>
      </w:r>
      <w:r>
        <w:rPr>
          <w:rFonts w:ascii="仿宋_GB2312" w:hint="eastAsia"/>
          <w:sz w:val="28"/>
          <w:szCs w:val="28"/>
        </w:rPr>
        <w:t>决算数大于预算数的主要原因是市固体废物监督管理中心人员经费政策性追加74.76万元</w:t>
      </w:r>
      <w:r>
        <w:rPr>
          <w:rFonts w:ascii="仿宋_GB2312" w:hAnsi="仿宋" w:hint="eastAsia"/>
          <w:color w:val="000000"/>
          <w:sz w:val="28"/>
          <w:szCs w:val="28"/>
        </w:rPr>
        <w:t>。</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hint="eastAsia"/>
          <w:snapToGrid w:val="0"/>
          <w:color w:val="000000"/>
          <w:spacing w:val="-4"/>
          <w:kern w:val="0"/>
          <w:sz w:val="28"/>
          <w:szCs w:val="28"/>
        </w:rPr>
        <w:t>6</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环境监测与监察</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其他环境监测与监察支出。</w:t>
      </w:r>
      <w:r>
        <w:rPr>
          <w:rFonts w:ascii="仿宋_GB2312" w:hAnsi="仿宋" w:hint="eastAsia"/>
          <w:color w:val="000000"/>
          <w:sz w:val="28"/>
          <w:szCs w:val="28"/>
        </w:rPr>
        <w:t>年初预算为46万元，支出决算为46万元，</w:t>
      </w:r>
      <w:r>
        <w:rPr>
          <w:rFonts w:ascii="仿宋_GB2312" w:hAnsi="仿宋" w:hint="eastAsia"/>
          <w:color w:val="000000" w:themeColor="text1"/>
          <w:sz w:val="28"/>
          <w:szCs w:val="28"/>
        </w:rPr>
        <w:t>完成年初预算的100%。</w:t>
      </w:r>
      <w:r>
        <w:rPr>
          <w:rFonts w:ascii="仿宋_GB2312" w:hAnsi="仿宋" w:hint="eastAsia"/>
          <w:color w:val="000000"/>
          <w:sz w:val="28"/>
          <w:szCs w:val="28"/>
        </w:rPr>
        <w:t>与预算持平。</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snapToGrid w:val="0"/>
          <w:color w:val="000000"/>
          <w:spacing w:val="-4"/>
          <w:kern w:val="0"/>
          <w:sz w:val="28"/>
          <w:szCs w:val="28"/>
        </w:rPr>
        <w:t>7.</w:t>
      </w:r>
      <w:r>
        <w:rPr>
          <w:rFonts w:ascii="仿宋_GB2312" w:hAnsi="仿宋" w:hint="eastAsia"/>
          <w:snapToGrid w:val="0"/>
          <w:color w:val="000000"/>
          <w:spacing w:val="-4"/>
          <w:kern w:val="0"/>
          <w:sz w:val="28"/>
          <w:szCs w:val="28"/>
        </w:rPr>
        <w:t>污染防治</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其他污染防治支出。</w:t>
      </w:r>
      <w:r>
        <w:rPr>
          <w:rFonts w:ascii="仿宋_GB2312" w:hAnsi="仿宋" w:hint="eastAsia"/>
          <w:color w:val="000000"/>
          <w:sz w:val="28"/>
          <w:szCs w:val="28"/>
        </w:rPr>
        <w:t>年初预算为0，支出决算为477.99万元，当年追加477.99万元</w:t>
      </w:r>
      <w:r>
        <w:rPr>
          <w:rFonts w:ascii="仿宋_GB2312" w:hAnsi="仿宋" w:hint="eastAsia"/>
          <w:color w:val="000000" w:themeColor="text1"/>
          <w:sz w:val="28"/>
          <w:szCs w:val="28"/>
        </w:rPr>
        <w:t>。</w:t>
      </w:r>
      <w:r>
        <w:rPr>
          <w:rFonts w:ascii="仿宋_GB2312" w:hint="eastAsia"/>
          <w:sz w:val="28"/>
          <w:szCs w:val="28"/>
        </w:rPr>
        <w:t>决算数大于预算数的主要原因是当年拨入省专项经费</w:t>
      </w:r>
      <w:r>
        <w:rPr>
          <w:rFonts w:ascii="仿宋_GB2312" w:hAnsi="仿宋" w:hint="eastAsia"/>
          <w:color w:val="000000"/>
          <w:sz w:val="28"/>
          <w:szCs w:val="28"/>
        </w:rPr>
        <w:t>。</w:t>
      </w:r>
    </w:p>
    <w:p w:rsidR="00F21CAC" w:rsidRDefault="00FA7A1D">
      <w:pPr>
        <w:autoSpaceDE w:val="0"/>
        <w:autoSpaceDN w:val="0"/>
        <w:adjustRightInd w:val="0"/>
        <w:snapToGrid w:val="0"/>
        <w:spacing w:line="570" w:lineRule="exact"/>
        <w:ind w:firstLine="560"/>
        <w:rPr>
          <w:rFonts w:ascii="仿宋_GB2312" w:hAnsi="仿宋"/>
          <w:color w:val="000000"/>
          <w:sz w:val="28"/>
          <w:szCs w:val="28"/>
        </w:rPr>
      </w:pPr>
      <w:r>
        <w:rPr>
          <w:rFonts w:ascii="仿宋_GB2312" w:hAnsi="仿宋"/>
          <w:color w:val="000000"/>
          <w:sz w:val="28"/>
          <w:szCs w:val="28"/>
        </w:rPr>
        <w:t>8.</w:t>
      </w:r>
      <w:r>
        <w:rPr>
          <w:rFonts w:ascii="仿宋_GB2312" w:hAnsi="仿宋" w:hint="eastAsia"/>
          <w:snapToGrid w:val="0"/>
          <w:color w:val="000000"/>
          <w:spacing w:val="-4"/>
          <w:kern w:val="0"/>
          <w:sz w:val="28"/>
          <w:szCs w:val="28"/>
        </w:rPr>
        <w:t>自然生态保护</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生态保护。</w:t>
      </w:r>
      <w:r>
        <w:rPr>
          <w:rFonts w:ascii="仿宋_GB2312" w:hAnsi="仿宋" w:hint="eastAsia"/>
          <w:color w:val="000000"/>
          <w:sz w:val="28"/>
          <w:szCs w:val="28"/>
        </w:rPr>
        <w:t>年初预算为</w:t>
      </w:r>
      <w:r>
        <w:rPr>
          <w:rFonts w:ascii="仿宋_GB2312" w:hAnsi="仿宋"/>
          <w:color w:val="000000"/>
          <w:sz w:val="28"/>
          <w:szCs w:val="28"/>
        </w:rPr>
        <w:t>0</w:t>
      </w:r>
      <w:r>
        <w:rPr>
          <w:rFonts w:ascii="仿宋_GB2312" w:hAnsi="仿宋" w:hint="eastAsia"/>
          <w:color w:val="000000"/>
          <w:sz w:val="28"/>
          <w:szCs w:val="28"/>
        </w:rPr>
        <w:t>，支出决算为2820.5万元，当年追加2820.5万元。</w:t>
      </w:r>
      <w:r>
        <w:rPr>
          <w:rFonts w:ascii="仿宋_GB2312" w:hint="eastAsia"/>
          <w:sz w:val="28"/>
          <w:szCs w:val="28"/>
        </w:rPr>
        <w:t>决算数大于预算数的主要原因是</w:t>
      </w:r>
      <w:r>
        <w:rPr>
          <w:rFonts w:ascii="仿宋_GB2312" w:hAnsi="仿宋" w:hint="eastAsia"/>
          <w:color w:val="000000" w:themeColor="text1"/>
          <w:sz w:val="28"/>
          <w:szCs w:val="28"/>
        </w:rPr>
        <w:t>由于年度环保专项资金年度不列入年初预算，都是年中作为追加列入年末统计，造成差异。</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hint="eastAsia"/>
          <w:snapToGrid w:val="0"/>
          <w:color w:val="000000"/>
          <w:spacing w:val="-4"/>
          <w:kern w:val="0"/>
          <w:sz w:val="28"/>
          <w:szCs w:val="28"/>
        </w:rPr>
        <w:t>9</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污染减排</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环境监测与信息。</w:t>
      </w:r>
      <w:r>
        <w:rPr>
          <w:rFonts w:ascii="仿宋_GB2312" w:hAnsi="仿宋" w:hint="eastAsia"/>
          <w:color w:val="000000"/>
          <w:sz w:val="28"/>
          <w:szCs w:val="28"/>
        </w:rPr>
        <w:t>年初预算为1220.09万元，支出决算为1605.82万元，</w:t>
      </w:r>
      <w:r>
        <w:rPr>
          <w:rFonts w:ascii="仿宋_GB2312" w:hAnsi="仿宋" w:hint="eastAsia"/>
          <w:color w:val="000000" w:themeColor="text1"/>
          <w:sz w:val="28"/>
          <w:szCs w:val="28"/>
        </w:rPr>
        <w:t>完成年初预算的131.6%。</w:t>
      </w:r>
      <w:r>
        <w:rPr>
          <w:rFonts w:ascii="仿宋_GB2312" w:hint="eastAsia"/>
          <w:sz w:val="28"/>
          <w:szCs w:val="28"/>
        </w:rPr>
        <w:t>决算数大于预算数的主要原因是</w:t>
      </w:r>
      <w:r>
        <w:rPr>
          <w:rFonts w:ascii="仿宋_GB2312" w:hint="eastAsia"/>
          <w:color w:val="000000" w:themeColor="text1"/>
          <w:sz w:val="28"/>
          <w:szCs w:val="28"/>
        </w:rPr>
        <w:t>当年市环境监测中心政策性追加历年结余385.73万元</w:t>
      </w:r>
      <w:r>
        <w:rPr>
          <w:rFonts w:ascii="仿宋_GB2312" w:hAnsi="仿宋" w:hint="eastAsia"/>
          <w:color w:val="000000"/>
          <w:sz w:val="28"/>
          <w:szCs w:val="28"/>
        </w:rPr>
        <w:t>。</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hint="eastAsia"/>
          <w:snapToGrid w:val="0"/>
          <w:color w:val="000000"/>
          <w:spacing w:val="-4"/>
          <w:kern w:val="0"/>
          <w:sz w:val="28"/>
          <w:szCs w:val="28"/>
        </w:rPr>
        <w:t>10</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污染减排</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环境执法监察。</w:t>
      </w:r>
      <w:r>
        <w:rPr>
          <w:rFonts w:ascii="仿宋_GB2312" w:hAnsi="仿宋" w:hint="eastAsia"/>
          <w:color w:val="000000"/>
          <w:sz w:val="28"/>
          <w:szCs w:val="28"/>
        </w:rPr>
        <w:t>年初预算为4.3万元，支出决算为111.02万元，</w:t>
      </w:r>
      <w:r>
        <w:rPr>
          <w:rFonts w:ascii="仿宋_GB2312" w:hAnsi="仿宋" w:hint="eastAsia"/>
          <w:color w:val="000000" w:themeColor="text1"/>
          <w:sz w:val="28"/>
          <w:szCs w:val="28"/>
        </w:rPr>
        <w:t>完成年初预算的2581.9%。</w:t>
      </w:r>
      <w:r>
        <w:rPr>
          <w:rFonts w:ascii="仿宋_GB2312" w:hint="eastAsia"/>
          <w:sz w:val="28"/>
          <w:szCs w:val="28"/>
        </w:rPr>
        <w:t>决算数大于预算数的主要原因是市机动</w:t>
      </w:r>
      <w:r>
        <w:rPr>
          <w:rFonts w:ascii="仿宋_GB2312" w:hint="eastAsia"/>
          <w:sz w:val="28"/>
          <w:szCs w:val="28"/>
        </w:rPr>
        <w:lastRenderedPageBreak/>
        <w:t>车排气污染监督管理中心基本支出政策性追加</w:t>
      </w:r>
      <w:r>
        <w:rPr>
          <w:rFonts w:ascii="仿宋_GB2312" w:hAnsi="仿宋" w:hint="eastAsia"/>
          <w:color w:val="000000"/>
          <w:sz w:val="28"/>
          <w:szCs w:val="28"/>
        </w:rPr>
        <w:t>。</w:t>
      </w:r>
    </w:p>
    <w:p w:rsidR="00F21CAC" w:rsidRDefault="00FA7A1D">
      <w:pPr>
        <w:autoSpaceDE w:val="0"/>
        <w:autoSpaceDN w:val="0"/>
        <w:adjustRightInd w:val="0"/>
        <w:snapToGrid w:val="0"/>
        <w:spacing w:line="570" w:lineRule="exact"/>
        <w:ind w:firstLine="560"/>
        <w:rPr>
          <w:rFonts w:ascii="仿宋_GB2312" w:hAnsi="仿宋"/>
          <w:color w:val="000000"/>
          <w:sz w:val="28"/>
          <w:szCs w:val="28"/>
        </w:rPr>
      </w:pPr>
      <w:r>
        <w:rPr>
          <w:rFonts w:ascii="仿宋_GB2312" w:hAnsi="仿宋" w:hint="eastAsia"/>
          <w:color w:val="000000"/>
          <w:sz w:val="28"/>
          <w:szCs w:val="28"/>
        </w:rPr>
        <w:t>11.</w:t>
      </w:r>
      <w:r>
        <w:rPr>
          <w:rFonts w:ascii="仿宋_GB2312" w:hAnsi="仿宋" w:hint="eastAsia"/>
          <w:snapToGrid w:val="0"/>
          <w:color w:val="000000"/>
          <w:spacing w:val="-4"/>
          <w:kern w:val="0"/>
          <w:sz w:val="28"/>
          <w:szCs w:val="28"/>
        </w:rPr>
        <w:t>污染减排</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其他污染减排支出。</w:t>
      </w:r>
      <w:r>
        <w:rPr>
          <w:rFonts w:ascii="仿宋_GB2312" w:hAnsi="仿宋" w:hint="eastAsia"/>
          <w:color w:val="000000"/>
          <w:sz w:val="28"/>
          <w:szCs w:val="28"/>
        </w:rPr>
        <w:t>年初预算为41.45万元，支出决算为38.05万元，</w:t>
      </w:r>
      <w:r>
        <w:rPr>
          <w:rFonts w:ascii="仿宋_GB2312" w:hAnsi="仿宋" w:hint="eastAsia"/>
          <w:color w:val="000000" w:themeColor="text1"/>
          <w:sz w:val="28"/>
          <w:szCs w:val="28"/>
        </w:rPr>
        <w:t>完成年初预算的91.8%。</w:t>
      </w:r>
      <w:r>
        <w:rPr>
          <w:rFonts w:ascii="仿宋_GB2312" w:hint="eastAsia"/>
          <w:sz w:val="28"/>
          <w:szCs w:val="28"/>
        </w:rPr>
        <w:t>决算数小于预算数的主要原因是市机动车排气污染监督管理中心部分项目未完成资金结转</w:t>
      </w:r>
      <w:r>
        <w:rPr>
          <w:rFonts w:ascii="仿宋_GB2312" w:hAnsi="仿宋" w:hint="eastAsia"/>
          <w:color w:val="000000"/>
          <w:sz w:val="28"/>
          <w:szCs w:val="28"/>
        </w:rPr>
        <w:t>。</w:t>
      </w:r>
    </w:p>
    <w:p w:rsidR="00F21CAC" w:rsidRDefault="00FA7A1D">
      <w:pPr>
        <w:autoSpaceDE w:val="0"/>
        <w:autoSpaceDN w:val="0"/>
        <w:adjustRightInd w:val="0"/>
        <w:snapToGrid w:val="0"/>
        <w:spacing w:line="570" w:lineRule="exact"/>
        <w:ind w:firstLine="560"/>
        <w:rPr>
          <w:rFonts w:ascii="仿宋_GB2312" w:hAnsi="仿宋"/>
          <w:color w:val="000000"/>
          <w:sz w:val="28"/>
          <w:szCs w:val="28"/>
        </w:rPr>
      </w:pPr>
      <w:r>
        <w:rPr>
          <w:rFonts w:ascii="仿宋_GB2312" w:hAnsi="仿宋" w:hint="eastAsia"/>
          <w:color w:val="000000"/>
          <w:sz w:val="28"/>
          <w:szCs w:val="28"/>
        </w:rPr>
        <w:t>（六）城乡社区支出</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hint="eastAsia"/>
          <w:snapToGrid w:val="0"/>
          <w:color w:val="000000"/>
          <w:spacing w:val="-4"/>
          <w:kern w:val="0"/>
          <w:sz w:val="28"/>
          <w:szCs w:val="28"/>
        </w:rPr>
        <w:t>1</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其他城乡社区支出</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其他城乡社区支出。</w:t>
      </w:r>
      <w:r>
        <w:rPr>
          <w:rFonts w:ascii="仿宋_GB2312" w:hAnsi="仿宋" w:hint="eastAsia"/>
          <w:color w:val="000000"/>
          <w:sz w:val="28"/>
          <w:szCs w:val="28"/>
        </w:rPr>
        <w:t>年初预算为0，支出决算为2.18万元，当年追加2.18万元</w:t>
      </w:r>
      <w:r>
        <w:rPr>
          <w:rFonts w:ascii="仿宋_GB2312" w:hAnsi="仿宋" w:hint="eastAsia"/>
          <w:color w:val="000000" w:themeColor="text1"/>
          <w:sz w:val="28"/>
          <w:szCs w:val="28"/>
        </w:rPr>
        <w:t>。</w:t>
      </w:r>
      <w:r>
        <w:rPr>
          <w:rFonts w:ascii="仿宋_GB2312" w:hint="eastAsia"/>
          <w:sz w:val="28"/>
          <w:szCs w:val="28"/>
        </w:rPr>
        <w:t>决算数大于预算数的主要原因是下达当年长效管理先进奖励。</w:t>
      </w:r>
    </w:p>
    <w:p w:rsidR="00F21CAC" w:rsidRDefault="00FA7A1D">
      <w:pPr>
        <w:autoSpaceDE w:val="0"/>
        <w:autoSpaceDN w:val="0"/>
        <w:adjustRightInd w:val="0"/>
        <w:snapToGrid w:val="0"/>
        <w:spacing w:line="570" w:lineRule="exact"/>
        <w:ind w:firstLine="560"/>
        <w:rPr>
          <w:rFonts w:ascii="仿宋_GB2312" w:hAnsi="仿宋"/>
          <w:color w:val="000000"/>
          <w:sz w:val="28"/>
          <w:szCs w:val="28"/>
        </w:rPr>
      </w:pPr>
      <w:r>
        <w:rPr>
          <w:rFonts w:ascii="仿宋_GB2312" w:hAnsi="仿宋" w:hint="eastAsia"/>
          <w:color w:val="000000"/>
          <w:sz w:val="28"/>
          <w:szCs w:val="28"/>
        </w:rPr>
        <w:t>（七）住房保障</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snapToGrid w:val="0"/>
          <w:color w:val="000000"/>
          <w:spacing w:val="-4"/>
          <w:kern w:val="0"/>
          <w:sz w:val="28"/>
          <w:szCs w:val="28"/>
        </w:rPr>
        <w:t>1.</w:t>
      </w:r>
      <w:r>
        <w:rPr>
          <w:rFonts w:ascii="仿宋_GB2312" w:hAnsi="仿宋" w:hint="eastAsia"/>
          <w:snapToGrid w:val="0"/>
          <w:color w:val="000000"/>
          <w:spacing w:val="-4"/>
          <w:kern w:val="0"/>
          <w:sz w:val="28"/>
          <w:szCs w:val="28"/>
        </w:rPr>
        <w:t>住房改革支出</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住房公积金。</w:t>
      </w:r>
      <w:r>
        <w:rPr>
          <w:rFonts w:ascii="仿宋_GB2312" w:hAnsi="仿宋" w:hint="eastAsia"/>
          <w:color w:val="000000"/>
          <w:sz w:val="28"/>
          <w:szCs w:val="28"/>
        </w:rPr>
        <w:t>年初预算为247.03万元，支出决算为282.35万元，</w:t>
      </w:r>
      <w:r>
        <w:rPr>
          <w:rFonts w:ascii="仿宋_GB2312" w:hAnsi="仿宋" w:hint="eastAsia"/>
          <w:color w:val="000000" w:themeColor="text1"/>
          <w:sz w:val="28"/>
          <w:szCs w:val="28"/>
        </w:rPr>
        <w:t>完成年初预算的114.3%。</w:t>
      </w:r>
      <w:r>
        <w:rPr>
          <w:rFonts w:ascii="仿宋_GB2312" w:hint="eastAsia"/>
          <w:sz w:val="28"/>
          <w:szCs w:val="28"/>
        </w:rPr>
        <w:t>决算数大于预算数的主要原因是</w:t>
      </w:r>
      <w:r>
        <w:rPr>
          <w:rFonts w:ascii="仿宋_GB2312" w:hAnsi="仿宋" w:hint="eastAsia"/>
          <w:color w:val="000000"/>
          <w:sz w:val="28"/>
          <w:szCs w:val="28"/>
        </w:rPr>
        <w:t>当年增人增资，政策性追加住房公积金35.32万元。</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snapToGrid w:val="0"/>
          <w:color w:val="000000"/>
          <w:spacing w:val="-4"/>
          <w:kern w:val="0"/>
          <w:sz w:val="28"/>
          <w:szCs w:val="28"/>
        </w:rPr>
        <w:t>2.</w:t>
      </w:r>
      <w:r>
        <w:rPr>
          <w:rFonts w:ascii="仿宋_GB2312" w:hAnsi="仿宋" w:hint="eastAsia"/>
          <w:snapToGrid w:val="0"/>
          <w:color w:val="000000"/>
          <w:spacing w:val="-4"/>
          <w:kern w:val="0"/>
          <w:sz w:val="28"/>
          <w:szCs w:val="28"/>
        </w:rPr>
        <w:t>住房改革支出</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提租补贴。</w:t>
      </w:r>
      <w:r>
        <w:rPr>
          <w:rFonts w:ascii="仿宋_GB2312" w:hAnsi="仿宋" w:hint="eastAsia"/>
          <w:color w:val="000000"/>
          <w:sz w:val="28"/>
          <w:szCs w:val="28"/>
        </w:rPr>
        <w:t>年初预算为154.8万元，支出决算为186.32万元，</w:t>
      </w:r>
      <w:r>
        <w:rPr>
          <w:rFonts w:ascii="仿宋_GB2312" w:hAnsi="仿宋" w:hint="eastAsia"/>
          <w:color w:val="000000" w:themeColor="text1"/>
          <w:sz w:val="28"/>
          <w:szCs w:val="28"/>
        </w:rPr>
        <w:t>完成年初预算的120.4%。</w:t>
      </w:r>
      <w:r>
        <w:rPr>
          <w:rFonts w:ascii="仿宋_GB2312" w:hint="eastAsia"/>
          <w:sz w:val="28"/>
          <w:szCs w:val="28"/>
        </w:rPr>
        <w:t>决算数大于预算数的主要原因是</w:t>
      </w:r>
      <w:r>
        <w:rPr>
          <w:rFonts w:ascii="仿宋_GB2312" w:hAnsi="仿宋" w:hint="eastAsia"/>
          <w:color w:val="000000"/>
          <w:sz w:val="28"/>
          <w:szCs w:val="28"/>
        </w:rPr>
        <w:t>当年增人增资，政策性追加提租补贴31.52万元。</w:t>
      </w:r>
    </w:p>
    <w:p w:rsidR="00F21CAC" w:rsidRDefault="00FA7A1D">
      <w:pPr>
        <w:autoSpaceDE w:val="0"/>
        <w:autoSpaceDN w:val="0"/>
        <w:adjustRightInd w:val="0"/>
        <w:snapToGrid w:val="0"/>
        <w:spacing w:line="570" w:lineRule="exact"/>
        <w:ind w:firstLine="544"/>
        <w:rPr>
          <w:rFonts w:ascii="仿宋_GB2312" w:hAnsi="仿宋"/>
          <w:color w:val="000000"/>
          <w:sz w:val="28"/>
          <w:szCs w:val="28"/>
        </w:rPr>
      </w:pPr>
      <w:r>
        <w:rPr>
          <w:rFonts w:ascii="仿宋_GB2312" w:hAnsi="仿宋"/>
          <w:snapToGrid w:val="0"/>
          <w:color w:val="000000"/>
          <w:spacing w:val="-4"/>
          <w:kern w:val="0"/>
          <w:sz w:val="28"/>
          <w:szCs w:val="28"/>
        </w:rPr>
        <w:t>3.</w:t>
      </w:r>
      <w:r>
        <w:rPr>
          <w:rFonts w:ascii="仿宋_GB2312" w:hAnsi="仿宋" w:hint="eastAsia"/>
          <w:snapToGrid w:val="0"/>
          <w:color w:val="000000"/>
          <w:spacing w:val="-4"/>
          <w:kern w:val="0"/>
          <w:sz w:val="28"/>
          <w:szCs w:val="28"/>
        </w:rPr>
        <w:t>住房改革支出</w:t>
      </w:r>
      <w:r>
        <w:rPr>
          <w:rFonts w:ascii="仿宋_GB2312" w:hAnsi="仿宋"/>
          <w:snapToGrid w:val="0"/>
          <w:color w:val="000000"/>
          <w:spacing w:val="-4"/>
          <w:kern w:val="0"/>
          <w:sz w:val="28"/>
          <w:szCs w:val="28"/>
        </w:rPr>
        <w:t>-</w:t>
      </w:r>
      <w:r>
        <w:rPr>
          <w:rFonts w:ascii="仿宋_GB2312" w:hAnsi="仿宋" w:hint="eastAsia"/>
          <w:snapToGrid w:val="0"/>
          <w:color w:val="000000"/>
          <w:spacing w:val="-4"/>
          <w:kern w:val="0"/>
          <w:sz w:val="28"/>
          <w:szCs w:val="28"/>
        </w:rPr>
        <w:t>购房补贴。</w:t>
      </w:r>
      <w:r>
        <w:rPr>
          <w:rFonts w:ascii="仿宋_GB2312" w:hAnsi="仿宋" w:hint="eastAsia"/>
          <w:color w:val="000000"/>
          <w:sz w:val="28"/>
          <w:szCs w:val="28"/>
        </w:rPr>
        <w:t>年初预算为168.49万元，支出决算为193.68万元，</w:t>
      </w:r>
      <w:r>
        <w:rPr>
          <w:rFonts w:ascii="仿宋_GB2312" w:hAnsi="仿宋" w:hint="eastAsia"/>
          <w:color w:val="000000" w:themeColor="text1"/>
          <w:sz w:val="28"/>
          <w:szCs w:val="28"/>
        </w:rPr>
        <w:t>完成年初预算的115%。</w:t>
      </w:r>
      <w:r>
        <w:rPr>
          <w:rFonts w:ascii="仿宋_GB2312" w:hint="eastAsia"/>
          <w:sz w:val="28"/>
          <w:szCs w:val="28"/>
        </w:rPr>
        <w:t>决算数大于预算数的主要原因是</w:t>
      </w:r>
      <w:r>
        <w:rPr>
          <w:rFonts w:ascii="仿宋_GB2312" w:hAnsi="仿宋" w:hint="eastAsia"/>
          <w:color w:val="000000"/>
          <w:sz w:val="28"/>
          <w:szCs w:val="28"/>
        </w:rPr>
        <w:t>当年增人增资，政策性追加购房补贴25.19万元。</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六、财政拨款基本支出决算情况说明</w:t>
      </w:r>
    </w:p>
    <w:p w:rsidR="00F21CAC" w:rsidRDefault="00FA7A1D">
      <w:pPr>
        <w:spacing w:line="480" w:lineRule="exact"/>
        <w:ind w:firstLine="560"/>
        <w:rPr>
          <w:rFonts w:ascii="仿宋_GB2312"/>
          <w:sz w:val="28"/>
          <w:szCs w:val="28"/>
        </w:rPr>
      </w:pPr>
      <w:r>
        <w:rPr>
          <w:rFonts w:ascii="仿宋_GB2312" w:hint="eastAsia"/>
          <w:sz w:val="28"/>
          <w:szCs w:val="28"/>
        </w:rPr>
        <w:t>常州市环境保护局2017年度财政拨款基本支出5113.53万元，其中：</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（一）人员经费4630.02万元。主要包括：</w:t>
      </w:r>
      <w:r>
        <w:rPr>
          <w:rFonts w:ascii="仿宋_GB2312" w:hAnsi="仿宋" w:hint="eastAsia"/>
          <w:snapToGrid w:val="0"/>
          <w:color w:val="000000"/>
          <w:spacing w:val="-4"/>
          <w:kern w:val="0"/>
          <w:sz w:val="28"/>
          <w:szCs w:val="28"/>
        </w:rPr>
        <w:t>基本工资、津贴补贴、奖金、社会保障缴费、绩效工资、其他工资福利支出、离休费、退休费、退职</w:t>
      </w:r>
      <w:r>
        <w:rPr>
          <w:rFonts w:ascii="仿宋_GB2312" w:hAnsi="仿宋" w:hint="eastAsia"/>
          <w:snapToGrid w:val="0"/>
          <w:color w:val="000000"/>
          <w:spacing w:val="-4"/>
          <w:kern w:val="0"/>
          <w:sz w:val="28"/>
          <w:szCs w:val="28"/>
        </w:rPr>
        <w:lastRenderedPageBreak/>
        <w:t>（役）费、奖励金、住房公积金、提租补贴、购房补贴、其他对个人和家庭的补助支出。</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（二）公用经费483.51万元。主要包括：</w:t>
      </w:r>
      <w:r>
        <w:rPr>
          <w:rFonts w:ascii="仿宋_GB2312" w:hAnsi="仿宋" w:hint="eastAsia"/>
          <w:snapToGrid w:val="0"/>
          <w:color w:val="000000"/>
          <w:spacing w:val="-4"/>
          <w:kern w:val="0"/>
          <w:sz w:val="28"/>
          <w:szCs w:val="28"/>
        </w:rPr>
        <w:t>办公费、印刷费、水费、电费、邮电费、差旅费、维修（护）费、会议费、培训费、公务接待费、工会经费、福利费、公务用车运行维护费、其他交通费用。</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七、一般公共预算财政拨款支出决算情况说明</w:t>
      </w:r>
    </w:p>
    <w:p w:rsidR="00F21CAC" w:rsidRDefault="00FA7A1D">
      <w:pPr>
        <w:spacing w:line="480" w:lineRule="exact"/>
        <w:ind w:firstLine="560"/>
        <w:rPr>
          <w:rFonts w:ascii="仿宋_GB2312"/>
          <w:sz w:val="28"/>
          <w:szCs w:val="28"/>
        </w:rPr>
      </w:pPr>
      <w:r>
        <w:rPr>
          <w:rFonts w:ascii="仿宋_GB2312" w:hint="eastAsia"/>
          <w:sz w:val="28"/>
          <w:szCs w:val="28"/>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常州市环境保护局2017年一般公共预算财政拨款支出8770.98万元，与上年相比增加1840.76万元，增长26.56%。主要原因是</w:t>
      </w:r>
      <w:r>
        <w:rPr>
          <w:rFonts w:ascii="仿宋_GB2312" w:hAnsi="仿宋" w:hint="eastAsia"/>
          <w:snapToGrid w:val="0"/>
          <w:color w:val="000000"/>
          <w:spacing w:val="-4"/>
          <w:kern w:val="0"/>
          <w:sz w:val="28"/>
          <w:szCs w:val="28"/>
        </w:rPr>
        <w:t>新增财政预算拨款单位市环境保护研究院</w:t>
      </w:r>
      <w:r>
        <w:rPr>
          <w:rFonts w:ascii="仿宋_GB2312" w:hint="eastAsia"/>
          <w:sz w:val="28"/>
          <w:szCs w:val="28"/>
        </w:rPr>
        <w:t>。</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常州市环境保护局2017年度一般公共预算财政拨款支出年初预算为4230.95万元，支出决算为8607.38</w:t>
      </w:r>
      <w:r>
        <w:rPr>
          <w:rFonts w:ascii="仿宋_GB2312" w:hint="eastAsia"/>
          <w:color w:val="000000" w:themeColor="text1"/>
          <w:sz w:val="28"/>
          <w:szCs w:val="28"/>
        </w:rPr>
        <w:t>万元，</w:t>
      </w:r>
      <w:r>
        <w:rPr>
          <w:rFonts w:ascii="仿宋_GB2312" w:hint="eastAsia"/>
          <w:sz w:val="28"/>
          <w:szCs w:val="28"/>
        </w:rPr>
        <w:t>完成年初预算的203.4%。决算数大于年初预算的主要原因：</w:t>
      </w:r>
      <w:r>
        <w:rPr>
          <w:rFonts w:ascii="仿宋_GB2312" w:hAnsi="仿宋"/>
          <w:snapToGrid w:val="0"/>
          <w:color w:val="000000"/>
          <w:spacing w:val="-4"/>
          <w:kern w:val="0"/>
          <w:sz w:val="28"/>
          <w:szCs w:val="28"/>
        </w:rPr>
        <w:t>1</w:t>
      </w:r>
      <w:r>
        <w:rPr>
          <w:rFonts w:ascii="仿宋_GB2312" w:hAnsi="仿宋" w:hint="eastAsia"/>
          <w:snapToGrid w:val="0"/>
          <w:color w:val="000000"/>
          <w:spacing w:val="-4"/>
          <w:kern w:val="0"/>
          <w:sz w:val="28"/>
          <w:szCs w:val="28"/>
        </w:rPr>
        <w:t>、正常性经费的政策性追加，</w:t>
      </w:r>
      <w:r>
        <w:rPr>
          <w:rFonts w:ascii="仿宋_GB2312" w:hAnsi="仿宋"/>
          <w:snapToGrid w:val="0"/>
          <w:color w:val="000000"/>
          <w:spacing w:val="-4"/>
          <w:kern w:val="0"/>
          <w:sz w:val="28"/>
          <w:szCs w:val="28"/>
        </w:rPr>
        <w:t>2</w:t>
      </w:r>
      <w:r>
        <w:rPr>
          <w:rFonts w:ascii="仿宋_GB2312" w:hAnsi="仿宋" w:hint="eastAsia"/>
          <w:snapToGrid w:val="0"/>
          <w:color w:val="000000"/>
          <w:spacing w:val="-4"/>
          <w:kern w:val="0"/>
          <w:sz w:val="28"/>
          <w:szCs w:val="28"/>
        </w:rPr>
        <w:t>、环保专项资金未纳入年初部门预算，为年度追加。</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八、一般公共预算财政拨款基本支出决算情况说明</w:t>
      </w:r>
    </w:p>
    <w:p w:rsidR="00F21CAC" w:rsidRDefault="00FA7A1D">
      <w:pPr>
        <w:spacing w:line="480" w:lineRule="exact"/>
        <w:ind w:firstLine="560"/>
        <w:rPr>
          <w:rFonts w:ascii="仿宋_GB2312"/>
          <w:sz w:val="28"/>
          <w:szCs w:val="28"/>
        </w:rPr>
      </w:pPr>
      <w:r>
        <w:rPr>
          <w:rFonts w:ascii="仿宋_GB2312" w:hint="eastAsia"/>
          <w:sz w:val="28"/>
          <w:szCs w:val="28"/>
        </w:rPr>
        <w:t>常州市环境保护局2017年度一般公共预算财政拨款基本支出5113.53万元，其中：</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（一）人员经费4630.02万元。</w:t>
      </w:r>
      <w:r>
        <w:rPr>
          <w:rFonts w:ascii="仿宋_GB2312" w:hAnsi="仿宋" w:hint="eastAsia"/>
          <w:snapToGrid w:val="0"/>
          <w:color w:val="000000"/>
          <w:spacing w:val="-4"/>
          <w:kern w:val="0"/>
          <w:sz w:val="28"/>
          <w:szCs w:val="28"/>
        </w:rPr>
        <w:t>主要包括：基本工资、津贴补贴、奖金、社会保障缴费、绩效工资、其他工资福利支出、离休费、退休费、退职（役）费、奖励金、住房公积金、提租补贴、购房补贴、其他对个人和家庭的补助支出。</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lastRenderedPageBreak/>
        <w:t>（二）公用经费483.51万元。</w:t>
      </w:r>
      <w:r>
        <w:rPr>
          <w:rFonts w:ascii="仿宋_GB2312" w:hAnsi="仿宋" w:hint="eastAsia"/>
          <w:snapToGrid w:val="0"/>
          <w:color w:val="000000"/>
          <w:spacing w:val="-4"/>
          <w:kern w:val="0"/>
          <w:sz w:val="28"/>
          <w:szCs w:val="28"/>
        </w:rPr>
        <w:t>主要包括：办公费、印刷费、水费、电费、邮电费、差旅费、维修（护）费、会议费、培训费、公务接待费、工会经费、福利费、公务用车运行维护费、其他交通费用。</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九、一般公共预算财政拨款“三公”经费、会议费、培训费支出情况说明</w:t>
      </w:r>
    </w:p>
    <w:p w:rsidR="00F21CAC" w:rsidRDefault="00FA7A1D">
      <w:pPr>
        <w:spacing w:line="480" w:lineRule="exact"/>
        <w:ind w:firstLine="560"/>
        <w:rPr>
          <w:rFonts w:ascii="仿宋_GB2312"/>
          <w:sz w:val="28"/>
          <w:szCs w:val="28"/>
        </w:rPr>
      </w:pPr>
      <w:r>
        <w:rPr>
          <w:rFonts w:hint="eastAsia"/>
          <w:sz w:val="28"/>
          <w:szCs w:val="28"/>
        </w:rPr>
        <w:t>常州市环境保护局及其直属财政预算单位</w:t>
      </w:r>
      <w:r>
        <w:rPr>
          <w:rFonts w:ascii="仿宋_GB2312" w:hint="eastAsia"/>
          <w:sz w:val="28"/>
          <w:szCs w:val="28"/>
        </w:rPr>
        <w:t>2017 年度一般公共预算拨款安排的“三公”经费决算支出中，因公出国（境）费支出6.74万元，占“三公”经费的32.3%；公务用车购置及运行费支出2.08万元，占“三公”经费的10%；公务接待费支出12.03万元，占“三公”经费的57.7%。“三公经费”支出总计20.86万元，与上年相比下降33.26万元，完成预算的73.5%。具体情况如下：</w:t>
      </w:r>
    </w:p>
    <w:p w:rsidR="00F21CAC" w:rsidRDefault="00FA7A1D">
      <w:pPr>
        <w:numPr>
          <w:ilvl w:val="0"/>
          <w:numId w:val="3"/>
        </w:numPr>
        <w:spacing w:line="480" w:lineRule="exact"/>
        <w:ind w:firstLine="560"/>
        <w:rPr>
          <w:rFonts w:ascii="仿宋_GB2312"/>
          <w:sz w:val="28"/>
          <w:szCs w:val="28"/>
        </w:rPr>
      </w:pPr>
      <w:r>
        <w:rPr>
          <w:rFonts w:ascii="仿宋_GB2312" w:hint="eastAsia"/>
          <w:sz w:val="28"/>
          <w:szCs w:val="28"/>
        </w:rPr>
        <w:t>因公出国（境）费决算支出6.74万元，完成预算的96.3%，比上年决算增加6.74万元，决算数与预算数基本持平。全年使用一般公共预算拨款支出安排的出国（境）团组2个，累计3人次。开支内容主要为：国际机票、境外住宿费、公杂费等。</w:t>
      </w:r>
    </w:p>
    <w:p w:rsidR="00F21CAC" w:rsidRDefault="00FA7A1D">
      <w:pPr>
        <w:spacing w:line="480" w:lineRule="exact"/>
        <w:ind w:firstLine="560"/>
        <w:rPr>
          <w:rFonts w:ascii="仿宋_GB2312"/>
          <w:sz w:val="28"/>
          <w:szCs w:val="28"/>
        </w:rPr>
      </w:pPr>
      <w:r>
        <w:rPr>
          <w:rFonts w:ascii="仿宋_GB2312" w:hint="eastAsia"/>
          <w:sz w:val="28"/>
          <w:szCs w:val="28"/>
        </w:rPr>
        <w:t>2．公务用车购置及运行费支出2.08万元。其中：</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（1）</w:t>
      </w:r>
      <w:r>
        <w:rPr>
          <w:rFonts w:ascii="仿宋_GB2312" w:hAnsi="仿宋" w:hint="eastAsia"/>
          <w:snapToGrid w:val="0"/>
          <w:color w:val="000000"/>
          <w:spacing w:val="-4"/>
          <w:kern w:val="0"/>
          <w:sz w:val="28"/>
          <w:szCs w:val="28"/>
        </w:rPr>
        <w:t>公务用车购置决算支出</w:t>
      </w:r>
      <w:r>
        <w:rPr>
          <w:rFonts w:ascii="仿宋_GB2312" w:hAnsi="仿宋"/>
          <w:snapToGrid w:val="0"/>
          <w:color w:val="000000"/>
          <w:spacing w:val="-4"/>
          <w:kern w:val="0"/>
          <w:sz w:val="28"/>
          <w:szCs w:val="28"/>
        </w:rPr>
        <w:t>0</w:t>
      </w:r>
      <w:r>
        <w:rPr>
          <w:rFonts w:ascii="仿宋_GB2312" w:hAnsi="仿宋" w:hint="eastAsia"/>
          <w:snapToGrid w:val="0"/>
          <w:color w:val="000000"/>
          <w:spacing w:val="-4"/>
          <w:kern w:val="0"/>
          <w:sz w:val="28"/>
          <w:szCs w:val="28"/>
        </w:rPr>
        <w:t>万元，完成预算的100%，与上年决算持平，主要原因为</w:t>
      </w:r>
      <w:r>
        <w:rPr>
          <w:rFonts w:ascii="仿宋_GB2312" w:hAnsi="仿宋" w:hint="eastAsia"/>
          <w:color w:val="000000"/>
          <w:sz w:val="28"/>
          <w:szCs w:val="28"/>
        </w:rPr>
        <w:t>上年度与本年度均无公务用车购置支出</w:t>
      </w:r>
      <w:bookmarkStart w:id="0" w:name="_GoBack"/>
      <w:bookmarkEnd w:id="0"/>
      <w:r>
        <w:rPr>
          <w:rFonts w:ascii="仿宋_GB2312" w:hAnsi="仿宋" w:hint="eastAsia"/>
          <w:snapToGrid w:val="0"/>
          <w:color w:val="000000"/>
          <w:spacing w:val="-4"/>
          <w:kern w:val="0"/>
          <w:sz w:val="28"/>
          <w:szCs w:val="28"/>
        </w:rPr>
        <w:t>。决算数与预算数持平的主要原因是本年度无公务用车购置预算及支出。本年度使用一般公共预算拨款购置公务用车0辆。</w:t>
      </w:r>
    </w:p>
    <w:p w:rsidR="00F21CAC" w:rsidRDefault="00FA7A1D">
      <w:pPr>
        <w:spacing w:line="480" w:lineRule="exact"/>
        <w:ind w:firstLine="560"/>
        <w:rPr>
          <w:rFonts w:ascii="仿宋_GB2312"/>
          <w:sz w:val="28"/>
          <w:szCs w:val="28"/>
        </w:rPr>
      </w:pPr>
      <w:r>
        <w:rPr>
          <w:rFonts w:ascii="仿宋_GB2312" w:hint="eastAsia"/>
          <w:sz w:val="28"/>
          <w:szCs w:val="28"/>
        </w:rPr>
        <w:t>（2）公务用车运行维护费决算支出2.08万元，完成预算的16.8%，比上年决算减少14.76万元，主要原因为</w:t>
      </w:r>
      <w:r>
        <w:rPr>
          <w:rFonts w:ascii="仿宋_GB2312" w:hAnsi="仿宋" w:hint="eastAsia"/>
          <w:snapToGrid w:val="0"/>
          <w:color w:val="000000"/>
          <w:spacing w:val="-4"/>
          <w:kern w:val="0"/>
          <w:sz w:val="28"/>
          <w:szCs w:val="28"/>
        </w:rPr>
        <w:t>我单位</w:t>
      </w:r>
      <w:r w:rsidR="006D4B04">
        <w:rPr>
          <w:rFonts w:ascii="仿宋_GB2312" w:hAnsi="仿宋" w:hint="eastAsia"/>
          <w:color w:val="000000"/>
          <w:sz w:val="28"/>
          <w:szCs w:val="28"/>
        </w:rPr>
        <w:t>严格执行中央</w:t>
      </w:r>
      <w:r>
        <w:rPr>
          <w:rFonts w:ascii="仿宋_GB2312" w:hAnsi="仿宋" w:hint="eastAsia"/>
          <w:color w:val="000000"/>
          <w:sz w:val="28"/>
          <w:szCs w:val="28"/>
        </w:rPr>
        <w:t>八项规定，倡导绿色出行。</w:t>
      </w:r>
      <w:r>
        <w:rPr>
          <w:rFonts w:ascii="仿宋_GB2312" w:hint="eastAsia"/>
          <w:sz w:val="28"/>
          <w:szCs w:val="28"/>
        </w:rPr>
        <w:t>决算数小于预算数的主要原因是</w:t>
      </w:r>
      <w:r>
        <w:rPr>
          <w:rFonts w:ascii="仿宋_GB2312" w:hAnsi="仿宋" w:hint="eastAsia"/>
          <w:color w:val="000000"/>
          <w:sz w:val="28"/>
          <w:szCs w:val="28"/>
        </w:rPr>
        <w:t>规范公务用车范围，降低行政成本</w:t>
      </w:r>
      <w:r>
        <w:rPr>
          <w:rFonts w:ascii="仿宋_GB2312" w:hint="eastAsia"/>
          <w:sz w:val="28"/>
          <w:szCs w:val="28"/>
        </w:rPr>
        <w:t>。公务用车运行维护费主要用于</w:t>
      </w:r>
      <w:r>
        <w:rPr>
          <w:rFonts w:ascii="仿宋_GB2312" w:hAnsi="仿宋" w:hint="eastAsia"/>
          <w:color w:val="000000"/>
          <w:sz w:val="28"/>
          <w:szCs w:val="28"/>
        </w:rPr>
        <w:t>车辆的油</w:t>
      </w:r>
      <w:r>
        <w:rPr>
          <w:rFonts w:ascii="仿宋_GB2312" w:hAnsi="仿宋" w:hint="eastAsia"/>
          <w:color w:val="000000" w:themeColor="text1"/>
          <w:sz w:val="28"/>
          <w:szCs w:val="28"/>
        </w:rPr>
        <w:t>费、保险费、年检费、日常维修保养等。</w:t>
      </w:r>
      <w:r>
        <w:rPr>
          <w:rFonts w:ascii="仿宋_GB2312" w:hint="eastAsia"/>
          <w:sz w:val="28"/>
          <w:szCs w:val="28"/>
        </w:rPr>
        <w:t>2017年使用一般公共预算拨款开支运行维护费的公务</w:t>
      </w:r>
      <w:r>
        <w:rPr>
          <w:rFonts w:ascii="仿宋_GB2312" w:hint="eastAsia"/>
          <w:sz w:val="28"/>
          <w:szCs w:val="28"/>
        </w:rPr>
        <w:lastRenderedPageBreak/>
        <w:t>用车保有量4辆。</w:t>
      </w:r>
    </w:p>
    <w:p w:rsidR="00F21CAC" w:rsidRDefault="00FA7A1D">
      <w:pPr>
        <w:spacing w:line="480" w:lineRule="exact"/>
        <w:ind w:firstLine="560"/>
        <w:rPr>
          <w:rFonts w:ascii="仿宋_GB2312"/>
          <w:color w:val="FF0000"/>
          <w:sz w:val="28"/>
          <w:szCs w:val="28"/>
        </w:rPr>
      </w:pPr>
      <w:r>
        <w:rPr>
          <w:rFonts w:ascii="仿宋_GB2312" w:hint="eastAsia"/>
          <w:sz w:val="28"/>
          <w:szCs w:val="28"/>
        </w:rPr>
        <w:t>3．公务接待费12.03万元。其中：</w:t>
      </w:r>
    </w:p>
    <w:p w:rsidR="00F21CAC" w:rsidRDefault="00FA7A1D">
      <w:pPr>
        <w:spacing w:line="480" w:lineRule="exact"/>
        <w:ind w:firstLine="560"/>
        <w:rPr>
          <w:rFonts w:ascii="仿宋_GB2312"/>
          <w:sz w:val="28"/>
          <w:szCs w:val="28"/>
        </w:rPr>
      </w:pPr>
      <w:r>
        <w:rPr>
          <w:rFonts w:ascii="仿宋_GB2312" w:hint="eastAsia"/>
          <w:sz w:val="28"/>
          <w:szCs w:val="28"/>
        </w:rPr>
        <w:t>（1）外事接待支出0万元，当年无外事接待预算。</w:t>
      </w:r>
    </w:p>
    <w:p w:rsidR="00F21CAC" w:rsidRDefault="00FA7A1D">
      <w:pPr>
        <w:spacing w:line="480" w:lineRule="exact"/>
        <w:ind w:firstLine="560"/>
        <w:rPr>
          <w:rFonts w:ascii="仿宋_GB2312"/>
          <w:sz w:val="28"/>
          <w:szCs w:val="28"/>
        </w:rPr>
      </w:pPr>
      <w:r>
        <w:rPr>
          <w:rFonts w:ascii="仿宋_GB2312" w:hint="eastAsia"/>
          <w:sz w:val="28"/>
          <w:szCs w:val="28"/>
        </w:rPr>
        <w:t>（2）国内公务接待支出12.03万元，超预算6.99万元，比上年决算减少25.25万元，主要原因为</w:t>
      </w:r>
      <w:r w:rsidR="006D4B04">
        <w:rPr>
          <w:rFonts w:ascii="仿宋_GB2312" w:hAnsi="仿宋" w:hint="eastAsia"/>
          <w:color w:val="000000"/>
          <w:sz w:val="28"/>
          <w:szCs w:val="28"/>
        </w:rPr>
        <w:t>严格执行中央</w:t>
      </w:r>
      <w:r>
        <w:rPr>
          <w:rFonts w:ascii="仿宋_GB2312" w:hAnsi="仿宋" w:hint="eastAsia"/>
          <w:color w:val="000000"/>
          <w:sz w:val="28"/>
          <w:szCs w:val="28"/>
        </w:rPr>
        <w:t>八项规定，厉行节约，反对浪费，规范公务接待范围和标准，降低接待成本。</w:t>
      </w:r>
      <w:r>
        <w:rPr>
          <w:rFonts w:ascii="仿宋_GB2312" w:hint="eastAsia"/>
          <w:sz w:val="28"/>
          <w:szCs w:val="28"/>
        </w:rPr>
        <w:t>决算数大于预算数的主要原因为环保垂改工作推进，公务接待任务较重，年初预算不足以支撑正常工作需要。国内公务接待主要为接待</w:t>
      </w:r>
      <w:r>
        <w:rPr>
          <w:rFonts w:ascii="仿宋_GB2312" w:hAnsi="仿宋" w:hint="eastAsia"/>
          <w:color w:val="000000" w:themeColor="text1"/>
          <w:sz w:val="28"/>
          <w:szCs w:val="28"/>
        </w:rPr>
        <w:t>中央、省，及环保系统各级领导、兄弟城市等来常调研、考察、环境监测、执法监察、固废辐射监管等。</w:t>
      </w:r>
      <w:r>
        <w:rPr>
          <w:rFonts w:ascii="仿宋_GB2312" w:hint="eastAsia"/>
          <w:sz w:val="28"/>
          <w:szCs w:val="28"/>
        </w:rPr>
        <w:t>2017 年使用一般公共预算拨款开支的国内公务接待120批次，2224人次。主要为接待</w:t>
      </w:r>
      <w:r>
        <w:rPr>
          <w:rFonts w:ascii="仿宋_GB2312" w:hAnsi="仿宋" w:hint="eastAsia"/>
          <w:color w:val="000000" w:themeColor="text1"/>
          <w:sz w:val="28"/>
          <w:szCs w:val="28"/>
        </w:rPr>
        <w:t>中央、省，及环保系统各级领导、兄弟城市等来常调研、考察、环境监测、执法监察、固废辐射监管等。</w:t>
      </w:r>
    </w:p>
    <w:p w:rsidR="00F21CAC" w:rsidRDefault="00FA7A1D">
      <w:pPr>
        <w:spacing w:line="480" w:lineRule="exact"/>
        <w:ind w:firstLine="560"/>
        <w:rPr>
          <w:rFonts w:ascii="仿宋_GB2312"/>
          <w:sz w:val="28"/>
          <w:szCs w:val="28"/>
        </w:rPr>
      </w:pPr>
      <w:r>
        <w:rPr>
          <w:rFonts w:ascii="仿宋_GB2312" w:hint="eastAsia"/>
          <w:sz w:val="28"/>
          <w:szCs w:val="28"/>
        </w:rPr>
        <w:t>4.</w:t>
      </w:r>
      <w:r>
        <w:rPr>
          <w:rFonts w:hint="eastAsia"/>
          <w:sz w:val="28"/>
          <w:szCs w:val="28"/>
        </w:rPr>
        <w:t>常州市环境保护局及其直属财政预算单位</w:t>
      </w:r>
      <w:r>
        <w:rPr>
          <w:rFonts w:ascii="仿宋_GB2312" w:hint="eastAsia"/>
          <w:sz w:val="28"/>
          <w:szCs w:val="28"/>
        </w:rPr>
        <w:t>2017 年度一般公共预算拨款安排的会议费决算支出35.16万元，超出预算支出4.4万元，比上年决算增加17.96万元，主要原因环保垂改工作推进，条线会议增加；决算数大于预算数的主要原因为垂改工作推进后，条线会议需求明显增加。2017 年度全年召开会议52个，参加会议879人次。主要为召开</w:t>
      </w:r>
      <w:r>
        <w:rPr>
          <w:rFonts w:ascii="仿宋_GB2312" w:hAnsi="仿宋" w:hint="eastAsia"/>
          <w:color w:val="000000" w:themeColor="text1"/>
          <w:sz w:val="28"/>
          <w:szCs w:val="28"/>
        </w:rPr>
        <w:t>全市环保工作条线会议，参加部、省业务条线会议及全市环保业务条线会议发生的费用</w:t>
      </w:r>
      <w:r>
        <w:rPr>
          <w:rFonts w:ascii="仿宋_GB2312" w:hint="eastAsia"/>
          <w:sz w:val="28"/>
          <w:szCs w:val="28"/>
        </w:rPr>
        <w:t>。</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 w:val="28"/>
          <w:szCs w:val="28"/>
        </w:rPr>
      </w:pPr>
      <w:r>
        <w:rPr>
          <w:rFonts w:ascii="仿宋_GB2312" w:hint="eastAsia"/>
          <w:sz w:val="28"/>
          <w:szCs w:val="28"/>
        </w:rPr>
        <w:t>5.</w:t>
      </w:r>
      <w:r>
        <w:rPr>
          <w:rFonts w:hint="eastAsia"/>
          <w:sz w:val="28"/>
          <w:szCs w:val="28"/>
        </w:rPr>
        <w:t>常州市环境保护局及其直属财政预算单位</w:t>
      </w:r>
      <w:r>
        <w:rPr>
          <w:rFonts w:ascii="仿宋_GB2312" w:hint="eastAsia"/>
          <w:sz w:val="28"/>
          <w:szCs w:val="28"/>
        </w:rPr>
        <w:t>2017 年度一般公共预算拨款安排的培训费决算支出42.72万元，超出预算支出19.64万元，比上年决算增加14.86万元，主要原因为环保垂改工作推进，条线上相关业务培训、垂改培训增加；决算数大于预算数的主要原因业务培训增加。2017年度全年组织培训11个，组织培训680</w:t>
      </w:r>
      <w:r>
        <w:rPr>
          <w:rFonts w:ascii="仿宋_GB2312" w:hint="eastAsia"/>
          <w:color w:val="000000" w:themeColor="text1"/>
          <w:sz w:val="28"/>
          <w:szCs w:val="28"/>
        </w:rPr>
        <w:t>人次</w:t>
      </w:r>
      <w:r>
        <w:rPr>
          <w:rFonts w:ascii="仿宋_GB2312" w:hint="eastAsia"/>
          <w:sz w:val="28"/>
          <w:szCs w:val="28"/>
        </w:rPr>
        <w:t>。</w:t>
      </w:r>
      <w:r>
        <w:rPr>
          <w:rFonts w:ascii="仿宋_GB2312" w:hAnsi="仿宋" w:hint="eastAsia"/>
          <w:color w:val="000000" w:themeColor="text1"/>
          <w:sz w:val="28"/>
          <w:szCs w:val="28"/>
        </w:rPr>
        <w:t>主要为组织全市环保系统各项业务培训，参加部、省条线业务培训及监测</w:t>
      </w:r>
      <w:r>
        <w:rPr>
          <w:rFonts w:ascii="仿宋_GB2312" w:hAnsi="仿宋" w:hint="eastAsia"/>
          <w:color w:val="000000"/>
          <w:sz w:val="28"/>
          <w:szCs w:val="28"/>
        </w:rPr>
        <w:t>监察人员的专业业务培训费</w:t>
      </w:r>
      <w:r>
        <w:rPr>
          <w:rFonts w:ascii="仿宋_GB2312" w:hAnsi="仿宋" w:hint="eastAsia"/>
          <w:color w:val="000000"/>
          <w:sz w:val="28"/>
          <w:szCs w:val="28"/>
        </w:rPr>
        <w:lastRenderedPageBreak/>
        <w:t>用。</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十、政府性基金预算财政拨款收入支出决算情况说明</w:t>
      </w:r>
    </w:p>
    <w:p w:rsidR="00F21CAC" w:rsidRDefault="00FA7A1D">
      <w:pPr>
        <w:autoSpaceDE w:val="0"/>
        <w:autoSpaceDN w:val="0"/>
        <w:adjustRightInd w:val="0"/>
        <w:snapToGrid w:val="0"/>
        <w:spacing w:line="570" w:lineRule="exact"/>
        <w:ind w:firstLine="560"/>
        <w:rPr>
          <w:rFonts w:ascii="仿宋_GB2312" w:hAnsi="仿宋"/>
          <w:snapToGrid w:val="0"/>
          <w:color w:val="000000"/>
          <w:spacing w:val="-4"/>
          <w:kern w:val="0"/>
          <w:szCs w:val="32"/>
        </w:rPr>
      </w:pPr>
      <w:r>
        <w:rPr>
          <w:rFonts w:ascii="仿宋_GB2312" w:hint="eastAsia"/>
          <w:sz w:val="28"/>
          <w:szCs w:val="28"/>
        </w:rPr>
        <w:t>常州市环境保护局2017年政府性基金预算财政拨款年初结转和结余万元，本年收入决算0万元，本年支出决算0万元，年末结转和结余0万元。</w:t>
      </w:r>
      <w:r>
        <w:rPr>
          <w:rFonts w:ascii="仿宋_GB2312" w:hAnsi="仿宋" w:hint="eastAsia"/>
          <w:snapToGrid w:val="0"/>
          <w:color w:val="000000"/>
          <w:spacing w:val="-4"/>
          <w:kern w:val="0"/>
          <w:szCs w:val="32"/>
        </w:rPr>
        <w:t>主要原因为本部门没有政府性基金预算，也没有政府性基金支出，故本表无数据。</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十一、机关运行经费支出决算情况说明</w:t>
      </w:r>
    </w:p>
    <w:p w:rsidR="00F21CAC" w:rsidRDefault="00FA7A1D">
      <w:pPr>
        <w:spacing w:line="480" w:lineRule="exact"/>
        <w:ind w:firstLine="560"/>
        <w:rPr>
          <w:rFonts w:ascii="仿宋_GB2312"/>
          <w:sz w:val="28"/>
          <w:szCs w:val="28"/>
        </w:rPr>
      </w:pPr>
      <w:r>
        <w:rPr>
          <w:rFonts w:ascii="仿宋_GB2312" w:hint="eastAsia"/>
          <w:sz w:val="28"/>
          <w:szCs w:val="28"/>
        </w:rPr>
        <w:t>2017年本部门机关运行经费支出300.14万元，比2016年增加30.31万元，增长11.2%。主要原因是差旅费及其他交通费用支出增加。</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十二、政府采购支出决算情况说明</w:t>
      </w:r>
    </w:p>
    <w:p w:rsidR="00F21CAC" w:rsidRDefault="00FA7A1D">
      <w:pPr>
        <w:spacing w:line="480" w:lineRule="exact"/>
        <w:ind w:firstLine="560"/>
        <w:rPr>
          <w:rFonts w:ascii="仿宋_GB2312"/>
          <w:sz w:val="28"/>
          <w:szCs w:val="28"/>
        </w:rPr>
      </w:pPr>
      <w:r>
        <w:rPr>
          <w:rFonts w:ascii="仿宋_GB2312" w:hint="eastAsia"/>
          <w:sz w:val="28"/>
          <w:szCs w:val="28"/>
        </w:rPr>
        <w:t>2017年度政府采购支出总额1609.3万元，其中：政府采购货物支出29.21万元、政府采购工程支出128万元、政府采购服务支出1452.09万元。授予中小企业合同金额23.8万元，占政府采购支出总额的1.5%，其中：授予小微企业合同金额0万元，占政府采购支出总额的0%。</w:t>
      </w:r>
    </w:p>
    <w:p w:rsidR="00F21CAC" w:rsidRDefault="00FA7A1D">
      <w:pPr>
        <w:spacing w:line="480" w:lineRule="exact"/>
        <w:ind w:firstLine="560"/>
        <w:rPr>
          <w:rFonts w:ascii="黑体" w:eastAsia="黑体" w:hAnsi="黑体"/>
          <w:sz w:val="28"/>
          <w:szCs w:val="28"/>
        </w:rPr>
      </w:pPr>
      <w:r>
        <w:rPr>
          <w:rFonts w:ascii="黑体" w:eastAsia="黑体" w:hAnsi="黑体" w:hint="eastAsia"/>
          <w:sz w:val="28"/>
          <w:szCs w:val="28"/>
        </w:rPr>
        <w:t>十三、其他重要事项说明</w:t>
      </w:r>
    </w:p>
    <w:p w:rsidR="00F21CAC" w:rsidRDefault="00FA7A1D">
      <w:pPr>
        <w:spacing w:line="480" w:lineRule="exact"/>
        <w:ind w:firstLine="560"/>
        <w:rPr>
          <w:rFonts w:ascii="仿宋_GB2312"/>
          <w:sz w:val="28"/>
          <w:szCs w:val="28"/>
        </w:rPr>
      </w:pPr>
      <w:r>
        <w:rPr>
          <w:rFonts w:ascii="仿宋_GB2312" w:hint="eastAsia"/>
          <w:sz w:val="28"/>
          <w:szCs w:val="28"/>
        </w:rPr>
        <w:t>（一）国有资产占用情况</w:t>
      </w:r>
    </w:p>
    <w:p w:rsidR="00F21CAC" w:rsidRDefault="00FA7A1D">
      <w:pPr>
        <w:spacing w:line="480" w:lineRule="exact"/>
        <w:ind w:firstLine="540"/>
        <w:rPr>
          <w:rFonts w:ascii="仿宋_GB2312"/>
          <w:spacing w:val="-5"/>
          <w:sz w:val="28"/>
          <w:szCs w:val="28"/>
        </w:rPr>
      </w:pPr>
      <w:r>
        <w:rPr>
          <w:rFonts w:ascii="仿宋_GB2312" w:hint="eastAsia"/>
          <w:spacing w:val="-5"/>
          <w:sz w:val="28"/>
          <w:szCs w:val="28"/>
        </w:rPr>
        <w:t>截至2017年12月31日，本部门共有车辆19辆，其中，省部级领导干部用车0辆、一般公务用车4辆、一般执法执勤用车1辆、特种专业技术用车14辆；单价50万元（含）以上的通用设备22台（套）；单价100万元（含）以上的专用设备9台（套）。</w:t>
      </w:r>
    </w:p>
    <w:p w:rsidR="00F21CAC" w:rsidRDefault="00FA7A1D">
      <w:pPr>
        <w:spacing w:line="480" w:lineRule="exact"/>
        <w:ind w:firstLine="560"/>
        <w:rPr>
          <w:rFonts w:ascii="仿宋_GB2312"/>
          <w:sz w:val="28"/>
          <w:szCs w:val="28"/>
        </w:rPr>
      </w:pPr>
      <w:r>
        <w:rPr>
          <w:rFonts w:ascii="仿宋_GB2312" w:hint="eastAsia"/>
          <w:sz w:val="28"/>
          <w:szCs w:val="28"/>
        </w:rPr>
        <w:t>（二）预算绩效评价工作开展情况</w:t>
      </w:r>
    </w:p>
    <w:p w:rsidR="00F21CAC" w:rsidRDefault="00FA7A1D">
      <w:pPr>
        <w:spacing w:line="480" w:lineRule="exact"/>
        <w:ind w:firstLine="560"/>
        <w:rPr>
          <w:rFonts w:ascii="仿宋_GB2312"/>
          <w:sz w:val="28"/>
          <w:szCs w:val="28"/>
        </w:rPr>
      </w:pPr>
      <w:r>
        <w:rPr>
          <w:rFonts w:ascii="仿宋_GB2312" w:hint="eastAsia"/>
          <w:sz w:val="28"/>
          <w:szCs w:val="28"/>
        </w:rPr>
        <w:t>本部门2017年度共71个项目开展了绩效评价工作，涉及财政性资金合计4958万元。</w:t>
      </w:r>
    </w:p>
    <w:p w:rsidR="00F21CAC" w:rsidRDefault="00FA7A1D">
      <w:pPr>
        <w:spacing w:line="480" w:lineRule="exact"/>
        <w:ind w:firstLine="560"/>
        <w:rPr>
          <w:rFonts w:ascii="仿宋_GB2312"/>
          <w:sz w:val="28"/>
          <w:szCs w:val="28"/>
        </w:rPr>
      </w:pPr>
      <w:r>
        <w:rPr>
          <w:rFonts w:ascii="仿宋_GB2312" w:hint="eastAsia"/>
          <w:sz w:val="28"/>
          <w:szCs w:val="28"/>
        </w:rPr>
        <w:t>（三）国有资本预算收支决算情况</w:t>
      </w:r>
    </w:p>
    <w:p w:rsidR="00F21CAC" w:rsidRDefault="00FA7A1D">
      <w:pPr>
        <w:spacing w:line="480" w:lineRule="exact"/>
        <w:ind w:firstLine="560"/>
        <w:rPr>
          <w:rFonts w:ascii="仿宋_GB2312"/>
          <w:sz w:val="28"/>
          <w:szCs w:val="28"/>
        </w:rPr>
      </w:pPr>
      <w:r>
        <w:rPr>
          <w:rFonts w:ascii="仿宋_GB2312" w:hint="eastAsia"/>
          <w:sz w:val="28"/>
          <w:szCs w:val="28"/>
        </w:rPr>
        <w:t>本部门2017年度国有资本经营预算收入支出决算0万元，比2016</w:t>
      </w:r>
      <w:r>
        <w:rPr>
          <w:rFonts w:ascii="仿宋_GB2312" w:hint="eastAsia"/>
          <w:sz w:val="28"/>
          <w:szCs w:val="28"/>
        </w:rPr>
        <w:lastRenderedPageBreak/>
        <w:t>年无增减。主要原因是：</w:t>
      </w:r>
      <w:r>
        <w:rPr>
          <w:rFonts w:ascii="仿宋_GB2312" w:hAnsi="仿宋" w:hint="eastAsia"/>
          <w:snapToGrid w:val="0"/>
          <w:color w:val="000000"/>
          <w:spacing w:val="-4"/>
          <w:kern w:val="0"/>
          <w:sz w:val="28"/>
          <w:szCs w:val="28"/>
        </w:rPr>
        <w:t>本部门没有国有资本预算，也没有国有资本支出，故本表无数据。</w:t>
      </w:r>
    </w:p>
    <w:p w:rsidR="00F21CAC" w:rsidRDefault="00FA7A1D">
      <w:pPr>
        <w:spacing w:line="570" w:lineRule="exact"/>
        <w:ind w:firstLineChars="0" w:firstLine="0"/>
        <w:jc w:val="center"/>
        <w:rPr>
          <w:rFonts w:ascii="黑体" w:eastAsia="黑体" w:hAnsi="黑体"/>
          <w:szCs w:val="32"/>
        </w:rPr>
      </w:pPr>
      <w:r>
        <w:rPr>
          <w:rFonts w:ascii="黑体" w:eastAsia="黑体" w:hAnsi="黑体" w:hint="eastAsia"/>
          <w:szCs w:val="32"/>
        </w:rPr>
        <w:t>第四部分　名词解释</w:t>
      </w:r>
    </w:p>
    <w:p w:rsidR="00F21CAC" w:rsidRDefault="00F21CAC">
      <w:pPr>
        <w:spacing w:line="480" w:lineRule="exact"/>
        <w:ind w:firstLineChars="0" w:firstLine="0"/>
        <w:jc w:val="center"/>
        <w:rPr>
          <w:rFonts w:ascii="黑体" w:eastAsia="黑体" w:hAnsi="黑体"/>
          <w:sz w:val="28"/>
          <w:szCs w:val="28"/>
        </w:rPr>
      </w:pPr>
    </w:p>
    <w:p w:rsidR="00F21CAC" w:rsidRDefault="00FA7A1D">
      <w:pPr>
        <w:spacing w:line="500" w:lineRule="exact"/>
        <w:ind w:firstLine="600"/>
        <w:rPr>
          <w:rFonts w:ascii="仿宋_GB2312"/>
          <w:sz w:val="30"/>
          <w:szCs w:val="30"/>
        </w:rPr>
      </w:pPr>
      <w:r>
        <w:rPr>
          <w:rFonts w:ascii="黑体" w:eastAsia="黑体" w:hAnsi="黑体" w:hint="eastAsia"/>
          <w:sz w:val="30"/>
          <w:szCs w:val="30"/>
        </w:rPr>
        <w:t>一、财政拨款收入：</w:t>
      </w:r>
      <w:r>
        <w:rPr>
          <w:rFonts w:ascii="仿宋_GB2312" w:hint="eastAsia"/>
          <w:sz w:val="30"/>
          <w:szCs w:val="30"/>
        </w:rPr>
        <w:t>指单位本年度从财政部门取得的财政拨款。</w:t>
      </w:r>
    </w:p>
    <w:p w:rsidR="00F21CAC" w:rsidRDefault="00FA7A1D">
      <w:pPr>
        <w:spacing w:line="500" w:lineRule="exact"/>
        <w:ind w:firstLine="600"/>
        <w:rPr>
          <w:rFonts w:ascii="仿宋_GB2312"/>
          <w:sz w:val="30"/>
          <w:szCs w:val="30"/>
        </w:rPr>
      </w:pPr>
      <w:r>
        <w:rPr>
          <w:rFonts w:ascii="黑体" w:eastAsia="黑体" w:hAnsi="黑体" w:hint="eastAsia"/>
          <w:sz w:val="30"/>
          <w:szCs w:val="30"/>
        </w:rPr>
        <w:t>二、上级补助收入：</w:t>
      </w:r>
      <w:r>
        <w:rPr>
          <w:rFonts w:ascii="仿宋_GB2312" w:hint="eastAsia"/>
          <w:sz w:val="30"/>
          <w:szCs w:val="30"/>
        </w:rPr>
        <w:t>指事业单位从主管部门和上级单位取得的非财政补助收入。</w:t>
      </w:r>
    </w:p>
    <w:p w:rsidR="00F21CAC" w:rsidRDefault="00FA7A1D">
      <w:pPr>
        <w:spacing w:line="500" w:lineRule="exact"/>
        <w:ind w:firstLine="600"/>
        <w:rPr>
          <w:rFonts w:ascii="仿宋_GB2312"/>
          <w:sz w:val="30"/>
          <w:szCs w:val="30"/>
        </w:rPr>
      </w:pPr>
      <w:r>
        <w:rPr>
          <w:rFonts w:ascii="黑体" w:eastAsia="黑体" w:hAnsi="黑体" w:hint="eastAsia"/>
          <w:sz w:val="30"/>
          <w:szCs w:val="30"/>
        </w:rPr>
        <w:t>三、事业收入：</w:t>
      </w:r>
      <w:r>
        <w:rPr>
          <w:rFonts w:ascii="仿宋_GB2312" w:hint="eastAsia"/>
          <w:sz w:val="30"/>
          <w:szCs w:val="30"/>
        </w:rPr>
        <w:t>指事业单位开展专业业务活动及其辅助活动取得的收入，事业单位收到的财政专户实际核拨的教育收费等资金在此反映。</w:t>
      </w:r>
    </w:p>
    <w:p w:rsidR="00F21CAC" w:rsidRDefault="00FA7A1D">
      <w:pPr>
        <w:spacing w:line="500" w:lineRule="exact"/>
        <w:ind w:firstLine="600"/>
        <w:rPr>
          <w:rFonts w:ascii="仿宋_GB2312"/>
          <w:sz w:val="30"/>
          <w:szCs w:val="30"/>
        </w:rPr>
      </w:pPr>
      <w:r>
        <w:rPr>
          <w:rFonts w:ascii="黑体" w:eastAsia="黑体" w:hAnsi="黑体" w:hint="eastAsia"/>
          <w:sz w:val="30"/>
          <w:szCs w:val="30"/>
        </w:rPr>
        <w:t>四、经营收入：</w:t>
      </w:r>
      <w:r>
        <w:rPr>
          <w:rFonts w:ascii="仿宋_GB2312" w:hint="eastAsia"/>
          <w:sz w:val="30"/>
          <w:szCs w:val="30"/>
        </w:rPr>
        <w:t>指事业单位在专业业务活动及其辅助活动之外开展非独立核算经营活动取得的收入。</w:t>
      </w:r>
    </w:p>
    <w:p w:rsidR="00F21CAC" w:rsidRDefault="00FA7A1D">
      <w:pPr>
        <w:spacing w:line="500" w:lineRule="exact"/>
        <w:ind w:firstLine="600"/>
        <w:rPr>
          <w:rFonts w:ascii="仿宋_GB2312"/>
          <w:sz w:val="30"/>
          <w:szCs w:val="30"/>
        </w:rPr>
      </w:pPr>
      <w:r>
        <w:rPr>
          <w:rFonts w:ascii="黑体" w:eastAsia="黑体" w:hAnsi="黑体" w:hint="eastAsia"/>
          <w:sz w:val="30"/>
          <w:szCs w:val="30"/>
        </w:rPr>
        <w:t>五、附属单位缴款：</w:t>
      </w:r>
      <w:r>
        <w:rPr>
          <w:rFonts w:ascii="仿宋_GB2312" w:hint="eastAsia"/>
          <w:sz w:val="30"/>
          <w:szCs w:val="30"/>
        </w:rPr>
        <w:t>指事业单位附属独立核算单位按照有关规定上缴的收入。</w:t>
      </w:r>
    </w:p>
    <w:p w:rsidR="00F21CAC" w:rsidRDefault="00FA7A1D">
      <w:pPr>
        <w:spacing w:line="500" w:lineRule="exact"/>
        <w:ind w:firstLine="600"/>
        <w:rPr>
          <w:rFonts w:ascii="仿宋_GB2312"/>
          <w:sz w:val="30"/>
          <w:szCs w:val="30"/>
        </w:rPr>
      </w:pPr>
      <w:r>
        <w:rPr>
          <w:rFonts w:ascii="黑体" w:eastAsia="黑体" w:hAnsi="黑体" w:hint="eastAsia"/>
          <w:sz w:val="30"/>
          <w:szCs w:val="30"/>
        </w:rPr>
        <w:t>六、其他收入：</w:t>
      </w:r>
      <w:r>
        <w:rPr>
          <w:rFonts w:ascii="仿宋_GB2312" w:hint="eastAsia"/>
          <w:sz w:val="30"/>
          <w:szCs w:val="30"/>
        </w:rPr>
        <w:t>指单位取得的除上述“财政拨款收入”、“事业收入”、“经营收入”等以外的各项收入。</w:t>
      </w:r>
    </w:p>
    <w:p w:rsidR="00F21CAC" w:rsidRDefault="00FA7A1D">
      <w:pPr>
        <w:spacing w:line="500" w:lineRule="exact"/>
        <w:ind w:firstLine="600"/>
        <w:rPr>
          <w:rFonts w:ascii="仿宋_GB2312"/>
          <w:sz w:val="30"/>
          <w:szCs w:val="30"/>
        </w:rPr>
      </w:pPr>
      <w:r>
        <w:rPr>
          <w:rFonts w:ascii="黑体" w:eastAsia="黑体" w:hAnsi="黑体" w:hint="eastAsia"/>
          <w:sz w:val="30"/>
          <w:szCs w:val="30"/>
        </w:rPr>
        <w:t>七、用事业基金弥补收支差额：</w:t>
      </w:r>
      <w:r>
        <w:rPr>
          <w:rFonts w:ascii="仿宋_GB2312" w:hint="eastAsia"/>
          <w:sz w:val="30"/>
          <w:szCs w:val="30"/>
        </w:rPr>
        <w:t>指事业单位用事业基金弥补当年收支差额的数额。</w:t>
      </w:r>
    </w:p>
    <w:p w:rsidR="00F21CAC" w:rsidRDefault="00FA7A1D">
      <w:pPr>
        <w:spacing w:line="500" w:lineRule="exact"/>
        <w:ind w:firstLine="600"/>
        <w:rPr>
          <w:rFonts w:ascii="仿宋_GB2312"/>
          <w:sz w:val="30"/>
          <w:szCs w:val="30"/>
        </w:rPr>
      </w:pPr>
      <w:r>
        <w:rPr>
          <w:rFonts w:ascii="黑体" w:eastAsia="黑体" w:hAnsi="黑体" w:hint="eastAsia"/>
          <w:sz w:val="30"/>
          <w:szCs w:val="30"/>
        </w:rPr>
        <w:t>八、年初结转和结余：</w:t>
      </w:r>
      <w:r>
        <w:rPr>
          <w:rFonts w:ascii="仿宋_GB2312" w:hint="eastAsia"/>
          <w:sz w:val="30"/>
          <w:szCs w:val="30"/>
        </w:rPr>
        <w:t>指单位上年结转本年使用的基本支出结转、项目支出结转和结余和经营结余。</w:t>
      </w:r>
    </w:p>
    <w:p w:rsidR="00F21CAC" w:rsidRDefault="00FA7A1D">
      <w:pPr>
        <w:spacing w:line="500" w:lineRule="exact"/>
        <w:ind w:firstLine="600"/>
        <w:rPr>
          <w:rFonts w:ascii="仿宋_GB2312"/>
          <w:sz w:val="30"/>
          <w:szCs w:val="30"/>
        </w:rPr>
      </w:pPr>
      <w:r>
        <w:rPr>
          <w:rFonts w:ascii="黑体" w:eastAsia="黑体" w:hAnsi="黑体" w:hint="eastAsia"/>
          <w:sz w:val="30"/>
          <w:szCs w:val="30"/>
        </w:rPr>
        <w:t>九、年末结转和结余资金：</w:t>
      </w:r>
      <w:r>
        <w:rPr>
          <w:rFonts w:ascii="仿宋_GB2312" w:hint="eastAsia"/>
          <w:sz w:val="30"/>
          <w:szCs w:val="30"/>
        </w:rPr>
        <w:t>指本年度或以前年度预算安排、因客观条件发生变化无法按原计划实施，需要延迟到以后年度按有关规定继续使用的资金。</w:t>
      </w:r>
    </w:p>
    <w:p w:rsidR="00F21CAC" w:rsidRDefault="00FA7A1D">
      <w:pPr>
        <w:spacing w:line="500" w:lineRule="exact"/>
        <w:ind w:firstLine="600"/>
        <w:rPr>
          <w:rFonts w:ascii="仿宋_GB2312"/>
          <w:sz w:val="30"/>
          <w:szCs w:val="30"/>
        </w:rPr>
      </w:pPr>
      <w:r>
        <w:rPr>
          <w:rFonts w:ascii="黑体" w:eastAsia="黑体" w:hAnsi="黑体" w:hint="eastAsia"/>
          <w:sz w:val="30"/>
          <w:szCs w:val="30"/>
        </w:rPr>
        <w:t>十、基本支出：</w:t>
      </w:r>
      <w:r>
        <w:rPr>
          <w:rFonts w:ascii="仿宋_GB2312" w:hint="eastAsia"/>
          <w:sz w:val="30"/>
          <w:szCs w:val="30"/>
        </w:rPr>
        <w:t>指为保障机构正常运转、完成日常工作任务而发生的人员支出和公用支出。</w:t>
      </w:r>
    </w:p>
    <w:p w:rsidR="00F21CAC" w:rsidRDefault="00FA7A1D">
      <w:pPr>
        <w:spacing w:line="500" w:lineRule="exact"/>
        <w:ind w:firstLine="600"/>
        <w:rPr>
          <w:rFonts w:ascii="仿宋_GB2312"/>
          <w:sz w:val="30"/>
          <w:szCs w:val="30"/>
        </w:rPr>
      </w:pPr>
      <w:r>
        <w:rPr>
          <w:rFonts w:ascii="黑体" w:eastAsia="黑体" w:hAnsi="黑体" w:hint="eastAsia"/>
          <w:sz w:val="30"/>
          <w:szCs w:val="30"/>
        </w:rPr>
        <w:lastRenderedPageBreak/>
        <w:t>十一、项目支出：</w:t>
      </w:r>
      <w:r>
        <w:rPr>
          <w:rFonts w:ascii="仿宋_GB2312" w:hint="eastAsia"/>
          <w:sz w:val="30"/>
          <w:szCs w:val="30"/>
        </w:rPr>
        <w:t>指在基本支出之外为完成特定的行政任务或事业发展目标所发生的支出。</w:t>
      </w:r>
    </w:p>
    <w:p w:rsidR="00F21CAC" w:rsidRDefault="00FA7A1D">
      <w:pPr>
        <w:spacing w:line="500" w:lineRule="exact"/>
        <w:ind w:firstLine="600"/>
        <w:rPr>
          <w:rFonts w:ascii="仿宋_GB2312"/>
          <w:b/>
          <w:sz w:val="30"/>
          <w:szCs w:val="30"/>
        </w:rPr>
      </w:pPr>
      <w:r>
        <w:rPr>
          <w:rFonts w:ascii="黑体" w:eastAsia="黑体" w:hAnsi="黑体" w:hint="eastAsia"/>
          <w:sz w:val="30"/>
          <w:szCs w:val="30"/>
        </w:rPr>
        <w:t>十二、经营支出：</w:t>
      </w:r>
      <w:r>
        <w:rPr>
          <w:rFonts w:ascii="仿宋_GB2312" w:hint="eastAsia"/>
          <w:sz w:val="30"/>
          <w:szCs w:val="30"/>
        </w:rPr>
        <w:t>指事业单位在专业业务活动及其辅助活动之外开展非独立核算经营活动发生的支出。</w:t>
      </w:r>
    </w:p>
    <w:p w:rsidR="00F21CAC" w:rsidRDefault="00FA7A1D">
      <w:pPr>
        <w:spacing w:line="500" w:lineRule="exact"/>
        <w:ind w:firstLine="600"/>
        <w:rPr>
          <w:rFonts w:ascii="仿宋_GB2312"/>
          <w:b/>
          <w:sz w:val="30"/>
          <w:szCs w:val="30"/>
        </w:rPr>
      </w:pPr>
      <w:r>
        <w:rPr>
          <w:rFonts w:ascii="黑体" w:eastAsia="黑体" w:hAnsi="黑体" w:hint="eastAsia"/>
          <w:sz w:val="30"/>
          <w:szCs w:val="30"/>
        </w:rPr>
        <w:t>十三、“三公”经费：</w:t>
      </w:r>
      <w:r>
        <w:rPr>
          <w:rFonts w:ascii="仿宋_GB2312" w:hint="eastAsia"/>
          <w:sz w:val="30"/>
          <w:szCs w:val="30"/>
        </w:rPr>
        <w:t>指部门用一般公共预算财政拨款安排的因公出国（境）费、公务用车购置及运行费和公务接待费。其中，因公出国（境）费反映单位公务出国（境）的住宿费、旅费、伙食补助费、杂费、培训费等支出；公务用车购置及运行费反映单位公务用车购置费、燃料费、维修费、过路过桥费、保险费、安全奖励费用等支出；公务接待费反映单位按规定开支的各类公务接待（含外宾接待）支出。</w:t>
      </w:r>
    </w:p>
    <w:p w:rsidR="00F21CAC" w:rsidRDefault="00FA7A1D">
      <w:pPr>
        <w:spacing w:line="500" w:lineRule="exact"/>
        <w:ind w:firstLine="600"/>
        <w:rPr>
          <w:rFonts w:ascii="仿宋_GB2312"/>
          <w:sz w:val="30"/>
          <w:szCs w:val="30"/>
        </w:rPr>
      </w:pPr>
      <w:r>
        <w:rPr>
          <w:rFonts w:ascii="黑体" w:eastAsia="黑体" w:hAnsi="黑体" w:hint="eastAsia"/>
          <w:sz w:val="30"/>
          <w:szCs w:val="30"/>
        </w:rPr>
        <w:t>十四、机关运行经费：</w:t>
      </w:r>
      <w:r>
        <w:rPr>
          <w:rFonts w:ascii="仿宋_GB2312" w:hint="eastAsia"/>
          <w:sz w:val="30"/>
          <w:szCs w:val="30"/>
        </w:rPr>
        <w:t>指各部门的公用经费，包括办公及印刷费、邮电费、差旅费、会议费、福利费、日常维修费、专用材料、办公用房水电费、办公用房取暖费、办公用房物业管理费、公务用车运行维护费及其他费用。在财政部有明确规定前，“机关运行经费”暂指行政单位（含参照公务员法管理的事业单位）一般公共预算安排的基本支出中的“商品和服务支出”经费。</w:t>
      </w:r>
    </w:p>
    <w:p w:rsidR="00F21CAC" w:rsidRDefault="00FA7A1D">
      <w:pPr>
        <w:ind w:firstLineChars="0" w:firstLine="0"/>
        <w:rPr>
          <w:rFonts w:ascii="黑体" w:eastAsia="黑体" w:hAnsi="宋体" w:cs="宋体"/>
          <w:szCs w:val="32"/>
        </w:rPr>
      </w:pPr>
      <w:r>
        <w:br w:type="page"/>
      </w:r>
    </w:p>
    <w:p w:rsidR="00F21CAC" w:rsidRDefault="00FA7A1D">
      <w:pPr>
        <w:ind w:firstLineChars="0" w:firstLine="0"/>
        <w:jc w:val="center"/>
        <w:rPr>
          <w:rFonts w:ascii="宋体" w:eastAsia="宋体" w:hAnsi="宋体"/>
          <w:sz w:val="44"/>
          <w:szCs w:val="44"/>
        </w:rPr>
      </w:pPr>
      <w:r>
        <w:rPr>
          <w:rFonts w:ascii="宋体" w:eastAsia="宋体" w:hAnsi="宋体" w:hint="eastAsia"/>
          <w:sz w:val="44"/>
          <w:szCs w:val="44"/>
        </w:rPr>
        <w:lastRenderedPageBreak/>
        <w:t>2017年度市级预算绩效管理项目绩效目标表</w:t>
      </w:r>
    </w:p>
    <w:p w:rsidR="00F21CAC" w:rsidRDefault="00F21CAC">
      <w:pPr>
        <w:ind w:firstLine="640"/>
        <w:rPr>
          <w:szCs w:val="32"/>
        </w:rPr>
      </w:pPr>
    </w:p>
    <w:tbl>
      <w:tblPr>
        <w:tblW w:w="9315" w:type="dxa"/>
        <w:tblInd w:w="93" w:type="dxa"/>
        <w:tblLayout w:type="fixed"/>
        <w:tblLook w:val="04A0"/>
      </w:tblPr>
      <w:tblGrid>
        <w:gridCol w:w="1180"/>
        <w:gridCol w:w="1080"/>
        <w:gridCol w:w="960"/>
        <w:gridCol w:w="827"/>
        <w:gridCol w:w="773"/>
        <w:gridCol w:w="571"/>
        <w:gridCol w:w="889"/>
        <w:gridCol w:w="510"/>
        <w:gridCol w:w="1030"/>
        <w:gridCol w:w="132"/>
        <w:gridCol w:w="294"/>
        <w:gridCol w:w="1069"/>
      </w:tblGrid>
      <w:tr w:rsidR="00F21CAC">
        <w:trPr>
          <w:trHeight w:val="612"/>
        </w:trPr>
        <w:tc>
          <w:tcPr>
            <w:tcW w:w="1180" w:type="dxa"/>
            <w:tcBorders>
              <w:top w:val="single" w:sz="4" w:space="0" w:color="auto"/>
              <w:left w:val="single" w:sz="4" w:space="0" w:color="auto"/>
              <w:bottom w:val="single" w:sz="4" w:space="0" w:color="auto"/>
              <w:right w:val="single" w:sz="6"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项目名称</w:t>
            </w:r>
          </w:p>
        </w:tc>
        <w:tc>
          <w:tcPr>
            <w:tcW w:w="2040" w:type="dxa"/>
            <w:gridSpan w:val="2"/>
            <w:tcBorders>
              <w:top w:val="single" w:sz="4" w:space="0" w:color="auto"/>
              <w:left w:val="nil"/>
              <w:bottom w:val="single" w:sz="4" w:space="0" w:color="auto"/>
              <w:right w:val="single" w:sz="6"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市级环保专项</w:t>
            </w:r>
          </w:p>
        </w:tc>
        <w:tc>
          <w:tcPr>
            <w:tcW w:w="1600" w:type="dxa"/>
            <w:gridSpan w:val="2"/>
            <w:tcBorders>
              <w:top w:val="single" w:sz="4" w:space="0" w:color="auto"/>
              <w:left w:val="nil"/>
              <w:bottom w:val="single" w:sz="4" w:space="0" w:color="auto"/>
              <w:right w:val="single" w:sz="6"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项目属性</w:t>
            </w:r>
          </w:p>
        </w:tc>
        <w:tc>
          <w:tcPr>
            <w:tcW w:w="1460" w:type="dxa"/>
            <w:gridSpan w:val="2"/>
            <w:tcBorders>
              <w:top w:val="single" w:sz="4" w:space="0" w:color="auto"/>
              <w:left w:val="nil"/>
              <w:bottom w:val="single" w:sz="4" w:space="0" w:color="auto"/>
              <w:right w:val="single" w:sz="6"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延续项目</w:t>
            </w:r>
          </w:p>
        </w:tc>
        <w:tc>
          <w:tcPr>
            <w:tcW w:w="1540" w:type="dxa"/>
            <w:gridSpan w:val="2"/>
            <w:tcBorders>
              <w:top w:val="single" w:sz="4" w:space="0" w:color="auto"/>
              <w:left w:val="nil"/>
              <w:bottom w:val="single" w:sz="4" w:space="0" w:color="auto"/>
              <w:right w:val="single" w:sz="6"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项目设立类别</w:t>
            </w:r>
          </w:p>
        </w:tc>
        <w:tc>
          <w:tcPr>
            <w:tcW w:w="1495"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确定项目</w:t>
            </w:r>
          </w:p>
        </w:tc>
      </w:tr>
      <w:tr w:rsidR="00F21CAC">
        <w:trPr>
          <w:trHeight w:val="540"/>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项目功能</w:t>
            </w:r>
            <w:r>
              <w:rPr>
                <w:rFonts w:ascii="仿宋" w:eastAsia="仿宋" w:hAnsi="仿宋" w:cs="宋体" w:hint="eastAsia"/>
                <w:sz w:val="21"/>
                <w:szCs w:val="21"/>
              </w:rPr>
              <w:br/>
              <w:t>类别</w:t>
            </w:r>
          </w:p>
        </w:tc>
        <w:tc>
          <w:tcPr>
            <w:tcW w:w="2040" w:type="dxa"/>
            <w:gridSpan w:val="2"/>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社会管理</w:t>
            </w:r>
          </w:p>
        </w:tc>
        <w:tc>
          <w:tcPr>
            <w:tcW w:w="160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项目资金支付形态类别</w:t>
            </w:r>
          </w:p>
        </w:tc>
        <w:tc>
          <w:tcPr>
            <w:tcW w:w="146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综合性项目支出</w:t>
            </w:r>
          </w:p>
        </w:tc>
        <w:tc>
          <w:tcPr>
            <w:tcW w:w="154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绩效管理模式</w:t>
            </w:r>
          </w:p>
        </w:tc>
        <w:tc>
          <w:tcPr>
            <w:tcW w:w="1495" w:type="dxa"/>
            <w:gridSpan w:val="3"/>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部门整体评价</w:t>
            </w:r>
          </w:p>
        </w:tc>
      </w:tr>
      <w:tr w:rsidR="00F21CAC">
        <w:trPr>
          <w:trHeight w:val="649"/>
        </w:trPr>
        <w:tc>
          <w:tcPr>
            <w:tcW w:w="4820" w:type="dxa"/>
            <w:gridSpan w:val="5"/>
            <w:tcBorders>
              <w:top w:val="single" w:sz="4" w:space="0" w:color="auto"/>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计划开始时间：        2017年1月1日</w:t>
            </w:r>
          </w:p>
        </w:tc>
        <w:tc>
          <w:tcPr>
            <w:tcW w:w="4495" w:type="dxa"/>
            <w:gridSpan w:val="7"/>
            <w:tcBorders>
              <w:top w:val="single" w:sz="4" w:space="0" w:color="auto"/>
              <w:left w:val="nil"/>
              <w:bottom w:val="single" w:sz="4" w:space="0" w:color="auto"/>
              <w:right w:val="single" w:sz="4" w:space="0" w:color="000000"/>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计划完成时间：      2017年12月31日</w:t>
            </w:r>
          </w:p>
        </w:tc>
      </w:tr>
      <w:tr w:rsidR="00F21CAC">
        <w:trPr>
          <w:trHeight w:val="672"/>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项目总金额（万元）</w:t>
            </w:r>
          </w:p>
        </w:tc>
        <w:tc>
          <w:tcPr>
            <w:tcW w:w="1080" w:type="dxa"/>
            <w:vMerge w:val="restart"/>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其中</w:t>
            </w:r>
          </w:p>
        </w:tc>
        <w:tc>
          <w:tcPr>
            <w:tcW w:w="960"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部、省级财政</w:t>
            </w:r>
          </w:p>
        </w:tc>
        <w:tc>
          <w:tcPr>
            <w:tcW w:w="160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市级财政</w:t>
            </w:r>
          </w:p>
        </w:tc>
        <w:tc>
          <w:tcPr>
            <w:tcW w:w="146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区级财政</w:t>
            </w:r>
          </w:p>
        </w:tc>
        <w:tc>
          <w:tcPr>
            <w:tcW w:w="154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单位自筹</w:t>
            </w:r>
          </w:p>
        </w:tc>
        <w:tc>
          <w:tcPr>
            <w:tcW w:w="1495" w:type="dxa"/>
            <w:gridSpan w:val="3"/>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其他</w:t>
            </w:r>
          </w:p>
        </w:tc>
      </w:tr>
      <w:tr w:rsidR="00F21CAC">
        <w:trPr>
          <w:trHeight w:val="578"/>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4500</w:t>
            </w:r>
          </w:p>
        </w:tc>
        <w:tc>
          <w:tcPr>
            <w:tcW w:w="1080" w:type="dxa"/>
            <w:vMerge/>
            <w:tcBorders>
              <w:top w:val="nil"/>
              <w:left w:val="nil"/>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960"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c>
          <w:tcPr>
            <w:tcW w:w="160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4500</w:t>
            </w:r>
          </w:p>
        </w:tc>
        <w:tc>
          <w:tcPr>
            <w:tcW w:w="146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w:t>
            </w:r>
          </w:p>
        </w:tc>
        <w:tc>
          <w:tcPr>
            <w:tcW w:w="154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w:t>
            </w:r>
          </w:p>
        </w:tc>
        <w:tc>
          <w:tcPr>
            <w:tcW w:w="1495" w:type="dxa"/>
            <w:gridSpan w:val="3"/>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2160"/>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项目绩效总目标</w:t>
            </w:r>
          </w:p>
        </w:tc>
        <w:tc>
          <w:tcPr>
            <w:tcW w:w="8135" w:type="dxa"/>
            <w:gridSpan w:val="11"/>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1.以社会主义生态文明观为引领，全面开展国家级生态文明示范市创建，有序推进生态文明建设各项指标达标任务圆满完成。</w:t>
            </w:r>
          </w:p>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2.以“263”专项行动为抓手，继续深入减煤、减化、治太湖等专项，全面推进大气、水、土壤和农村环境污染防治工作，完成省政府下达的“十三五”减排任务。</w:t>
            </w:r>
          </w:p>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3.坚持依法行政、铁腕治污，打造智慧环境执法平台，全面提升环境管理能力和信息化水平。</w:t>
            </w:r>
          </w:p>
          <w:p w:rsidR="00F21CAC" w:rsidRDefault="00FA7A1D">
            <w:pPr>
              <w:widowControl/>
              <w:spacing w:line="360" w:lineRule="exact"/>
              <w:ind w:firstLineChars="0" w:firstLine="0"/>
              <w:jc w:val="left"/>
              <w:rPr>
                <w:rFonts w:ascii="仿宋" w:eastAsia="仿宋" w:hAnsi="仿宋" w:cs="宋体"/>
                <w:sz w:val="21"/>
                <w:szCs w:val="21"/>
              </w:rPr>
            </w:pPr>
            <w:r>
              <w:rPr>
                <w:rFonts w:ascii="仿宋" w:eastAsia="仿宋" w:hAnsi="仿宋" w:cs="宋体" w:hint="eastAsia"/>
                <w:sz w:val="21"/>
                <w:szCs w:val="21"/>
              </w:rPr>
              <w:t>4.加强生态环境监管体制机制、环境突出问题和治理措施研究，促进环全市境质量不断改善。</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指标排序</w:t>
            </w:r>
          </w:p>
        </w:tc>
        <w:tc>
          <w:tcPr>
            <w:tcW w:w="2040" w:type="dxa"/>
            <w:gridSpan w:val="2"/>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一级指标</w:t>
            </w:r>
          </w:p>
        </w:tc>
        <w:tc>
          <w:tcPr>
            <w:tcW w:w="2171" w:type="dxa"/>
            <w:gridSpan w:val="3"/>
            <w:tcBorders>
              <w:top w:val="single" w:sz="4" w:space="0" w:color="auto"/>
              <w:left w:val="nil"/>
              <w:bottom w:val="single" w:sz="4" w:space="0" w:color="auto"/>
              <w:right w:val="single" w:sz="4" w:space="0" w:color="000000"/>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二级指标</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本年目标值</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预算金额</w:t>
            </w:r>
            <w:r>
              <w:rPr>
                <w:rFonts w:ascii="仿宋" w:eastAsia="仿宋" w:hAnsi="仿宋" w:cs="宋体" w:hint="eastAsia"/>
                <w:sz w:val="21"/>
                <w:szCs w:val="21"/>
              </w:rPr>
              <w:br/>
              <w:t>（万元）</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w:t>
            </w:r>
          </w:p>
        </w:tc>
        <w:tc>
          <w:tcPr>
            <w:tcW w:w="2040" w:type="dxa"/>
            <w:gridSpan w:val="2"/>
            <w:vMerge w:val="restart"/>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投入类</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预算的科学性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科学</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预算的精确性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精确</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预算编制程序规范性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规范</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资金到位率</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100%</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5</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到位及时率</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100%</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6</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资金使用率</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100%</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7</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资金节约率</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0</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8</w:t>
            </w:r>
          </w:p>
        </w:tc>
        <w:tc>
          <w:tcPr>
            <w:tcW w:w="2040" w:type="dxa"/>
            <w:gridSpan w:val="2"/>
            <w:vMerge w:val="restart"/>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管理类</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项目管理制度健全性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健全</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lastRenderedPageBreak/>
              <w:t>9</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项目管理过程规范性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规范</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10</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项目结果可控性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可控</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11</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财务制度健全性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健全</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12</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财务行为合法合规性</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合法合规</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13</w:t>
            </w:r>
          </w:p>
        </w:tc>
        <w:tc>
          <w:tcPr>
            <w:tcW w:w="2040" w:type="dxa"/>
            <w:gridSpan w:val="2"/>
            <w:vMerge/>
            <w:tcBorders>
              <w:top w:val="nil"/>
              <w:left w:val="single" w:sz="4" w:space="0" w:color="auto"/>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会计信息质量</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优</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14</w:t>
            </w:r>
          </w:p>
        </w:tc>
        <w:tc>
          <w:tcPr>
            <w:tcW w:w="2040"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环保主题宣传活动</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≥5次</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164.09</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15</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省或国家级生态园区创建</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=2所</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40</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16</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省市级绿色学校（幼儿园）</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=23所</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18</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17</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城市主要河道生态修复和维护</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≥18条</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174.80</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18</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重点断面整治方案编制、调查、维护等</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≥20项</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242.7</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19</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建设大气防治能力建设项目</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=1个</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125.7</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20</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大气防治方案编制、调查、维护项目等</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≥4个</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397.61</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21</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应急除霾降尘服务</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≥500次</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58</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22</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土壤调查方案编制、示范运维及核查等</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=3个</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43.92</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23</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环境执法检查厂次</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≥2000厂次</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308</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24</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环保执法检查企业</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≥700家</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301.19</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25</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强审文件评估</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≥45件&amp;&amp;≤55件</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50</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26</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生态文明在行动评估</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=4次</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131</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27</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建设项目竣工验收监测与调查及文件评估</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≥60个（家）</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348.89</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28</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环境信息</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安全到位</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191.5</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lastRenderedPageBreak/>
              <w:t>29</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环境监测</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及时有效</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1278.7</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30</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危险废物处置</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宋体" w:eastAsia="宋体" w:hAnsi="宋体" w:hint="eastAsia"/>
                <w:kern w:val="0"/>
                <w:sz w:val="21"/>
                <w:szCs w:val="21"/>
              </w:rPr>
              <w:t>﹥</w:t>
            </w:r>
            <w:r>
              <w:rPr>
                <w:rFonts w:ascii="仿宋_GB2312" w:hAnsi="宋体" w:cs="Arial" w:hint="eastAsia"/>
                <w:kern w:val="0"/>
                <w:sz w:val="21"/>
                <w:szCs w:val="21"/>
              </w:rPr>
              <w:t>5000吨</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114.1</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31</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危废项目调查</w:t>
            </w:r>
          </w:p>
        </w:tc>
        <w:tc>
          <w:tcPr>
            <w:tcW w:w="2855" w:type="dxa"/>
            <w:gridSpan w:val="5"/>
            <w:tcBorders>
              <w:top w:val="nil"/>
              <w:left w:val="nil"/>
              <w:bottom w:val="single" w:sz="4" w:space="0" w:color="auto"/>
              <w:right w:val="single" w:sz="4" w:space="0" w:color="auto"/>
            </w:tcBorders>
            <w:vAlign w:val="center"/>
          </w:tcPr>
          <w:p w:rsidR="00F21CAC" w:rsidRDefault="00FA7A1D">
            <w:pPr>
              <w:widowControl/>
              <w:ind w:firstLineChars="0" w:firstLine="0"/>
              <w:jc w:val="center"/>
              <w:rPr>
                <w:rFonts w:ascii="仿宋_GB2312" w:hAnsi="宋体" w:cs="Arial"/>
                <w:kern w:val="0"/>
                <w:sz w:val="21"/>
                <w:szCs w:val="21"/>
              </w:rPr>
            </w:pPr>
            <w:r>
              <w:rPr>
                <w:rFonts w:ascii="仿宋_GB2312" w:hAnsi="宋体" w:cs="Arial" w:hint="eastAsia"/>
                <w:kern w:val="0"/>
                <w:sz w:val="21"/>
                <w:szCs w:val="21"/>
              </w:rPr>
              <w:t>=3个</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340.3</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32</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水环境综合整治示范项目</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_GB2312" w:hAnsi="宋体" w:cs="Arial" w:hint="eastAsia"/>
                <w:kern w:val="0"/>
                <w:sz w:val="21"/>
                <w:szCs w:val="21"/>
              </w:rPr>
              <w:t>=1个</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50</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33</w:t>
            </w:r>
          </w:p>
        </w:tc>
        <w:tc>
          <w:tcPr>
            <w:tcW w:w="2040" w:type="dxa"/>
            <w:gridSpan w:val="2"/>
            <w:tcBorders>
              <w:top w:val="nil"/>
              <w:left w:val="nil"/>
              <w:bottom w:val="single" w:sz="4" w:space="0" w:color="auto"/>
              <w:right w:val="single" w:sz="4" w:space="0" w:color="auto"/>
            </w:tcBorders>
            <w:vAlign w:val="center"/>
          </w:tcPr>
          <w:p w:rsidR="00F21CAC" w:rsidRDefault="00FA7A1D">
            <w:pPr>
              <w:ind w:firstLine="420"/>
              <w:rPr>
                <w:szCs w:val="32"/>
              </w:rPr>
            </w:pPr>
            <w:r>
              <w:rPr>
                <w:rFonts w:ascii="仿宋" w:eastAsia="仿宋" w:hAnsi="仿宋" w:cs="宋体" w:hint="eastAsia"/>
                <w:sz w:val="21"/>
                <w:szCs w:val="21"/>
              </w:rPr>
              <w:t>产出类指标</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土壤治理与修复规划</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_GB2312" w:hAnsi="宋体" w:cs="Arial" w:hint="eastAsia"/>
                <w:kern w:val="0"/>
                <w:sz w:val="21"/>
                <w:szCs w:val="21"/>
              </w:rPr>
              <w:t>=1个</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20</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34</w:t>
            </w:r>
          </w:p>
        </w:tc>
        <w:tc>
          <w:tcPr>
            <w:tcW w:w="1080" w:type="dxa"/>
            <w:vMerge w:val="restart"/>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综合个性指标</w:t>
            </w:r>
          </w:p>
        </w:tc>
        <w:tc>
          <w:tcPr>
            <w:tcW w:w="960"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社会效益</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科技服务</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及时</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19</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35</w:t>
            </w:r>
          </w:p>
        </w:tc>
        <w:tc>
          <w:tcPr>
            <w:tcW w:w="1080" w:type="dxa"/>
            <w:vMerge/>
            <w:tcBorders>
              <w:top w:val="nil"/>
              <w:left w:val="nil"/>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960" w:type="dxa"/>
            <w:vMerge w:val="restart"/>
            <w:tcBorders>
              <w:top w:val="nil"/>
              <w:left w:val="nil"/>
              <w:bottom w:val="nil"/>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生态效益</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 xml:space="preserve">空气质量改善 </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明显</w:t>
            </w:r>
          </w:p>
        </w:tc>
        <w:tc>
          <w:tcPr>
            <w:tcW w:w="1069" w:type="dxa"/>
            <w:tcBorders>
              <w:top w:val="nil"/>
              <w:left w:val="nil"/>
              <w:bottom w:val="single" w:sz="4" w:space="0" w:color="auto"/>
              <w:right w:val="single" w:sz="4" w:space="0" w:color="auto"/>
            </w:tcBorders>
            <w:vAlign w:val="center"/>
          </w:tcPr>
          <w:p w:rsidR="00F21CAC" w:rsidRDefault="00F21CAC">
            <w:pPr>
              <w:widowControl/>
              <w:spacing w:line="360" w:lineRule="exact"/>
              <w:ind w:firstLineChars="0" w:firstLine="0"/>
              <w:jc w:val="center"/>
              <w:rPr>
                <w:rFonts w:ascii="仿宋" w:eastAsia="仿宋" w:hAnsi="仿宋" w:cs="宋体"/>
                <w:sz w:val="21"/>
                <w:szCs w:val="21"/>
              </w:rPr>
            </w:pP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36</w:t>
            </w:r>
          </w:p>
        </w:tc>
        <w:tc>
          <w:tcPr>
            <w:tcW w:w="1080" w:type="dxa"/>
            <w:vMerge/>
            <w:tcBorders>
              <w:top w:val="nil"/>
              <w:left w:val="nil"/>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960" w:type="dxa"/>
            <w:vMerge/>
            <w:tcBorders>
              <w:top w:val="nil"/>
              <w:left w:val="nil"/>
              <w:bottom w:val="nil"/>
              <w:right w:val="single" w:sz="4" w:space="0" w:color="auto"/>
            </w:tcBorders>
            <w:vAlign w:val="center"/>
          </w:tcPr>
          <w:p w:rsidR="00F21CAC" w:rsidRDefault="00F21CAC">
            <w:pPr>
              <w:widowControl/>
              <w:ind w:firstLineChars="0" w:firstLine="0"/>
              <w:jc w:val="left"/>
              <w:rPr>
                <w:rFonts w:ascii="仿宋" w:eastAsia="仿宋" w:hAnsi="仿宋" w:cs="宋体"/>
                <w:color w:val="000000"/>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水环境质量改善</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明显</w:t>
            </w:r>
          </w:p>
        </w:tc>
        <w:tc>
          <w:tcPr>
            <w:tcW w:w="1069" w:type="dxa"/>
            <w:tcBorders>
              <w:top w:val="nil"/>
              <w:left w:val="nil"/>
              <w:bottom w:val="single" w:sz="4" w:space="0" w:color="auto"/>
              <w:right w:val="single" w:sz="4" w:space="0" w:color="auto"/>
            </w:tcBorders>
            <w:vAlign w:val="bottom"/>
          </w:tcPr>
          <w:p w:rsidR="00F21CAC" w:rsidRDefault="00F21CAC">
            <w:pPr>
              <w:widowControl/>
              <w:spacing w:line="360" w:lineRule="exact"/>
              <w:ind w:firstLineChars="0" w:firstLine="0"/>
              <w:jc w:val="center"/>
              <w:rPr>
                <w:rFonts w:ascii="仿宋" w:eastAsia="仿宋" w:hAnsi="仿宋" w:cs="宋体"/>
                <w:sz w:val="21"/>
                <w:szCs w:val="21"/>
              </w:rPr>
            </w:pP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37</w:t>
            </w:r>
          </w:p>
        </w:tc>
        <w:tc>
          <w:tcPr>
            <w:tcW w:w="1080" w:type="dxa"/>
            <w:vMerge/>
            <w:tcBorders>
              <w:top w:val="nil"/>
              <w:left w:val="nil"/>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960" w:type="dxa"/>
            <w:vMerge/>
            <w:tcBorders>
              <w:top w:val="nil"/>
              <w:left w:val="nil"/>
              <w:bottom w:val="nil"/>
              <w:right w:val="single" w:sz="4" w:space="0" w:color="auto"/>
            </w:tcBorders>
            <w:vAlign w:val="center"/>
          </w:tcPr>
          <w:p w:rsidR="00F21CAC" w:rsidRDefault="00F21CAC">
            <w:pPr>
              <w:widowControl/>
              <w:ind w:firstLineChars="0" w:firstLine="0"/>
              <w:jc w:val="left"/>
              <w:rPr>
                <w:rFonts w:ascii="仿宋" w:eastAsia="仿宋" w:hAnsi="仿宋" w:cs="宋体"/>
                <w:color w:val="000000"/>
                <w:sz w:val="21"/>
                <w:szCs w:val="21"/>
              </w:rPr>
            </w:pP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土壤环境质量保持</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稳定</w:t>
            </w:r>
          </w:p>
        </w:tc>
        <w:tc>
          <w:tcPr>
            <w:tcW w:w="1069" w:type="dxa"/>
            <w:tcBorders>
              <w:top w:val="nil"/>
              <w:left w:val="nil"/>
              <w:bottom w:val="single" w:sz="4" w:space="0" w:color="auto"/>
              <w:right w:val="single" w:sz="4" w:space="0" w:color="auto"/>
            </w:tcBorders>
            <w:vAlign w:val="bottom"/>
          </w:tcPr>
          <w:p w:rsidR="00F21CAC" w:rsidRDefault="00F21CAC">
            <w:pPr>
              <w:widowControl/>
              <w:spacing w:line="360" w:lineRule="exact"/>
              <w:ind w:firstLineChars="0" w:firstLine="0"/>
              <w:jc w:val="center"/>
              <w:rPr>
                <w:rFonts w:ascii="仿宋" w:eastAsia="仿宋" w:hAnsi="仿宋" w:cs="宋体"/>
                <w:sz w:val="21"/>
                <w:szCs w:val="21"/>
              </w:rPr>
            </w:pP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38</w:t>
            </w:r>
          </w:p>
        </w:tc>
        <w:tc>
          <w:tcPr>
            <w:tcW w:w="1080" w:type="dxa"/>
            <w:vMerge/>
            <w:tcBorders>
              <w:top w:val="nil"/>
              <w:left w:val="nil"/>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960"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可持续影响</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资金项目管理</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资金绩效明显</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82.5</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39</w:t>
            </w:r>
          </w:p>
        </w:tc>
        <w:tc>
          <w:tcPr>
            <w:tcW w:w="1080" w:type="dxa"/>
            <w:vMerge/>
            <w:tcBorders>
              <w:top w:val="nil"/>
              <w:left w:val="nil"/>
              <w:bottom w:val="single" w:sz="4" w:space="0" w:color="auto"/>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960"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满意度</w:t>
            </w:r>
          </w:p>
        </w:tc>
        <w:tc>
          <w:tcPr>
            <w:tcW w:w="2171"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 xml:space="preserve">服务对象满意度 </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≥70%</w:t>
            </w:r>
          </w:p>
        </w:tc>
        <w:tc>
          <w:tcPr>
            <w:tcW w:w="1069" w:type="dxa"/>
            <w:tcBorders>
              <w:top w:val="nil"/>
              <w:left w:val="nil"/>
              <w:bottom w:val="single" w:sz="4" w:space="0" w:color="auto"/>
              <w:right w:val="single" w:sz="4" w:space="0" w:color="auto"/>
            </w:tcBorders>
            <w:vAlign w:val="bottom"/>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 xml:space="preserve">　</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40</w:t>
            </w:r>
          </w:p>
        </w:tc>
        <w:tc>
          <w:tcPr>
            <w:tcW w:w="4211" w:type="dxa"/>
            <w:gridSpan w:val="5"/>
            <w:tcBorders>
              <w:top w:val="single" w:sz="4" w:space="0" w:color="auto"/>
              <w:left w:val="nil"/>
              <w:bottom w:val="single" w:sz="4" w:space="0" w:color="auto"/>
              <w:right w:val="single" w:sz="4" w:space="0" w:color="000000"/>
            </w:tcBorders>
            <w:vAlign w:val="center"/>
          </w:tcPr>
          <w:p w:rsidR="00F21CAC" w:rsidRDefault="00FA7A1D">
            <w:pPr>
              <w:widowControl/>
              <w:spacing w:line="360" w:lineRule="exact"/>
              <w:ind w:firstLineChars="0" w:firstLine="0"/>
              <w:jc w:val="center"/>
              <w:rPr>
                <w:rFonts w:ascii="仿宋" w:eastAsia="仿宋" w:hAnsi="仿宋" w:cs="宋体"/>
                <w:color w:val="000000"/>
                <w:sz w:val="21"/>
                <w:szCs w:val="21"/>
              </w:rPr>
            </w:pPr>
            <w:r>
              <w:rPr>
                <w:rFonts w:ascii="仿宋" w:eastAsia="仿宋" w:hAnsi="仿宋" w:cs="宋体" w:hint="eastAsia"/>
                <w:color w:val="000000"/>
                <w:sz w:val="21"/>
                <w:szCs w:val="21"/>
              </w:rPr>
              <w:t>合计</w:t>
            </w:r>
          </w:p>
        </w:tc>
        <w:tc>
          <w:tcPr>
            <w:tcW w:w="2855" w:type="dxa"/>
            <w:gridSpan w:val="5"/>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right"/>
              <w:rPr>
                <w:rFonts w:ascii="仿宋" w:eastAsia="仿宋" w:hAnsi="仿宋" w:cs="宋体"/>
                <w:color w:val="000000"/>
                <w:sz w:val="21"/>
                <w:szCs w:val="21"/>
              </w:rPr>
            </w:pPr>
            <w:r>
              <w:rPr>
                <w:rFonts w:ascii="仿宋" w:eastAsia="仿宋" w:hAnsi="仿宋" w:cs="宋体" w:hint="eastAsia"/>
                <w:color w:val="000000"/>
                <w:sz w:val="21"/>
                <w:szCs w:val="21"/>
              </w:rPr>
              <w:t xml:space="preserve">　</w:t>
            </w:r>
          </w:p>
        </w:tc>
        <w:tc>
          <w:tcPr>
            <w:tcW w:w="1069" w:type="dxa"/>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 xml:space="preserve">4500 </w:t>
            </w:r>
          </w:p>
        </w:tc>
      </w:tr>
      <w:tr w:rsidR="00F21CAC">
        <w:trPr>
          <w:trHeight w:val="525"/>
        </w:trPr>
        <w:tc>
          <w:tcPr>
            <w:tcW w:w="9315" w:type="dxa"/>
            <w:gridSpan w:val="12"/>
            <w:tcBorders>
              <w:top w:val="single" w:sz="4" w:space="0" w:color="auto"/>
              <w:left w:val="single" w:sz="4" w:space="0" w:color="auto"/>
              <w:bottom w:val="single" w:sz="4" w:space="0" w:color="auto"/>
              <w:right w:val="single" w:sz="4" w:space="0" w:color="000000"/>
            </w:tcBorders>
            <w:vAlign w:val="center"/>
          </w:tcPr>
          <w:p w:rsidR="00F21CAC" w:rsidRDefault="00FA7A1D">
            <w:pPr>
              <w:widowControl/>
              <w:spacing w:line="360" w:lineRule="exact"/>
              <w:ind w:firstLineChars="0" w:firstLine="0"/>
              <w:jc w:val="center"/>
              <w:rPr>
                <w:rFonts w:ascii="仿宋" w:eastAsia="仿宋" w:hAnsi="仿宋" w:cs="宋体"/>
                <w:b/>
                <w:bCs/>
                <w:sz w:val="21"/>
                <w:szCs w:val="21"/>
              </w:rPr>
            </w:pPr>
            <w:r>
              <w:rPr>
                <w:rFonts w:ascii="仿宋" w:eastAsia="仿宋" w:hAnsi="仿宋" w:cs="宋体" w:hint="eastAsia"/>
                <w:b/>
                <w:bCs/>
                <w:sz w:val="21"/>
                <w:szCs w:val="21"/>
              </w:rPr>
              <w:t>项目实施执行情况</w:t>
            </w:r>
          </w:p>
        </w:tc>
      </w:tr>
      <w:tr w:rsidR="00F21CAC">
        <w:trPr>
          <w:trHeight w:val="525"/>
        </w:trPr>
        <w:tc>
          <w:tcPr>
            <w:tcW w:w="1180" w:type="dxa"/>
            <w:vMerge w:val="restart"/>
            <w:tcBorders>
              <w:top w:val="nil"/>
              <w:left w:val="single" w:sz="4" w:space="0" w:color="auto"/>
              <w:bottom w:val="single" w:sz="4" w:space="0" w:color="000000"/>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 xml:space="preserve">　</w:t>
            </w:r>
          </w:p>
        </w:tc>
        <w:tc>
          <w:tcPr>
            <w:tcW w:w="2867" w:type="dxa"/>
            <w:gridSpan w:val="3"/>
            <w:vMerge w:val="restart"/>
            <w:tcBorders>
              <w:top w:val="single" w:sz="4" w:space="0" w:color="auto"/>
              <w:left w:val="nil"/>
              <w:bottom w:val="single" w:sz="4" w:space="0" w:color="000000"/>
              <w:right w:val="single" w:sz="4" w:space="0" w:color="000000"/>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进度内容</w:t>
            </w:r>
          </w:p>
        </w:tc>
        <w:tc>
          <w:tcPr>
            <w:tcW w:w="5268" w:type="dxa"/>
            <w:gridSpan w:val="8"/>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执行情况</w:t>
            </w:r>
          </w:p>
        </w:tc>
      </w:tr>
      <w:tr w:rsidR="00F21CAC">
        <w:trPr>
          <w:trHeight w:val="525"/>
        </w:trPr>
        <w:tc>
          <w:tcPr>
            <w:tcW w:w="1180" w:type="dxa"/>
            <w:vMerge/>
            <w:tcBorders>
              <w:top w:val="nil"/>
              <w:left w:val="single" w:sz="4" w:space="0" w:color="auto"/>
              <w:bottom w:val="single" w:sz="4" w:space="0" w:color="000000"/>
              <w:right w:val="single" w:sz="4" w:space="0" w:color="auto"/>
            </w:tcBorders>
            <w:vAlign w:val="center"/>
          </w:tcPr>
          <w:p w:rsidR="00F21CAC" w:rsidRDefault="00F21CAC">
            <w:pPr>
              <w:widowControl/>
              <w:ind w:firstLineChars="0" w:firstLine="0"/>
              <w:jc w:val="left"/>
              <w:rPr>
                <w:rFonts w:ascii="仿宋" w:eastAsia="仿宋" w:hAnsi="仿宋" w:cs="宋体"/>
                <w:sz w:val="21"/>
                <w:szCs w:val="21"/>
              </w:rPr>
            </w:pPr>
          </w:p>
        </w:tc>
        <w:tc>
          <w:tcPr>
            <w:tcW w:w="2867" w:type="dxa"/>
            <w:gridSpan w:val="3"/>
            <w:vMerge/>
            <w:tcBorders>
              <w:top w:val="single" w:sz="4" w:space="0" w:color="auto"/>
              <w:left w:val="nil"/>
              <w:bottom w:val="single" w:sz="4" w:space="0" w:color="000000"/>
              <w:right w:val="single" w:sz="4" w:space="0" w:color="000000"/>
            </w:tcBorders>
            <w:vAlign w:val="center"/>
          </w:tcPr>
          <w:p w:rsidR="00F21CAC" w:rsidRDefault="00F21CAC">
            <w:pPr>
              <w:widowControl/>
              <w:ind w:firstLineChars="0" w:firstLine="0"/>
              <w:jc w:val="left"/>
              <w:rPr>
                <w:rFonts w:ascii="仿宋" w:eastAsia="仿宋" w:hAnsi="仿宋" w:cs="宋体"/>
                <w:sz w:val="21"/>
                <w:szCs w:val="21"/>
              </w:rPr>
            </w:pPr>
          </w:p>
        </w:tc>
        <w:tc>
          <w:tcPr>
            <w:tcW w:w="1344"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第一季度</w:t>
            </w:r>
          </w:p>
        </w:tc>
        <w:tc>
          <w:tcPr>
            <w:tcW w:w="1399"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第三季度</w:t>
            </w:r>
          </w:p>
        </w:tc>
        <w:tc>
          <w:tcPr>
            <w:tcW w:w="1162"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第四季度</w:t>
            </w:r>
          </w:p>
        </w:tc>
        <w:tc>
          <w:tcPr>
            <w:tcW w:w="1363"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小计</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41</w:t>
            </w:r>
          </w:p>
        </w:tc>
        <w:tc>
          <w:tcPr>
            <w:tcW w:w="2867"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生态文明建设</w:t>
            </w:r>
          </w:p>
        </w:tc>
        <w:tc>
          <w:tcPr>
            <w:tcW w:w="1344"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249</w:t>
            </w:r>
          </w:p>
        </w:tc>
        <w:tc>
          <w:tcPr>
            <w:tcW w:w="1399"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18.7</w:t>
            </w:r>
          </w:p>
        </w:tc>
        <w:tc>
          <w:tcPr>
            <w:tcW w:w="1162"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85.39</w:t>
            </w:r>
          </w:p>
        </w:tc>
        <w:tc>
          <w:tcPr>
            <w:tcW w:w="1363"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353.09</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42</w:t>
            </w:r>
          </w:p>
        </w:tc>
        <w:tc>
          <w:tcPr>
            <w:tcW w:w="2867"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污染防治</w:t>
            </w:r>
          </w:p>
        </w:tc>
        <w:tc>
          <w:tcPr>
            <w:tcW w:w="1344"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1138.12</w:t>
            </w:r>
          </w:p>
        </w:tc>
        <w:tc>
          <w:tcPr>
            <w:tcW w:w="1399"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732.9</w:t>
            </w:r>
          </w:p>
        </w:tc>
        <w:tc>
          <w:tcPr>
            <w:tcW w:w="1162"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419.15</w:t>
            </w:r>
          </w:p>
        </w:tc>
        <w:tc>
          <w:tcPr>
            <w:tcW w:w="1363"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2290.17</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43</w:t>
            </w:r>
          </w:p>
        </w:tc>
        <w:tc>
          <w:tcPr>
            <w:tcW w:w="2867"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环境管理</w:t>
            </w:r>
          </w:p>
        </w:tc>
        <w:tc>
          <w:tcPr>
            <w:tcW w:w="1344"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1039.28</w:t>
            </w:r>
          </w:p>
        </w:tc>
        <w:tc>
          <w:tcPr>
            <w:tcW w:w="1399"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1128.11</w:t>
            </w:r>
          </w:p>
        </w:tc>
        <w:tc>
          <w:tcPr>
            <w:tcW w:w="1162"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147.35</w:t>
            </w:r>
          </w:p>
        </w:tc>
        <w:tc>
          <w:tcPr>
            <w:tcW w:w="1363"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2314.74</w:t>
            </w:r>
          </w:p>
        </w:tc>
      </w:tr>
      <w:tr w:rsidR="00F21CAC">
        <w:trPr>
          <w:trHeight w:val="525"/>
        </w:trPr>
        <w:tc>
          <w:tcPr>
            <w:tcW w:w="1180" w:type="dxa"/>
            <w:tcBorders>
              <w:top w:val="nil"/>
              <w:left w:val="single" w:sz="4" w:space="0" w:color="auto"/>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44</w:t>
            </w:r>
          </w:p>
        </w:tc>
        <w:tc>
          <w:tcPr>
            <w:tcW w:w="2867" w:type="dxa"/>
            <w:gridSpan w:val="3"/>
            <w:tcBorders>
              <w:top w:val="single" w:sz="4" w:space="0" w:color="auto"/>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合计</w:t>
            </w:r>
          </w:p>
        </w:tc>
        <w:tc>
          <w:tcPr>
            <w:tcW w:w="1344"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2426.4</w:t>
            </w:r>
          </w:p>
        </w:tc>
        <w:tc>
          <w:tcPr>
            <w:tcW w:w="1399"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1879.71</w:t>
            </w:r>
          </w:p>
        </w:tc>
        <w:tc>
          <w:tcPr>
            <w:tcW w:w="1162"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651.89</w:t>
            </w:r>
          </w:p>
        </w:tc>
        <w:tc>
          <w:tcPr>
            <w:tcW w:w="1363" w:type="dxa"/>
            <w:gridSpan w:val="2"/>
            <w:tcBorders>
              <w:top w:val="nil"/>
              <w:left w:val="nil"/>
              <w:bottom w:val="single" w:sz="4" w:space="0" w:color="auto"/>
              <w:right w:val="single" w:sz="4" w:space="0" w:color="auto"/>
            </w:tcBorders>
            <w:vAlign w:val="center"/>
          </w:tcPr>
          <w:p w:rsidR="00F21CAC" w:rsidRDefault="00FA7A1D">
            <w:pPr>
              <w:widowControl/>
              <w:spacing w:line="360" w:lineRule="exact"/>
              <w:ind w:firstLineChars="0" w:firstLine="0"/>
              <w:jc w:val="center"/>
              <w:rPr>
                <w:rFonts w:ascii="仿宋" w:eastAsia="仿宋" w:hAnsi="仿宋" w:cs="宋体"/>
                <w:sz w:val="21"/>
                <w:szCs w:val="21"/>
              </w:rPr>
            </w:pPr>
            <w:r>
              <w:rPr>
                <w:rFonts w:ascii="仿宋" w:eastAsia="仿宋" w:hAnsi="仿宋" w:cs="宋体" w:hint="eastAsia"/>
                <w:sz w:val="21"/>
                <w:szCs w:val="21"/>
              </w:rPr>
              <w:t>4958</w:t>
            </w:r>
          </w:p>
        </w:tc>
      </w:tr>
    </w:tbl>
    <w:p w:rsidR="00F21CAC" w:rsidRDefault="00F21CAC">
      <w:pPr>
        <w:ind w:firstLine="420"/>
        <w:rPr>
          <w:sz w:val="21"/>
          <w:szCs w:val="21"/>
        </w:rPr>
      </w:pPr>
    </w:p>
    <w:p w:rsidR="00F21CAC" w:rsidRDefault="00FA7A1D">
      <w:pPr>
        <w:ind w:firstLine="420"/>
        <w:rPr>
          <w:sz w:val="21"/>
          <w:szCs w:val="21"/>
        </w:rPr>
      </w:pPr>
      <w:r>
        <w:rPr>
          <w:rFonts w:ascii="仿宋_GB2312" w:hint="eastAsia"/>
          <w:sz w:val="21"/>
          <w:szCs w:val="21"/>
        </w:rPr>
        <w:t>注：年度资金安排比预算多</w:t>
      </w:r>
      <w:r>
        <w:rPr>
          <w:rFonts w:hint="eastAsia"/>
          <w:sz w:val="21"/>
          <w:szCs w:val="21"/>
        </w:rPr>
        <w:t>458</w:t>
      </w:r>
      <w:r>
        <w:rPr>
          <w:rFonts w:ascii="仿宋_GB2312" w:hint="eastAsia"/>
          <w:sz w:val="21"/>
          <w:szCs w:val="21"/>
        </w:rPr>
        <w:t>万元，为执法罚没收入统筹使用。</w:t>
      </w:r>
    </w:p>
    <w:p w:rsidR="00F21CAC" w:rsidRDefault="00F21CAC">
      <w:pPr>
        <w:ind w:firstLine="640"/>
        <w:rPr>
          <w:szCs w:val="32"/>
        </w:rPr>
      </w:pPr>
    </w:p>
    <w:p w:rsidR="00F21CAC" w:rsidRDefault="00FA7A1D" w:rsidP="00A01027">
      <w:pPr>
        <w:ind w:firstLineChars="0" w:firstLine="0"/>
        <w:jc w:val="center"/>
        <w:rPr>
          <w:rFonts w:ascii="方正小标宋_GBK" w:eastAsia="方正小标宋_GBK" w:hAnsi="仿宋" w:cs="宋体"/>
          <w:spacing w:val="-4"/>
          <w:sz w:val="44"/>
          <w:szCs w:val="44"/>
        </w:rPr>
      </w:pPr>
      <w:r>
        <w:rPr>
          <w:rFonts w:ascii="方正小标宋_GBK" w:eastAsia="方正小标宋_GBK" w:hAnsi="仿宋" w:cs="宋体" w:hint="eastAsia"/>
          <w:spacing w:val="-4"/>
          <w:sz w:val="44"/>
          <w:szCs w:val="44"/>
        </w:rPr>
        <w:lastRenderedPageBreak/>
        <w:t>2017年常州市市级环保专项资金绩效评价报告</w:t>
      </w:r>
    </w:p>
    <w:p w:rsidR="00F21CAC" w:rsidRDefault="00F21CAC">
      <w:pPr>
        <w:spacing w:line="570" w:lineRule="exact"/>
        <w:ind w:firstLineChars="0" w:firstLine="0"/>
        <w:rPr>
          <w:rFonts w:ascii="仿宋_GB2312"/>
        </w:rPr>
      </w:pPr>
    </w:p>
    <w:p w:rsidR="00F21CAC" w:rsidRDefault="00FA7A1D">
      <w:pPr>
        <w:spacing w:line="520" w:lineRule="exact"/>
        <w:ind w:firstLine="640"/>
        <w:rPr>
          <w:rFonts w:ascii="黑体" w:eastAsia="黑体" w:hAnsi="黑体"/>
        </w:rPr>
      </w:pPr>
      <w:r>
        <w:rPr>
          <w:rFonts w:ascii="黑体" w:eastAsia="黑体" w:hAnsi="黑体" w:hint="eastAsia"/>
        </w:rPr>
        <w:t>一、项目基本情况</w:t>
      </w:r>
    </w:p>
    <w:p w:rsidR="00F21CAC" w:rsidRDefault="00FA7A1D">
      <w:pPr>
        <w:spacing w:line="520" w:lineRule="exact"/>
        <w:ind w:firstLine="560"/>
        <w:rPr>
          <w:rFonts w:ascii="仿宋_GB2312"/>
          <w:sz w:val="28"/>
          <w:szCs w:val="28"/>
        </w:rPr>
      </w:pPr>
      <w:r>
        <w:rPr>
          <w:rFonts w:ascii="仿宋_GB2312" w:hint="eastAsia"/>
          <w:sz w:val="28"/>
          <w:szCs w:val="28"/>
        </w:rPr>
        <w:t>根据《中共中央国务院关于加快生态文明建设的意见》、《国家“十三五”生态环境保护规划》、《常州市国民经济和社会发展第十三个五年规划纲要》、《常州市生态文明建设规划（2011-2020年）》等规定，在全市范围内开展突出以环境质量改善为核心、保障环境安全为重点的生态文明建设、环境污染治理、环境管理等重点环保工作（项目）。</w:t>
      </w:r>
    </w:p>
    <w:p w:rsidR="00F21CAC" w:rsidRDefault="00FA7A1D">
      <w:pPr>
        <w:spacing w:line="520" w:lineRule="exact"/>
        <w:ind w:firstLine="560"/>
        <w:rPr>
          <w:rFonts w:ascii="仿宋_GB2312"/>
          <w:sz w:val="28"/>
          <w:szCs w:val="28"/>
        </w:rPr>
      </w:pPr>
      <w:r>
        <w:rPr>
          <w:rFonts w:ascii="仿宋_GB2312" w:hint="eastAsia"/>
          <w:sz w:val="28"/>
          <w:szCs w:val="28"/>
        </w:rPr>
        <w:t>我局主要根据《常州市市级环境保护专项资金管理办法》（常财规〔2015〕7号）、《市环保局关于进一步加强各级环保专项资金使用管理的通知》（常环规财〔2016〕30号）、《常州市环境保护局自行采购管理办法》（常财规〔2017〕60号）等文件要求，组织开展资金项目申报、专家咨询（论证）、项目下达、项目实施、项目验收和绩效评价等工作。</w:t>
      </w:r>
    </w:p>
    <w:p w:rsidR="00F21CAC" w:rsidRDefault="00FA7A1D">
      <w:pPr>
        <w:spacing w:line="520" w:lineRule="exact"/>
        <w:ind w:firstLine="560"/>
        <w:rPr>
          <w:rFonts w:ascii="仿宋_GB2312" w:hAnsi="楷体" w:cs="Arial"/>
          <w:kern w:val="0"/>
          <w:sz w:val="28"/>
          <w:szCs w:val="28"/>
        </w:rPr>
      </w:pPr>
      <w:r>
        <w:rPr>
          <w:rFonts w:ascii="仿宋_GB2312" w:hAnsi="楷体" w:cs="Arial" w:hint="eastAsia"/>
          <w:kern w:val="0"/>
          <w:sz w:val="28"/>
          <w:szCs w:val="28"/>
        </w:rPr>
        <w:t>1.项目立项情况</w:t>
      </w:r>
    </w:p>
    <w:p w:rsidR="00F21CAC" w:rsidRDefault="00FA7A1D">
      <w:pPr>
        <w:spacing w:line="520" w:lineRule="exact"/>
        <w:ind w:firstLine="560"/>
        <w:rPr>
          <w:rFonts w:ascii="仿宋_GB2312"/>
          <w:sz w:val="28"/>
          <w:szCs w:val="28"/>
        </w:rPr>
      </w:pPr>
      <w:r>
        <w:rPr>
          <w:rFonts w:ascii="仿宋_GB2312" w:hAnsi="宋体" w:cs="Arial" w:hint="eastAsia"/>
          <w:kern w:val="0"/>
          <w:sz w:val="28"/>
          <w:szCs w:val="28"/>
        </w:rPr>
        <w:t>根据各辖区、局各业务部门的项目申报审核情况，择优筛选示范引领、环境质量改善明显资金项目，会同财政部门对初步申报项目进行会商，并组织第三方对申报项目实施专家评审。根据专家技术审核意见，对项目进行整合、优化，形成年度资金项目预算安排方案，经研究，确定立项并向市财政报送预算方案。</w:t>
      </w:r>
    </w:p>
    <w:p w:rsidR="00F21CAC" w:rsidRDefault="00FA7A1D">
      <w:pPr>
        <w:spacing w:line="520" w:lineRule="exact"/>
        <w:ind w:firstLine="560"/>
        <w:rPr>
          <w:rFonts w:ascii="仿宋_GB2312" w:hAnsi="楷体" w:cs="Arial"/>
          <w:kern w:val="0"/>
          <w:sz w:val="28"/>
          <w:szCs w:val="28"/>
        </w:rPr>
      </w:pPr>
      <w:r>
        <w:rPr>
          <w:rFonts w:ascii="仿宋_GB2312" w:hAnsi="楷体" w:cs="Arial" w:hint="eastAsia"/>
          <w:kern w:val="0"/>
          <w:sz w:val="28"/>
          <w:szCs w:val="28"/>
        </w:rPr>
        <w:t>2.项目实施情况</w:t>
      </w:r>
    </w:p>
    <w:p w:rsidR="00F21CAC" w:rsidRDefault="00FA7A1D">
      <w:pPr>
        <w:spacing w:line="520" w:lineRule="exact"/>
        <w:ind w:firstLine="560"/>
        <w:rPr>
          <w:rFonts w:ascii="仿宋_GB2312" w:hAnsi="仿宋"/>
          <w:color w:val="000000"/>
          <w:sz w:val="28"/>
          <w:szCs w:val="28"/>
          <w:shd w:val="clear" w:color="auto" w:fill="FFFFFF"/>
        </w:rPr>
      </w:pPr>
      <w:r>
        <w:rPr>
          <w:rFonts w:ascii="仿宋_GB2312" w:hAnsi="仿宋" w:hint="eastAsia"/>
          <w:color w:val="000000"/>
          <w:sz w:val="28"/>
          <w:szCs w:val="28"/>
          <w:shd w:val="clear" w:color="auto" w:fill="FFFFFF"/>
        </w:rPr>
        <w:t>2017年，我局高度重视环保专项资金管理工作，充分发挥专项资金引导、支撑和保障作用，注重环保专项资金统筹安排，在全市生态文明建设、污染治理设施建设、环境监管能力等方面发挥了较大作用，促进了全</w:t>
      </w:r>
      <w:r>
        <w:rPr>
          <w:rFonts w:ascii="仿宋_GB2312" w:hAnsi="仿宋" w:hint="eastAsia"/>
          <w:color w:val="000000"/>
          <w:sz w:val="28"/>
          <w:szCs w:val="28"/>
          <w:shd w:val="clear" w:color="auto" w:fill="FFFFFF"/>
        </w:rPr>
        <w:lastRenderedPageBreak/>
        <w:t>市环境质量持续改善和全市经济可持续发展。</w:t>
      </w:r>
    </w:p>
    <w:p w:rsidR="00F21CAC" w:rsidRDefault="00FA7A1D">
      <w:pPr>
        <w:spacing w:line="520" w:lineRule="exact"/>
        <w:ind w:firstLine="560"/>
        <w:rPr>
          <w:rFonts w:ascii="仿宋_GB2312"/>
          <w:sz w:val="28"/>
          <w:szCs w:val="28"/>
        </w:rPr>
      </w:pPr>
      <w:r>
        <w:rPr>
          <w:rFonts w:ascii="仿宋_GB2312" w:hAnsi="宋体" w:cs="Arial" w:hint="eastAsia"/>
          <w:kern w:val="0"/>
          <w:sz w:val="28"/>
          <w:szCs w:val="28"/>
        </w:rPr>
        <w:t>项目实施实行地属地管理。各辖区项目由所在地环保部门组织推进并负责项目绩效确认和项目验收工作。局本级项目，由局相关处室负责按实施方案要求指导并监督承担单位开展项目建设；项目完工后，负责项目验收和绩效评价确认。2017</w:t>
      </w:r>
      <w:r>
        <w:rPr>
          <w:rFonts w:ascii="仿宋_GB2312" w:hAnsi="仿宋" w:hint="eastAsia"/>
          <w:color w:val="000000"/>
          <w:sz w:val="28"/>
          <w:szCs w:val="28"/>
          <w:shd w:val="clear" w:color="auto" w:fill="FFFFFF"/>
        </w:rPr>
        <w:t>年，实施资金项目71个，组织实施政府采购项目16个，其中政府平台6个、自行采购10个。</w:t>
      </w:r>
      <w:r>
        <w:rPr>
          <w:rFonts w:ascii="仿宋_GB2312" w:hAnsi="宋体" w:cs="Arial" w:hint="eastAsia"/>
          <w:kern w:val="0"/>
          <w:sz w:val="28"/>
          <w:szCs w:val="28"/>
        </w:rPr>
        <w:t>目前，局本级已有90%以上项目完成验收和评价工作。</w:t>
      </w:r>
    </w:p>
    <w:p w:rsidR="00F21CAC" w:rsidRDefault="00FA7A1D">
      <w:pPr>
        <w:spacing w:line="520" w:lineRule="exact"/>
        <w:ind w:firstLine="560"/>
        <w:rPr>
          <w:rFonts w:ascii="仿宋_GB2312" w:hAnsi="楷体" w:cs="Arial"/>
          <w:kern w:val="0"/>
          <w:sz w:val="28"/>
          <w:szCs w:val="28"/>
        </w:rPr>
      </w:pPr>
      <w:r>
        <w:rPr>
          <w:rFonts w:ascii="仿宋_GB2312" w:hAnsi="楷体" w:cs="Arial" w:hint="eastAsia"/>
          <w:kern w:val="0"/>
          <w:sz w:val="28"/>
          <w:szCs w:val="28"/>
        </w:rPr>
        <w:t>3.项目经费来源及使用情况</w:t>
      </w:r>
    </w:p>
    <w:p w:rsidR="00F21CAC" w:rsidRDefault="00FA7A1D">
      <w:pPr>
        <w:spacing w:line="520" w:lineRule="exact"/>
        <w:ind w:firstLine="560"/>
        <w:rPr>
          <w:rFonts w:ascii="仿宋_GB2312" w:hAnsi="仿宋"/>
          <w:color w:val="000000"/>
          <w:sz w:val="28"/>
          <w:szCs w:val="28"/>
          <w:shd w:val="clear" w:color="auto" w:fill="FFFFFF"/>
        </w:rPr>
      </w:pPr>
      <w:r>
        <w:rPr>
          <w:rFonts w:ascii="仿宋_GB2312" w:hAnsi="仿宋" w:hint="eastAsia"/>
          <w:color w:val="000000"/>
          <w:sz w:val="28"/>
          <w:szCs w:val="28"/>
          <w:shd w:val="clear" w:color="auto" w:fill="FFFFFF"/>
        </w:rPr>
        <w:t>2017年，先后下达市级环保专项资金4958万元，其中年度预算4500万元、执法罚没收入458万元，分别用于生态文明建设353.09万元、污染治理设施建设2290.17万元、环境监管能力2314.74万元。目前，实际执行4863.2万元，资金到位率为100%，预算执行率为108.7%。</w:t>
      </w:r>
    </w:p>
    <w:p w:rsidR="00F21CAC" w:rsidRDefault="00FA7A1D">
      <w:pPr>
        <w:spacing w:line="520" w:lineRule="exact"/>
        <w:ind w:firstLine="640"/>
        <w:rPr>
          <w:rFonts w:ascii="黑体" w:eastAsia="黑体" w:hAnsi="黑体"/>
        </w:rPr>
      </w:pPr>
      <w:r>
        <w:rPr>
          <w:rFonts w:ascii="黑体" w:eastAsia="黑体" w:hAnsi="黑体" w:hint="eastAsia"/>
        </w:rPr>
        <w:t>二、绩效评价及分析</w:t>
      </w:r>
    </w:p>
    <w:p w:rsidR="00F21CAC" w:rsidRDefault="00FA7A1D">
      <w:pPr>
        <w:spacing w:line="520" w:lineRule="exact"/>
        <w:ind w:firstLine="560"/>
        <w:rPr>
          <w:rFonts w:ascii="楷体" w:eastAsia="楷体" w:hAnsi="楷体" w:cs="Arial"/>
          <w:kern w:val="0"/>
          <w:sz w:val="28"/>
          <w:szCs w:val="28"/>
        </w:rPr>
      </w:pPr>
      <w:r>
        <w:rPr>
          <w:rFonts w:ascii="楷体" w:eastAsia="楷体" w:hAnsi="楷体" w:cs="Arial" w:hint="eastAsia"/>
          <w:kern w:val="0"/>
          <w:sz w:val="28"/>
          <w:szCs w:val="28"/>
        </w:rPr>
        <w:t>1.评价目的</w:t>
      </w:r>
    </w:p>
    <w:p w:rsidR="00F21CAC" w:rsidRDefault="00FA7A1D">
      <w:pPr>
        <w:spacing w:line="520" w:lineRule="exact"/>
        <w:ind w:firstLine="560"/>
        <w:rPr>
          <w:rFonts w:ascii="仿宋_GB2312" w:hAnsi="仿宋"/>
          <w:color w:val="000000"/>
          <w:sz w:val="28"/>
          <w:szCs w:val="28"/>
          <w:shd w:val="clear" w:color="auto" w:fill="FFFFFF"/>
        </w:rPr>
      </w:pPr>
      <w:r>
        <w:rPr>
          <w:rFonts w:ascii="仿宋_GB2312" w:hAnsi="仿宋" w:hint="eastAsia"/>
          <w:color w:val="000000"/>
          <w:sz w:val="28"/>
          <w:szCs w:val="28"/>
          <w:shd w:val="clear" w:color="auto" w:fill="FFFFFF"/>
        </w:rPr>
        <w:t>为加强我局部门财政资金管理，强化支出责任和效率意识，建立科学、合理的财政支出绩效评价管理体系，提高本部门财政资金的使用效益，根据财政部《财政支出绩效评价管理暂行办法》、《关于推进预算绩效管理的指导意见》（财预〔2011〕416号）和市财政局《关于做好2017年度市级预算绩效管理项目评价工作的通知》（常财绩〔2018〕11号）等文件精神，开展市级环保专项资金项目绩效评价工作。</w:t>
      </w:r>
    </w:p>
    <w:p w:rsidR="00F21CAC" w:rsidRDefault="00FA7A1D">
      <w:pPr>
        <w:spacing w:line="520" w:lineRule="exact"/>
        <w:ind w:firstLine="560"/>
        <w:rPr>
          <w:rFonts w:ascii="楷体" w:eastAsia="楷体" w:hAnsi="楷体" w:cs="Arial"/>
          <w:kern w:val="0"/>
          <w:sz w:val="28"/>
          <w:szCs w:val="28"/>
        </w:rPr>
      </w:pPr>
      <w:r>
        <w:rPr>
          <w:rFonts w:ascii="楷体" w:eastAsia="楷体" w:hAnsi="楷体" w:cs="Arial" w:hint="eastAsia"/>
          <w:kern w:val="0"/>
          <w:sz w:val="28"/>
          <w:szCs w:val="28"/>
        </w:rPr>
        <w:t>2.评价工作组织实施</w:t>
      </w:r>
    </w:p>
    <w:p w:rsidR="00F21CAC" w:rsidRDefault="00FA7A1D">
      <w:pPr>
        <w:spacing w:line="520" w:lineRule="exact"/>
        <w:ind w:firstLine="560"/>
        <w:rPr>
          <w:rFonts w:ascii="仿宋_GB2312" w:hAnsi="仿宋"/>
          <w:color w:val="000000"/>
          <w:sz w:val="28"/>
          <w:szCs w:val="28"/>
          <w:shd w:val="clear" w:color="auto" w:fill="FFFFFF"/>
        </w:rPr>
      </w:pPr>
      <w:r>
        <w:rPr>
          <w:rFonts w:ascii="仿宋_GB2312" w:hAnsi="仿宋" w:hint="eastAsia"/>
          <w:color w:val="000000"/>
          <w:sz w:val="28"/>
          <w:szCs w:val="28"/>
          <w:shd w:val="clear" w:color="auto" w:fill="FFFFFF"/>
        </w:rPr>
        <w:t>根据市财政局《关于做好2017年度市级预算绩效管理项目</w:t>
      </w:r>
    </w:p>
    <w:p w:rsidR="00F21CAC" w:rsidRDefault="00FA7A1D">
      <w:pPr>
        <w:spacing w:line="520" w:lineRule="exact"/>
        <w:ind w:firstLine="560"/>
        <w:rPr>
          <w:rFonts w:ascii="仿宋_GB2312" w:hAnsi="仿宋"/>
          <w:color w:val="000000"/>
          <w:sz w:val="28"/>
          <w:szCs w:val="28"/>
          <w:shd w:val="clear" w:color="auto" w:fill="FFFFFF"/>
        </w:rPr>
      </w:pPr>
      <w:r>
        <w:rPr>
          <w:rFonts w:ascii="仿宋_GB2312" w:hAnsi="仿宋" w:hint="eastAsia"/>
          <w:color w:val="000000"/>
          <w:sz w:val="28"/>
          <w:szCs w:val="28"/>
          <w:shd w:val="clear" w:color="auto" w:fill="FFFFFF"/>
        </w:rPr>
        <w:t>评价工作的通知》（常财绩〔2018〕11号）要求，2017年度环保专项资金绩效评价工作由我局自行组织，进入预算绩效管理信息系统实施。</w:t>
      </w:r>
      <w:r>
        <w:rPr>
          <w:rFonts w:ascii="仿宋_GB2312" w:hAnsi="仿宋" w:hint="eastAsia"/>
          <w:color w:val="000000"/>
          <w:sz w:val="28"/>
          <w:szCs w:val="28"/>
          <w:shd w:val="clear" w:color="auto" w:fill="FFFFFF"/>
        </w:rPr>
        <w:lastRenderedPageBreak/>
        <w:t>期间，通过会议布置、数据收集与审核、座谈讨论等环节，对汇总信息进行综合分析后，填报管理信息系统。满意度调查不超过三年，参用上年度调查结果。</w:t>
      </w:r>
    </w:p>
    <w:p w:rsidR="00F21CAC" w:rsidRDefault="00FA7A1D">
      <w:pPr>
        <w:spacing w:line="520" w:lineRule="exact"/>
        <w:ind w:firstLine="560"/>
        <w:rPr>
          <w:rFonts w:ascii="楷体" w:eastAsia="楷体" w:hAnsi="楷体" w:cs="Arial"/>
          <w:kern w:val="0"/>
          <w:sz w:val="28"/>
          <w:szCs w:val="28"/>
        </w:rPr>
      </w:pPr>
      <w:r>
        <w:rPr>
          <w:rFonts w:ascii="楷体" w:eastAsia="楷体" w:hAnsi="楷体" w:cs="Arial" w:hint="eastAsia"/>
          <w:kern w:val="0"/>
          <w:sz w:val="28"/>
          <w:szCs w:val="28"/>
        </w:rPr>
        <w:t>3.评价结果</w:t>
      </w:r>
    </w:p>
    <w:p w:rsidR="00F21CAC" w:rsidRDefault="00FA7A1D">
      <w:pPr>
        <w:spacing w:line="520" w:lineRule="exact"/>
        <w:ind w:firstLine="560"/>
        <w:rPr>
          <w:rFonts w:ascii="仿宋_GB2312" w:hAnsi="仿宋"/>
          <w:color w:val="000000"/>
          <w:sz w:val="28"/>
          <w:szCs w:val="28"/>
          <w:shd w:val="clear" w:color="auto" w:fill="FFFFFF"/>
        </w:rPr>
      </w:pPr>
      <w:r>
        <w:rPr>
          <w:rFonts w:ascii="仿宋_GB2312" w:hAnsi="仿宋" w:hint="eastAsia"/>
          <w:color w:val="000000"/>
          <w:sz w:val="28"/>
          <w:szCs w:val="28"/>
          <w:shd w:val="clear" w:color="auto" w:fill="FFFFFF"/>
        </w:rPr>
        <w:t>经系统分析，市级环保专项项目绩效评价为优秀，总得分为97.96分。</w:t>
      </w:r>
    </w:p>
    <w:p w:rsidR="00F21CAC" w:rsidRDefault="00FA7A1D">
      <w:pPr>
        <w:spacing w:line="520" w:lineRule="exact"/>
        <w:ind w:firstLine="560"/>
        <w:rPr>
          <w:rFonts w:ascii="仿宋_GB2312" w:hAnsi="宋体" w:cs="Arial"/>
          <w:kern w:val="0"/>
          <w:sz w:val="28"/>
          <w:szCs w:val="28"/>
        </w:rPr>
      </w:pPr>
      <w:r>
        <w:rPr>
          <w:rFonts w:ascii="仿宋_GB2312" w:hAnsi="宋体" w:cs="Arial" w:hint="eastAsia"/>
          <w:kern w:val="0"/>
          <w:sz w:val="28"/>
          <w:szCs w:val="28"/>
        </w:rPr>
        <w:t>项目投入与管理类得分为29.88，得分率为99.6%。根据完成情况来看：年度资金落实到位，执行率比较高，未有节约；同时，使用年度环境罚没收入458万元，也已执行到位；资金管理制度日趋健全，年度印制管理措施文件4份，及时组织开展了存在问题和不足的整改工作；资金管理过程规范，结果可控。</w:t>
      </w:r>
    </w:p>
    <w:p w:rsidR="00F21CAC" w:rsidRDefault="00FA7A1D">
      <w:pPr>
        <w:spacing w:line="520" w:lineRule="exact"/>
        <w:ind w:firstLine="560"/>
        <w:rPr>
          <w:rFonts w:ascii="仿宋_GB2312" w:hAnsi="宋体" w:cs="Arial"/>
          <w:kern w:val="0"/>
          <w:sz w:val="28"/>
          <w:szCs w:val="28"/>
        </w:rPr>
      </w:pPr>
      <w:r>
        <w:rPr>
          <w:rFonts w:ascii="仿宋_GB2312" w:hAnsi="宋体" w:cs="Arial" w:hint="eastAsia"/>
          <w:kern w:val="0"/>
          <w:sz w:val="28"/>
          <w:szCs w:val="28"/>
        </w:rPr>
        <w:t>项目产出类得分为34.95，得分率为99.85%。根据完成情况来看：年度所有项目的产出数量基本全部实现；期间，进行绩效目标调整并获得批准，产出数量也已实现。</w:t>
      </w:r>
    </w:p>
    <w:p w:rsidR="00F21CAC" w:rsidRDefault="00FA7A1D">
      <w:pPr>
        <w:spacing w:line="520" w:lineRule="exact"/>
        <w:ind w:firstLine="560"/>
        <w:rPr>
          <w:rFonts w:ascii="仿宋_GB2312" w:hAnsi="宋体" w:cs="Arial"/>
          <w:kern w:val="0"/>
          <w:sz w:val="28"/>
          <w:szCs w:val="28"/>
        </w:rPr>
      </w:pPr>
      <w:r>
        <w:rPr>
          <w:rFonts w:ascii="仿宋_GB2312" w:hAnsi="宋体" w:cs="Arial" w:hint="eastAsia"/>
          <w:kern w:val="0"/>
          <w:sz w:val="28"/>
          <w:szCs w:val="28"/>
        </w:rPr>
        <w:t xml:space="preserve">项目效果类得分为23.91，得分率为95.64%。根据完成情况来看：根据省和市相关通报显示，年度空气、水和土壤环境质量较上一年度有较大改善，资金效果比较明显。但环境质量改善除持续的财政资金投入外，还需要体制机制改革不断深入、多部门形成合力、全区域加强环境污染治理和执法监督、规范排污企业管理等多方面因素起作用，才能保证全市生态环境质量得到持续改善。 </w:t>
      </w:r>
    </w:p>
    <w:p w:rsidR="00F21CAC" w:rsidRDefault="00FA7A1D">
      <w:pPr>
        <w:spacing w:line="520" w:lineRule="exact"/>
        <w:ind w:firstLine="560"/>
        <w:rPr>
          <w:rFonts w:ascii="仿宋_GB2312" w:hAnsi="宋体" w:cs="Arial"/>
          <w:kern w:val="0"/>
          <w:sz w:val="28"/>
          <w:szCs w:val="28"/>
        </w:rPr>
      </w:pPr>
      <w:r>
        <w:rPr>
          <w:rFonts w:ascii="仿宋_GB2312" w:hAnsi="宋体" w:cs="Arial" w:hint="eastAsia"/>
          <w:kern w:val="0"/>
          <w:sz w:val="28"/>
          <w:szCs w:val="28"/>
        </w:rPr>
        <w:t>项目满意度得分为9.22，得分率为92.2%（为2016年度调查数据）。</w:t>
      </w:r>
    </w:p>
    <w:p w:rsidR="00F21CAC" w:rsidRDefault="00FA7A1D">
      <w:pPr>
        <w:spacing w:line="520" w:lineRule="exact"/>
        <w:ind w:firstLine="640"/>
        <w:rPr>
          <w:rFonts w:ascii="黑体" w:eastAsia="黑体" w:hAnsi="黑体"/>
        </w:rPr>
      </w:pPr>
      <w:r>
        <w:rPr>
          <w:rFonts w:ascii="黑体" w:eastAsia="黑体" w:hAnsi="黑体" w:hint="eastAsia"/>
        </w:rPr>
        <w:t>三、主要经验或业绩</w:t>
      </w:r>
    </w:p>
    <w:p w:rsidR="00F21CAC" w:rsidRDefault="00FA7A1D">
      <w:pPr>
        <w:spacing w:line="520" w:lineRule="exact"/>
        <w:ind w:firstLine="560"/>
        <w:rPr>
          <w:rFonts w:ascii="仿宋_GB2312" w:hAnsi="宋体" w:cs="Arial"/>
          <w:kern w:val="0"/>
          <w:sz w:val="28"/>
          <w:szCs w:val="28"/>
        </w:rPr>
      </w:pPr>
      <w:r>
        <w:rPr>
          <w:rFonts w:ascii="仿宋_GB2312" w:hAnsi="宋体" w:cs="Arial" w:hint="eastAsia"/>
          <w:kern w:val="0"/>
          <w:sz w:val="28"/>
          <w:szCs w:val="28"/>
        </w:rPr>
        <w:t>近年来，我们始终注重用“法”、用“规”来管理财务活动，实现资金使用和管理全过程规范化、痕迹化。一是坚持党组理财、法人负责抓资</w:t>
      </w:r>
      <w:r>
        <w:rPr>
          <w:rFonts w:ascii="仿宋_GB2312" w:hAnsi="宋体" w:cs="Arial" w:hint="eastAsia"/>
          <w:kern w:val="0"/>
          <w:sz w:val="28"/>
          <w:szCs w:val="28"/>
        </w:rPr>
        <w:lastRenderedPageBreak/>
        <w:t>金监管决策。</w:t>
      </w:r>
      <w:r w:rsidR="006D4B04">
        <w:rPr>
          <w:rFonts w:ascii="仿宋_GB2312" w:hAnsi="宋体" w:cs="Arial" w:hint="eastAsia"/>
          <w:kern w:val="0"/>
          <w:sz w:val="28"/>
          <w:szCs w:val="28"/>
        </w:rPr>
        <w:t>把资金监管作为党组日常工作中一项重要工作来抓，全面贯彻落实中央</w:t>
      </w:r>
      <w:r>
        <w:rPr>
          <w:rFonts w:ascii="仿宋_GB2312" w:hAnsi="宋体" w:cs="Arial" w:hint="eastAsia"/>
          <w:kern w:val="0"/>
          <w:sz w:val="28"/>
          <w:szCs w:val="28"/>
        </w:rPr>
        <w:t>八项规定和“三重一大”制度。二是坚持完善制度抓资金监管过程。先后完善制订了项目申报指南发布、项目库及专家库管理、自行采购和资金项目管理等规章制度，对资金监管过程进行细化、固化，将过去直接向企业拨付补助款方式，变更为由各级财政转付，杜绝资金拨付等环节滋生腐败问题。三是坚持督查检查抓资金预算执行。结合省委、市委巡察和专项审计、专项督查等时机，针对存在问题做到立行立改、快速落实；推进落实资金项目季报制度，跟踪评价资金效益，着力提升预算执行力。</w:t>
      </w:r>
    </w:p>
    <w:p w:rsidR="00F21CAC" w:rsidRDefault="00FA7A1D">
      <w:pPr>
        <w:spacing w:line="520" w:lineRule="exact"/>
        <w:ind w:firstLine="640"/>
        <w:rPr>
          <w:rFonts w:ascii="黑体" w:eastAsia="黑体" w:hAnsi="黑体"/>
        </w:rPr>
      </w:pPr>
      <w:r>
        <w:rPr>
          <w:rFonts w:ascii="黑体" w:eastAsia="黑体" w:hAnsi="黑体" w:hint="eastAsia"/>
        </w:rPr>
        <w:t>四、存在的主要问题与不足</w:t>
      </w:r>
    </w:p>
    <w:p w:rsidR="00F21CAC" w:rsidRDefault="00FA7A1D">
      <w:pPr>
        <w:spacing w:line="520" w:lineRule="exact"/>
        <w:ind w:firstLine="560"/>
        <w:rPr>
          <w:rFonts w:ascii="仿宋_GB2312" w:hAnsi="宋体" w:cs="Arial"/>
          <w:kern w:val="0"/>
          <w:sz w:val="28"/>
          <w:szCs w:val="28"/>
        </w:rPr>
      </w:pPr>
      <w:r>
        <w:rPr>
          <w:rFonts w:ascii="仿宋_GB2312" w:hAnsi="宋体" w:cs="Arial" w:hint="eastAsia"/>
          <w:kern w:val="0"/>
          <w:sz w:val="28"/>
          <w:szCs w:val="28"/>
        </w:rPr>
        <w:t>从项目的实施情况看，存在的主要不足表现为：一是绩效目标设置精准性有待提高。个别项目目的和需求表述不够清晰，绩效目标设置不够精准，能量化的没有量化。二是项目执行安排合理性有待提高。2017年，个别项目执行安排不够合理，对需要政府采购的项目，没能统筹考虑，又因采购周期较长，导致个别项目资金拨付较慢。</w:t>
      </w:r>
    </w:p>
    <w:p w:rsidR="00F21CAC" w:rsidRDefault="00FA7A1D">
      <w:pPr>
        <w:spacing w:line="520" w:lineRule="exact"/>
        <w:ind w:firstLine="640"/>
        <w:rPr>
          <w:rFonts w:ascii="黑体" w:eastAsia="黑体" w:hAnsi="黑体"/>
        </w:rPr>
      </w:pPr>
      <w:r>
        <w:rPr>
          <w:rFonts w:ascii="黑体" w:eastAsia="黑体" w:hAnsi="黑体" w:hint="eastAsia"/>
        </w:rPr>
        <w:t>五、改进举措和建议</w:t>
      </w:r>
    </w:p>
    <w:p w:rsidR="00F21CAC" w:rsidRDefault="00FA7A1D">
      <w:pPr>
        <w:spacing w:line="520" w:lineRule="exact"/>
        <w:ind w:firstLine="640"/>
        <w:rPr>
          <w:rFonts w:ascii="仿宋_GB2312" w:hAnsi="宋体" w:cs="Arial"/>
          <w:kern w:val="0"/>
          <w:sz w:val="28"/>
          <w:szCs w:val="28"/>
        </w:rPr>
      </w:pPr>
      <w:r>
        <w:rPr>
          <w:rFonts w:ascii="楷体" w:eastAsia="楷体" w:hAnsi="楷体" w:cs="Arial" w:hint="eastAsia"/>
          <w:kern w:val="0"/>
        </w:rPr>
        <w:t>1.</w:t>
      </w:r>
      <w:r>
        <w:rPr>
          <w:rFonts w:ascii="楷体" w:eastAsia="楷体" w:hAnsi="楷体" w:cs="Arial" w:hint="eastAsia"/>
          <w:kern w:val="0"/>
          <w:sz w:val="28"/>
          <w:szCs w:val="28"/>
        </w:rPr>
        <w:t>预算安排和执行方面。</w:t>
      </w:r>
      <w:r>
        <w:rPr>
          <w:rFonts w:ascii="仿宋_GB2312" w:hAnsi="宋体" w:cs="Arial" w:hint="eastAsia"/>
          <w:kern w:val="0"/>
          <w:sz w:val="28"/>
          <w:szCs w:val="28"/>
        </w:rPr>
        <w:t>一是尽早全盘谋划年度资金预算安排。结合年度重点目标任务，尽早组织项目申报，筛选优质项目；二是合理分批安排项目，尽可能把需政府采购及时间紧任务急的项目靠前安排，提高项目执行率；三是加强部门合作。各级环保和财政部门要通力合作，定期沟通资金项目进展和资金拨付情况，完善机制，及时拨付项目资金，尽早发挥资金效益。</w:t>
      </w:r>
    </w:p>
    <w:p w:rsidR="00F21CAC" w:rsidRDefault="00FA7A1D">
      <w:pPr>
        <w:spacing w:line="520" w:lineRule="exact"/>
        <w:ind w:firstLine="560"/>
        <w:rPr>
          <w:rFonts w:ascii="仿宋_GB2312" w:hAnsi="宋体" w:cs="Arial"/>
          <w:kern w:val="0"/>
          <w:sz w:val="28"/>
          <w:szCs w:val="28"/>
        </w:rPr>
      </w:pPr>
      <w:r>
        <w:rPr>
          <w:rFonts w:ascii="楷体" w:eastAsia="楷体" w:hAnsi="楷体" w:cs="Arial" w:hint="eastAsia"/>
          <w:kern w:val="0"/>
          <w:sz w:val="28"/>
          <w:szCs w:val="28"/>
        </w:rPr>
        <w:t>2.制度建设方面。</w:t>
      </w:r>
      <w:r>
        <w:rPr>
          <w:rFonts w:ascii="仿宋_GB2312" w:hAnsi="宋体" w:cs="Arial" w:hint="eastAsia"/>
          <w:kern w:val="0"/>
          <w:sz w:val="28"/>
          <w:szCs w:val="28"/>
        </w:rPr>
        <w:t>在严格执行《市级环保专项资金管理办法》等现有资金管理制度、规定、措施的基础上，2018年度将着重抓好重大项目进展和资金执行季度制度，及时了解项目建设状况，解决存在问题，改进管</w:t>
      </w:r>
      <w:r>
        <w:rPr>
          <w:rFonts w:ascii="仿宋_GB2312" w:hAnsi="宋体" w:cs="Arial" w:hint="eastAsia"/>
          <w:kern w:val="0"/>
          <w:sz w:val="28"/>
          <w:szCs w:val="28"/>
        </w:rPr>
        <w:lastRenderedPageBreak/>
        <w:t>理措施，提高资金效益。</w:t>
      </w:r>
    </w:p>
    <w:p w:rsidR="00F21CAC" w:rsidRDefault="00FA7A1D">
      <w:pPr>
        <w:spacing w:line="520" w:lineRule="exact"/>
        <w:ind w:firstLine="560"/>
        <w:rPr>
          <w:rFonts w:ascii="仿宋_GB2312" w:hAnsi="宋体" w:cs="Arial"/>
          <w:kern w:val="0"/>
          <w:sz w:val="28"/>
          <w:szCs w:val="28"/>
        </w:rPr>
      </w:pPr>
      <w:r>
        <w:rPr>
          <w:rFonts w:ascii="楷体" w:eastAsia="楷体" w:hAnsi="楷体" w:cs="Arial" w:hint="eastAsia"/>
          <w:kern w:val="0"/>
          <w:sz w:val="28"/>
          <w:szCs w:val="28"/>
        </w:rPr>
        <w:t>3.项目管理方面。</w:t>
      </w:r>
      <w:r>
        <w:rPr>
          <w:rFonts w:ascii="仿宋_GB2312" w:hAnsi="宋体" w:cs="Arial" w:hint="eastAsia"/>
          <w:kern w:val="0"/>
          <w:sz w:val="28"/>
          <w:szCs w:val="28"/>
        </w:rPr>
        <w:t>一是严格项目申报筛选把关，确保将推进落实年度重点环保目标任务、省市明确要求、生态环境质量改善明显、民众普通关注等的环保项目纳入年度预算安排；二是加强监督跟踪指导，进一步强化责任和管理意识，引导项目申报部门加强项目跟踪和指导，主动服务，及时解决存在问题，加快项目推进；三是做好项目验收和绩效评估，项目完工后，项目申报部门要及时按程序组织项目验收和绩效确认，并注重引导结果运用，不断巩固项目管理成果。</w:t>
      </w:r>
    </w:p>
    <w:p w:rsidR="00F21CAC" w:rsidRDefault="00FA7A1D">
      <w:pPr>
        <w:spacing w:line="520" w:lineRule="exact"/>
        <w:ind w:firstLine="560"/>
        <w:rPr>
          <w:rFonts w:ascii="仿宋_GB2312" w:hAnsi="宋体" w:cs="Arial"/>
          <w:kern w:val="0"/>
          <w:sz w:val="28"/>
          <w:szCs w:val="28"/>
        </w:rPr>
      </w:pPr>
      <w:r>
        <w:rPr>
          <w:rFonts w:ascii="楷体" w:eastAsia="楷体" w:hAnsi="楷体" w:cs="Arial" w:hint="eastAsia"/>
          <w:kern w:val="0"/>
          <w:sz w:val="28"/>
          <w:szCs w:val="28"/>
        </w:rPr>
        <w:t>4.资金管理方面。</w:t>
      </w:r>
      <w:r>
        <w:rPr>
          <w:rFonts w:ascii="仿宋_GB2312" w:hAnsi="宋体" w:cs="Arial" w:hint="eastAsia"/>
          <w:kern w:val="0"/>
          <w:sz w:val="28"/>
          <w:szCs w:val="28"/>
        </w:rPr>
        <w:t>一是严格政府采购管理规定，明确只要符合要求的一律按要求执行；二是加强财务审核，联合财政、环保及第三方机构对重大资金项目进行跟踪监督，引导项目实施单位规范管理资金；三是严格资金审批程序，落实管理责任，明确支付流程，手续齐全情况下，及时向项目建设单位拨付工程款项。</w:t>
      </w:r>
    </w:p>
    <w:p w:rsidR="00F21CAC" w:rsidRDefault="00F21CAC">
      <w:pPr>
        <w:spacing w:line="500" w:lineRule="exact"/>
        <w:ind w:firstLine="640"/>
        <w:rPr>
          <w:rFonts w:ascii="仿宋_GB2312" w:hAnsi="宋体" w:cs="Arial"/>
          <w:kern w:val="0"/>
        </w:rPr>
      </w:pPr>
    </w:p>
    <w:p w:rsidR="00F21CAC" w:rsidRDefault="00F21CAC">
      <w:pPr>
        <w:spacing w:line="500" w:lineRule="exact"/>
        <w:ind w:firstLine="640"/>
        <w:rPr>
          <w:rFonts w:ascii="仿宋_GB2312" w:hAnsi="宋体" w:cs="Arial"/>
          <w:kern w:val="0"/>
        </w:rPr>
      </w:pPr>
    </w:p>
    <w:p w:rsidR="00F21CAC" w:rsidRDefault="00F21CAC">
      <w:pPr>
        <w:spacing w:line="500" w:lineRule="exact"/>
        <w:ind w:firstLine="640"/>
        <w:rPr>
          <w:rFonts w:ascii="仿宋_GB2312" w:hAnsi="宋体" w:cs="Arial"/>
          <w:kern w:val="0"/>
        </w:rPr>
      </w:pPr>
    </w:p>
    <w:p w:rsidR="00F21CAC" w:rsidRDefault="00F21CAC">
      <w:pPr>
        <w:spacing w:line="500" w:lineRule="exact"/>
        <w:ind w:firstLine="640"/>
        <w:rPr>
          <w:rFonts w:ascii="仿宋_GB2312" w:hAnsi="宋体" w:cs="Arial"/>
          <w:kern w:val="0"/>
        </w:rPr>
      </w:pPr>
    </w:p>
    <w:p w:rsidR="00F21CAC" w:rsidRDefault="00F21CAC">
      <w:pPr>
        <w:ind w:firstLine="640"/>
      </w:pPr>
    </w:p>
    <w:p w:rsidR="00F21CAC" w:rsidRDefault="00F21CAC">
      <w:pPr>
        <w:ind w:firstLine="640"/>
      </w:pPr>
    </w:p>
    <w:p w:rsidR="00F21CAC" w:rsidRDefault="00F21CAC">
      <w:pPr>
        <w:ind w:firstLineChars="0" w:firstLine="0"/>
      </w:pPr>
    </w:p>
    <w:sectPr w:rsidR="00F21CAC" w:rsidSect="00F21CAC">
      <w:headerReference w:type="even" r:id="rId11"/>
      <w:headerReference w:type="default" r:id="rId12"/>
      <w:footerReference w:type="even" r:id="rId13"/>
      <w:footerReference w:type="default" r:id="rId14"/>
      <w:headerReference w:type="first" r:id="rId15"/>
      <w:footerReference w:type="first" r:id="rId16"/>
      <w:pgSz w:w="11906" w:h="16838"/>
      <w:pgMar w:top="2098" w:right="1531" w:bottom="1985" w:left="1531" w:header="709" w:footer="1361"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7B2F" w:rsidRDefault="00E97B2F" w:rsidP="006D4B04">
      <w:pPr>
        <w:ind w:firstLine="640"/>
      </w:pPr>
      <w:r>
        <w:separator/>
      </w:r>
    </w:p>
  </w:endnote>
  <w:endnote w:type="continuationSeparator" w:id="1">
    <w:p w:rsidR="00E97B2F" w:rsidRDefault="00E97B2F" w:rsidP="006D4B04">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CAC" w:rsidRDefault="00F21CAC">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CAC" w:rsidRDefault="00F21CAC">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CAC" w:rsidRDefault="00F21CAC">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7B2F" w:rsidRDefault="00E97B2F" w:rsidP="006D4B04">
      <w:pPr>
        <w:ind w:firstLine="640"/>
      </w:pPr>
      <w:r>
        <w:separator/>
      </w:r>
    </w:p>
  </w:footnote>
  <w:footnote w:type="continuationSeparator" w:id="1">
    <w:p w:rsidR="00E97B2F" w:rsidRDefault="00E97B2F" w:rsidP="006D4B04">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CAC" w:rsidRDefault="00F21CAC">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CAC" w:rsidRDefault="00F21CAC" w:rsidP="00A01027">
    <w:pPr>
      <w:pStyle w:val="a5"/>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CAC" w:rsidRDefault="00F21CAC">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4832A4"/>
    <w:multiLevelType w:val="singleLevel"/>
    <w:tmpl w:val="924832A4"/>
    <w:lvl w:ilvl="0">
      <w:start w:val="1"/>
      <w:numFmt w:val="decimal"/>
      <w:suff w:val="nothing"/>
      <w:lvlText w:val="%1．"/>
      <w:lvlJc w:val="left"/>
    </w:lvl>
  </w:abstractNum>
  <w:abstractNum w:abstractNumId="1">
    <w:nsid w:val="CE69F946"/>
    <w:multiLevelType w:val="singleLevel"/>
    <w:tmpl w:val="CE69F946"/>
    <w:lvl w:ilvl="0">
      <w:start w:val="1"/>
      <w:numFmt w:val="chineseCounting"/>
      <w:suff w:val="nothing"/>
      <w:lvlText w:val="%1、"/>
      <w:lvlJc w:val="left"/>
      <w:rPr>
        <w:rFonts w:hint="eastAsia"/>
      </w:rPr>
    </w:lvl>
  </w:abstractNum>
  <w:abstractNum w:abstractNumId="2">
    <w:nsid w:val="247DA74A"/>
    <w:multiLevelType w:val="singleLevel"/>
    <w:tmpl w:val="247DA74A"/>
    <w:lvl w:ilvl="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F554DD1"/>
    <w:rsid w:val="000477E2"/>
    <w:rsid w:val="000C7CA5"/>
    <w:rsid w:val="001B1002"/>
    <w:rsid w:val="001C6848"/>
    <w:rsid w:val="001D403A"/>
    <w:rsid w:val="002368DE"/>
    <w:rsid w:val="002751F3"/>
    <w:rsid w:val="003601E4"/>
    <w:rsid w:val="00432ACC"/>
    <w:rsid w:val="0044150E"/>
    <w:rsid w:val="004A2926"/>
    <w:rsid w:val="005419C7"/>
    <w:rsid w:val="005E0065"/>
    <w:rsid w:val="00683BA8"/>
    <w:rsid w:val="006A4C3A"/>
    <w:rsid w:val="006D4B04"/>
    <w:rsid w:val="00734633"/>
    <w:rsid w:val="00746BDC"/>
    <w:rsid w:val="00754A5B"/>
    <w:rsid w:val="00766801"/>
    <w:rsid w:val="00773C34"/>
    <w:rsid w:val="00801082"/>
    <w:rsid w:val="0081545B"/>
    <w:rsid w:val="009E0A48"/>
    <w:rsid w:val="00A01027"/>
    <w:rsid w:val="00AC4CC4"/>
    <w:rsid w:val="00AD5BE0"/>
    <w:rsid w:val="00B455B0"/>
    <w:rsid w:val="00D50A25"/>
    <w:rsid w:val="00DA67CB"/>
    <w:rsid w:val="00DA6CE1"/>
    <w:rsid w:val="00E17BC0"/>
    <w:rsid w:val="00E324C0"/>
    <w:rsid w:val="00E80C22"/>
    <w:rsid w:val="00E97B2F"/>
    <w:rsid w:val="00F21CAC"/>
    <w:rsid w:val="00F318D9"/>
    <w:rsid w:val="00F36860"/>
    <w:rsid w:val="00FA7A1D"/>
    <w:rsid w:val="00FE0765"/>
    <w:rsid w:val="0A1A36C5"/>
    <w:rsid w:val="0F554DD1"/>
    <w:rsid w:val="1C29470B"/>
    <w:rsid w:val="20B01BCA"/>
    <w:rsid w:val="2DA24A9A"/>
    <w:rsid w:val="333432E3"/>
    <w:rsid w:val="33842299"/>
    <w:rsid w:val="35B96CBB"/>
    <w:rsid w:val="372A51E2"/>
    <w:rsid w:val="50BD7DCF"/>
    <w:rsid w:val="55440777"/>
    <w:rsid w:val="5E6A7BB8"/>
    <w:rsid w:val="5EF14FDF"/>
    <w:rsid w:val="63A44AAA"/>
    <w:rsid w:val="6D535020"/>
    <w:rsid w:val="793032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21CAC"/>
    <w:pPr>
      <w:widowControl w:val="0"/>
      <w:ind w:firstLineChars="200" w:firstLine="200"/>
      <w:jc w:val="both"/>
    </w:pPr>
    <w:rPr>
      <w:rFonts w:eastAsia="仿宋_GB2312"/>
      <w:kern w:val="2"/>
      <w:sz w:val="32"/>
    </w:rPr>
  </w:style>
  <w:style w:type="paragraph" w:styleId="1">
    <w:name w:val="heading 1"/>
    <w:basedOn w:val="a"/>
    <w:next w:val="a"/>
    <w:qFormat/>
    <w:rsid w:val="00F21CAC"/>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F21CAC"/>
    <w:rPr>
      <w:sz w:val="18"/>
      <w:szCs w:val="18"/>
    </w:rPr>
  </w:style>
  <w:style w:type="paragraph" w:styleId="a4">
    <w:name w:val="footer"/>
    <w:basedOn w:val="a"/>
    <w:link w:val="Char0"/>
    <w:rsid w:val="00F21CAC"/>
    <w:pPr>
      <w:tabs>
        <w:tab w:val="center" w:pos="4153"/>
        <w:tab w:val="right" w:pos="8306"/>
      </w:tabs>
      <w:snapToGrid w:val="0"/>
      <w:jc w:val="left"/>
    </w:pPr>
    <w:rPr>
      <w:sz w:val="18"/>
      <w:szCs w:val="18"/>
    </w:rPr>
  </w:style>
  <w:style w:type="paragraph" w:styleId="a5">
    <w:name w:val="header"/>
    <w:basedOn w:val="a"/>
    <w:link w:val="Char1"/>
    <w:rsid w:val="00F21CAC"/>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99"/>
    <w:qFormat/>
    <w:rsid w:val="00F21CAC"/>
    <w:pPr>
      <w:ind w:firstLine="420"/>
    </w:pPr>
  </w:style>
  <w:style w:type="character" w:customStyle="1" w:styleId="Char1">
    <w:name w:val="页眉 Char"/>
    <w:basedOn w:val="a0"/>
    <w:link w:val="a5"/>
    <w:rsid w:val="00F21CAC"/>
    <w:rPr>
      <w:rFonts w:ascii="Times New Roman" w:eastAsia="仿宋_GB2312" w:hAnsi="Times New Roman" w:cs="Times New Roman"/>
      <w:kern w:val="2"/>
      <w:sz w:val="18"/>
      <w:szCs w:val="18"/>
    </w:rPr>
  </w:style>
  <w:style w:type="character" w:customStyle="1" w:styleId="Char0">
    <w:name w:val="页脚 Char"/>
    <w:basedOn w:val="a0"/>
    <w:link w:val="a4"/>
    <w:rsid w:val="00F21CAC"/>
    <w:rPr>
      <w:rFonts w:ascii="Times New Roman" w:eastAsia="仿宋_GB2312" w:hAnsi="Times New Roman" w:cs="Times New Roman"/>
      <w:kern w:val="2"/>
      <w:sz w:val="18"/>
      <w:szCs w:val="18"/>
    </w:rPr>
  </w:style>
  <w:style w:type="character" w:customStyle="1" w:styleId="Char">
    <w:name w:val="批注框文本 Char"/>
    <w:basedOn w:val="a0"/>
    <w:link w:val="a3"/>
    <w:qFormat/>
    <w:rsid w:val="00F21CAC"/>
    <w:rPr>
      <w:rFonts w:ascii="Times New Roman" w:eastAsia="仿宋_GB2312"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2EEBDE3-7AE7-42BC-94A4-C6707043167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29</Pages>
  <Words>2405</Words>
  <Characters>13711</Characters>
  <Application>Microsoft Office Word</Application>
  <DocSecurity>0</DocSecurity>
  <Lines>114</Lines>
  <Paragraphs>32</Paragraphs>
  <ScaleCrop>false</ScaleCrop>
  <Company>Microsoft</Company>
  <LinksUpToDate>false</LinksUpToDate>
  <CharactersWithSpaces>16084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Hélène</dc:creator>
  <cp:lastModifiedBy>AutoBVT</cp:lastModifiedBy>
  <cp:revision>3</cp:revision>
  <cp:lastPrinted>2018-08-16T03:06:00Z</cp:lastPrinted>
  <dcterms:created xsi:type="dcterms:W3CDTF">2025-08-22T02:24:00Z</dcterms:created>
  <dcterms:modified xsi:type="dcterms:W3CDTF">2025-08-22T06:26:00Z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