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0C0FB9">
      <w:pPr>
        <w:spacing w:line="700" w:lineRule="exact"/>
        <w:ind w:firstLineChars="0" w:firstLine="0"/>
        <w:jc w:val="center"/>
        <w:rPr>
          <w:rFonts w:ascii="方正小标宋简体" w:eastAsiaTheme="minorEastAsia" w:hAnsi="方正小标宋简体" w:hint="eastAsia"/>
          <w:sz w:val="44"/>
          <w:szCs w:val="44"/>
          <w:u w:val="single"/>
        </w:rPr>
      </w:pPr>
    </w:p>
    <w:p w:rsidR="000C0FB9" w:rsidRDefault="009E755C">
      <w:pPr>
        <w:spacing w:line="700" w:lineRule="exact"/>
        <w:ind w:firstLineChars="0" w:firstLine="0"/>
        <w:jc w:val="center"/>
        <w:rPr>
          <w:rFonts w:ascii="方正小标宋简体" w:hAnsi="方正小标宋简体"/>
          <w:sz w:val="44"/>
          <w:szCs w:val="44"/>
        </w:rPr>
      </w:pPr>
      <w:r>
        <w:rPr>
          <w:rFonts w:ascii="仿宋" w:eastAsia="仿宋" w:hAnsi="仿宋" w:cs="仿宋" w:hint="eastAsia"/>
          <w:sz w:val="44"/>
          <w:szCs w:val="44"/>
        </w:rPr>
        <w:t>常州市环境保护局</w:t>
      </w:r>
      <w:r>
        <w:rPr>
          <w:rFonts w:ascii="仿宋" w:eastAsia="仿宋" w:hAnsi="仿宋" w:cs="仿宋" w:hint="eastAsia"/>
          <w:sz w:val="44"/>
          <w:szCs w:val="44"/>
        </w:rPr>
        <w:t>2018</w:t>
      </w:r>
      <w:r>
        <w:rPr>
          <w:rFonts w:ascii="仿宋" w:eastAsia="仿宋" w:hAnsi="仿宋" w:cs="仿宋" w:hint="eastAsia"/>
          <w:sz w:val="44"/>
          <w:szCs w:val="44"/>
        </w:rPr>
        <w:t>年</w:t>
      </w:r>
      <w:r>
        <w:rPr>
          <w:rFonts w:ascii="方正小标宋简体" w:hAnsi="方正小标宋简体"/>
          <w:sz w:val="44"/>
          <w:szCs w:val="44"/>
        </w:rPr>
        <w:t>度部门决算公开</w:t>
      </w: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rsidP="007337CC">
      <w:pPr>
        <w:spacing w:line="550" w:lineRule="exact"/>
        <w:ind w:firstLine="880"/>
        <w:jc w:val="center"/>
        <w:rPr>
          <w:rFonts w:ascii="方正小标宋简体" w:hAnsi="方正小标宋简体"/>
          <w:sz w:val="44"/>
          <w:szCs w:val="44"/>
        </w:rPr>
        <w:sectPr w:rsidR="000C0FB9">
          <w:headerReference w:type="even" r:id="rId8"/>
          <w:headerReference w:type="default" r:id="rId9"/>
          <w:footerReference w:type="even" r:id="rId10"/>
          <w:footerReference w:type="default" r:id="rId11"/>
          <w:headerReference w:type="first" r:id="rId12"/>
          <w:footerReference w:type="first" r:id="rId13"/>
          <w:pgSz w:w="11906" w:h="16838"/>
          <w:pgMar w:top="2098" w:right="1531" w:bottom="1985" w:left="1531" w:header="720" w:footer="720" w:gutter="0"/>
          <w:cols w:space="720"/>
          <w:docGrid w:type="lines" w:linePitch="312"/>
        </w:sectPr>
      </w:pPr>
    </w:p>
    <w:p w:rsidR="000C0FB9" w:rsidRDefault="009E755C" w:rsidP="007337CC">
      <w:pPr>
        <w:spacing w:line="550" w:lineRule="exact"/>
        <w:ind w:firstLine="880"/>
        <w:jc w:val="center"/>
        <w:rPr>
          <w:rFonts w:ascii="方正小标宋简体" w:hAnsi="宋体"/>
          <w:sz w:val="44"/>
          <w:szCs w:val="44"/>
        </w:rPr>
      </w:pPr>
      <w:r>
        <w:rPr>
          <w:rFonts w:ascii="方正小标宋简体" w:hAnsi="方正小标宋简体"/>
          <w:sz w:val="44"/>
          <w:szCs w:val="44"/>
        </w:rPr>
        <w:lastRenderedPageBreak/>
        <w:t>目录</w:t>
      </w:r>
    </w:p>
    <w:p w:rsidR="000C0FB9" w:rsidRDefault="000C0FB9">
      <w:pPr>
        <w:spacing w:line="550" w:lineRule="exact"/>
        <w:ind w:firstLine="880"/>
        <w:jc w:val="center"/>
        <w:rPr>
          <w:rFonts w:ascii="仿宋_GB2312" w:hAnsi="仿宋_GB2312"/>
          <w:sz w:val="44"/>
          <w:szCs w:val="44"/>
        </w:rPr>
      </w:pPr>
    </w:p>
    <w:p w:rsidR="000C0FB9" w:rsidRDefault="009E755C">
      <w:pPr>
        <w:spacing w:line="570" w:lineRule="exact"/>
        <w:ind w:firstLine="640"/>
        <w:rPr>
          <w:rFonts w:ascii="仿宋_GB2312" w:hAnsi="仿宋_GB2312"/>
        </w:rPr>
      </w:pPr>
      <w:r>
        <w:rPr>
          <w:rFonts w:ascii="仿宋_GB2312" w:hAnsi="仿宋_GB2312"/>
        </w:rPr>
        <w:t>第一部分</w:t>
      </w:r>
      <w:r>
        <w:rPr>
          <w:rFonts w:ascii="仿宋_GB2312" w:hAnsi="仿宋_GB2312"/>
        </w:rPr>
        <w:t xml:space="preserve">  </w:t>
      </w:r>
      <w:r>
        <w:rPr>
          <w:rFonts w:ascii="仿宋_GB2312" w:hAnsi="仿宋_GB2312"/>
        </w:rPr>
        <w:t>部门概况</w:t>
      </w:r>
    </w:p>
    <w:p w:rsidR="000C0FB9" w:rsidRDefault="009E755C">
      <w:pPr>
        <w:spacing w:line="570" w:lineRule="exact"/>
        <w:ind w:firstLine="640"/>
        <w:rPr>
          <w:rFonts w:ascii="仿宋_GB2312" w:hAnsi="仿宋_GB2312"/>
        </w:rPr>
      </w:pPr>
      <w:r>
        <w:rPr>
          <w:rFonts w:ascii="仿宋_GB2312" w:hAnsi="仿宋_GB2312"/>
        </w:rPr>
        <w:t>一、主要职能</w:t>
      </w:r>
    </w:p>
    <w:p w:rsidR="000C0FB9" w:rsidRDefault="009E755C">
      <w:pPr>
        <w:spacing w:line="570" w:lineRule="exact"/>
        <w:ind w:firstLine="640"/>
        <w:rPr>
          <w:rFonts w:ascii="仿宋_GB2312" w:hAnsi="仿宋_GB2312"/>
        </w:rPr>
      </w:pPr>
      <w:r>
        <w:rPr>
          <w:rFonts w:ascii="仿宋_GB2312" w:hAnsi="仿宋_GB2312"/>
        </w:rPr>
        <w:t>二、部门机构设置及决算单位构成情况</w:t>
      </w:r>
    </w:p>
    <w:p w:rsidR="000C0FB9" w:rsidRDefault="009E755C">
      <w:pPr>
        <w:spacing w:line="570" w:lineRule="exact"/>
        <w:ind w:firstLine="640"/>
        <w:rPr>
          <w:rFonts w:ascii="仿宋_GB2312" w:hAnsi="仿宋_GB2312"/>
        </w:rPr>
      </w:pPr>
      <w:r>
        <w:rPr>
          <w:rFonts w:ascii="仿宋_GB2312" w:hAnsi="仿宋_GB2312"/>
        </w:rPr>
        <w:t>三、</w:t>
      </w:r>
      <w:r>
        <w:rPr>
          <w:rFonts w:ascii="仿宋_GB2312" w:hAnsi="仿宋_GB2312"/>
        </w:rPr>
        <w:t>2018</w:t>
      </w:r>
      <w:r>
        <w:rPr>
          <w:rFonts w:ascii="仿宋_GB2312" w:hAnsi="仿宋_GB2312"/>
        </w:rPr>
        <w:t>年度主要工作完成情况</w:t>
      </w:r>
    </w:p>
    <w:p w:rsidR="000C0FB9" w:rsidRDefault="009E755C">
      <w:pPr>
        <w:spacing w:line="570" w:lineRule="exact"/>
        <w:ind w:firstLine="640"/>
        <w:rPr>
          <w:rFonts w:ascii="仿宋_GB2312" w:hAnsi="仿宋_GB2312"/>
        </w:rPr>
      </w:pPr>
      <w:r>
        <w:rPr>
          <w:rFonts w:ascii="仿宋_GB2312" w:hAnsi="仿宋_GB2312"/>
        </w:rPr>
        <w:t>第二部分</w:t>
      </w:r>
      <w:r>
        <w:rPr>
          <w:rFonts w:ascii="仿宋_GB2312" w:hAnsi="仿宋_GB2312"/>
        </w:rPr>
        <w:t xml:space="preserve">  2018</w:t>
      </w:r>
      <w:r>
        <w:rPr>
          <w:rFonts w:ascii="仿宋_GB2312" w:hAnsi="仿宋_GB2312"/>
        </w:rPr>
        <w:t>年度部门决算表</w:t>
      </w:r>
    </w:p>
    <w:p w:rsidR="000C0FB9" w:rsidRDefault="009E755C">
      <w:pPr>
        <w:spacing w:line="570" w:lineRule="exact"/>
        <w:ind w:firstLine="640"/>
        <w:rPr>
          <w:rFonts w:ascii="仿宋_GB2312" w:hAnsi="仿宋_GB2312"/>
        </w:rPr>
      </w:pPr>
      <w:r>
        <w:rPr>
          <w:rFonts w:ascii="仿宋_GB2312" w:hAnsi="仿宋_GB2312"/>
        </w:rPr>
        <w:t>一、收入支出决算总表</w:t>
      </w:r>
    </w:p>
    <w:p w:rsidR="000C0FB9" w:rsidRDefault="009E755C">
      <w:pPr>
        <w:spacing w:line="570" w:lineRule="exact"/>
        <w:ind w:firstLine="640"/>
        <w:rPr>
          <w:rFonts w:ascii="仿宋_GB2312" w:hAnsi="仿宋_GB2312"/>
        </w:rPr>
      </w:pPr>
      <w:r>
        <w:rPr>
          <w:rFonts w:ascii="仿宋_GB2312" w:hAnsi="仿宋_GB2312"/>
        </w:rPr>
        <w:t>二、收入决算表</w:t>
      </w:r>
    </w:p>
    <w:p w:rsidR="000C0FB9" w:rsidRDefault="009E755C">
      <w:pPr>
        <w:spacing w:line="570" w:lineRule="exact"/>
        <w:ind w:firstLine="640"/>
        <w:rPr>
          <w:rFonts w:ascii="仿宋_GB2312" w:hAnsi="仿宋_GB2312"/>
        </w:rPr>
      </w:pPr>
      <w:r>
        <w:rPr>
          <w:rFonts w:ascii="仿宋_GB2312" w:hAnsi="仿宋_GB2312"/>
        </w:rPr>
        <w:t>三、支出决算表</w:t>
      </w:r>
    </w:p>
    <w:p w:rsidR="000C0FB9" w:rsidRDefault="009E755C">
      <w:pPr>
        <w:spacing w:line="570" w:lineRule="exact"/>
        <w:ind w:firstLine="640"/>
        <w:rPr>
          <w:rFonts w:ascii="仿宋_GB2312" w:hAnsi="仿宋_GB2312"/>
        </w:rPr>
      </w:pPr>
      <w:r>
        <w:rPr>
          <w:rFonts w:ascii="仿宋_GB2312" w:hAnsi="仿宋_GB2312"/>
        </w:rPr>
        <w:t>四、财政拨款收入支出决算总表</w:t>
      </w:r>
    </w:p>
    <w:p w:rsidR="000C0FB9" w:rsidRDefault="009E755C">
      <w:pPr>
        <w:spacing w:line="570" w:lineRule="exact"/>
        <w:ind w:firstLine="640"/>
        <w:rPr>
          <w:rFonts w:ascii="仿宋_GB2312" w:hAnsi="仿宋_GB2312"/>
        </w:rPr>
      </w:pPr>
      <w:r>
        <w:rPr>
          <w:rFonts w:ascii="仿宋_GB2312" w:hAnsi="仿宋_GB2312"/>
        </w:rPr>
        <w:t>五、财政拨款支出决算表</w:t>
      </w:r>
    </w:p>
    <w:p w:rsidR="000C0FB9" w:rsidRDefault="009E755C">
      <w:pPr>
        <w:spacing w:line="570" w:lineRule="exact"/>
        <w:ind w:firstLine="640"/>
        <w:rPr>
          <w:rFonts w:ascii="仿宋_GB2312" w:hAnsi="仿宋_GB2312"/>
        </w:rPr>
      </w:pPr>
      <w:r>
        <w:rPr>
          <w:rFonts w:ascii="仿宋_GB2312" w:hAnsi="仿宋_GB2312"/>
        </w:rPr>
        <w:t>六、财政拨款基本支出决算表</w:t>
      </w:r>
    </w:p>
    <w:p w:rsidR="000C0FB9" w:rsidRDefault="009E755C">
      <w:pPr>
        <w:spacing w:line="570" w:lineRule="exact"/>
        <w:ind w:firstLine="640"/>
        <w:rPr>
          <w:rFonts w:ascii="仿宋_GB2312" w:hAnsi="仿宋_GB2312"/>
        </w:rPr>
      </w:pPr>
      <w:r>
        <w:rPr>
          <w:rFonts w:ascii="仿宋_GB2312" w:hAnsi="仿宋_GB2312"/>
        </w:rPr>
        <w:t>七、一般公共预算财政拨款支出决算表</w:t>
      </w:r>
    </w:p>
    <w:p w:rsidR="000C0FB9" w:rsidRDefault="009E755C">
      <w:pPr>
        <w:spacing w:line="570" w:lineRule="exact"/>
        <w:ind w:firstLine="640"/>
        <w:rPr>
          <w:rFonts w:ascii="仿宋_GB2312" w:hAnsi="仿宋_GB2312"/>
        </w:rPr>
      </w:pPr>
      <w:r>
        <w:rPr>
          <w:rFonts w:ascii="仿宋_GB2312" w:hAnsi="仿宋_GB2312"/>
        </w:rPr>
        <w:t>八、一般公共预算财政拨款基本支出决算表</w:t>
      </w:r>
    </w:p>
    <w:p w:rsidR="000C0FB9" w:rsidRDefault="009E755C">
      <w:pPr>
        <w:spacing w:line="570" w:lineRule="exact"/>
        <w:ind w:firstLine="640"/>
        <w:rPr>
          <w:rFonts w:ascii="仿宋_GB2312" w:hAnsi="仿宋_GB2312"/>
        </w:rPr>
      </w:pPr>
      <w:r>
        <w:rPr>
          <w:rFonts w:ascii="仿宋_GB2312" w:hAnsi="仿宋_GB2312"/>
        </w:rPr>
        <w:t>九、一般公共预算财政拨款</w:t>
      </w:r>
      <w:r>
        <w:rPr>
          <w:rFonts w:ascii="仿宋_GB2312" w:hAnsi="仿宋_GB2312"/>
        </w:rPr>
        <w:t>“</w:t>
      </w:r>
      <w:r>
        <w:rPr>
          <w:rFonts w:ascii="仿宋_GB2312" w:hAnsi="仿宋_GB2312"/>
        </w:rPr>
        <w:t>三公</w:t>
      </w:r>
      <w:r>
        <w:rPr>
          <w:rFonts w:ascii="仿宋_GB2312" w:hAnsi="仿宋_GB2312"/>
        </w:rPr>
        <w:t>”</w:t>
      </w:r>
      <w:r>
        <w:rPr>
          <w:rFonts w:ascii="仿宋_GB2312" w:hAnsi="仿宋_GB2312"/>
        </w:rPr>
        <w:t>经费、会议费、培训费支出决算表</w:t>
      </w:r>
    </w:p>
    <w:p w:rsidR="000C0FB9" w:rsidRDefault="009E755C">
      <w:pPr>
        <w:spacing w:line="570" w:lineRule="exact"/>
        <w:ind w:firstLine="640"/>
        <w:rPr>
          <w:rFonts w:ascii="仿宋_GB2312" w:hAnsi="仿宋_GB2312"/>
        </w:rPr>
      </w:pPr>
      <w:r>
        <w:rPr>
          <w:rFonts w:ascii="仿宋_GB2312" w:hAnsi="仿宋_GB2312"/>
        </w:rPr>
        <w:t>十、政府性基金预算财政拨款收入支出决算表</w:t>
      </w:r>
    </w:p>
    <w:p w:rsidR="000C0FB9" w:rsidRDefault="009E755C">
      <w:pPr>
        <w:spacing w:line="570" w:lineRule="exact"/>
        <w:ind w:firstLine="640"/>
        <w:rPr>
          <w:rFonts w:ascii="仿宋_GB2312" w:hAnsi="仿宋_GB2312"/>
        </w:rPr>
      </w:pPr>
      <w:r>
        <w:rPr>
          <w:rFonts w:ascii="仿宋_GB2312" w:hAnsi="仿宋_GB2312"/>
        </w:rPr>
        <w:t>十一、机关运行经费支出决算表</w:t>
      </w:r>
    </w:p>
    <w:p w:rsidR="000C0FB9" w:rsidRDefault="009E755C">
      <w:pPr>
        <w:spacing w:line="570" w:lineRule="exact"/>
        <w:ind w:firstLine="640"/>
        <w:rPr>
          <w:rFonts w:ascii="仿宋_GB2312" w:hAnsi="仿宋_GB2312"/>
        </w:rPr>
      </w:pPr>
      <w:r>
        <w:rPr>
          <w:rFonts w:ascii="仿宋_GB2312" w:hAnsi="仿宋_GB2312"/>
        </w:rPr>
        <w:t>十二、政府采购支出决算表</w:t>
      </w:r>
    </w:p>
    <w:p w:rsidR="000C0FB9" w:rsidRDefault="009E755C">
      <w:pPr>
        <w:spacing w:line="570" w:lineRule="exact"/>
        <w:ind w:firstLine="640"/>
        <w:rPr>
          <w:rFonts w:ascii="仿宋_GB2312" w:hAnsi="仿宋_GB2312"/>
        </w:rPr>
      </w:pPr>
      <w:r>
        <w:rPr>
          <w:rFonts w:ascii="仿宋_GB2312" w:hAnsi="仿宋_GB2312"/>
        </w:rPr>
        <w:t>第三部分</w:t>
      </w:r>
      <w:r>
        <w:rPr>
          <w:rFonts w:ascii="仿宋_GB2312" w:hAnsi="仿宋_GB2312"/>
        </w:rPr>
        <w:t xml:space="preserve">  2018</w:t>
      </w:r>
      <w:r>
        <w:rPr>
          <w:rFonts w:ascii="仿宋_GB2312" w:hAnsi="仿宋_GB2312"/>
        </w:rPr>
        <w:t>年度部门决算情况说明</w:t>
      </w:r>
    </w:p>
    <w:p w:rsidR="000C0FB9" w:rsidRDefault="009E755C">
      <w:pPr>
        <w:spacing w:line="570" w:lineRule="exact"/>
        <w:ind w:firstLine="640"/>
        <w:rPr>
          <w:rFonts w:ascii="仿宋_GB2312" w:hAnsi="仿宋_GB2312"/>
        </w:rPr>
      </w:pPr>
      <w:r>
        <w:rPr>
          <w:rFonts w:ascii="仿宋_GB2312" w:hAnsi="仿宋_GB2312"/>
        </w:rPr>
        <w:t>第四部分</w:t>
      </w:r>
      <w:r>
        <w:rPr>
          <w:rFonts w:ascii="仿宋_GB2312" w:hAnsi="仿宋_GB2312"/>
        </w:rPr>
        <w:t xml:space="preserve">  </w:t>
      </w:r>
      <w:r>
        <w:rPr>
          <w:rFonts w:ascii="仿宋_GB2312" w:hAnsi="仿宋_GB2312"/>
        </w:rPr>
        <w:t>名词解释</w:t>
      </w:r>
    </w:p>
    <w:p w:rsidR="000C0FB9" w:rsidRDefault="000C0FB9">
      <w:pPr>
        <w:spacing w:line="570" w:lineRule="exact"/>
        <w:ind w:firstLineChars="0" w:firstLine="0"/>
        <w:jc w:val="center"/>
        <w:rPr>
          <w:rFonts w:ascii="黑体" w:eastAsia="黑体" w:hAnsi="黑体"/>
        </w:rPr>
        <w:sectPr w:rsidR="000C0FB9">
          <w:footerReference w:type="default" r:id="rId14"/>
          <w:pgSz w:w="11906" w:h="16838"/>
          <w:pgMar w:top="2098" w:right="1531" w:bottom="1985" w:left="1531" w:header="720" w:footer="720" w:gutter="0"/>
          <w:pgNumType w:start="1"/>
          <w:cols w:space="720"/>
          <w:docGrid w:type="lines" w:linePitch="312"/>
        </w:sectPr>
      </w:pPr>
    </w:p>
    <w:p w:rsidR="000C0FB9" w:rsidRDefault="009E755C">
      <w:pPr>
        <w:spacing w:line="570" w:lineRule="exact"/>
        <w:ind w:firstLineChars="0" w:firstLine="0"/>
        <w:jc w:val="center"/>
        <w:rPr>
          <w:rFonts w:ascii="黑体" w:eastAsia="黑体" w:hAnsi="黑体"/>
        </w:rPr>
      </w:pPr>
      <w:r>
        <w:rPr>
          <w:rFonts w:ascii="黑体" w:eastAsia="黑体" w:hAnsi="黑体" w:hint="eastAsia"/>
        </w:rPr>
        <w:lastRenderedPageBreak/>
        <w:t>第一部分</w:t>
      </w:r>
      <w:r>
        <w:rPr>
          <w:rFonts w:ascii="黑体" w:eastAsia="黑体" w:hAnsi="黑体" w:hint="eastAsia"/>
        </w:rPr>
        <w:t xml:space="preserve"> </w:t>
      </w:r>
      <w:r>
        <w:rPr>
          <w:rFonts w:ascii="黑体" w:eastAsia="黑体" w:hAnsi="黑体" w:hint="eastAsia"/>
        </w:rPr>
        <w:t>部门概况</w:t>
      </w:r>
    </w:p>
    <w:p w:rsidR="000C0FB9" w:rsidRDefault="000C0FB9">
      <w:pPr>
        <w:spacing w:line="550" w:lineRule="exact"/>
        <w:ind w:firstLine="640"/>
        <w:rPr>
          <w:rFonts w:ascii="仿宋_GB2312" w:hAnsi="仿宋_GB2312"/>
        </w:rPr>
      </w:pPr>
    </w:p>
    <w:p w:rsidR="000C0FB9" w:rsidRDefault="009E755C">
      <w:pPr>
        <w:spacing w:line="570" w:lineRule="exact"/>
        <w:ind w:firstLine="640"/>
        <w:rPr>
          <w:rFonts w:ascii="黑体" w:eastAsia="黑体" w:hAnsi="黑体"/>
        </w:rPr>
      </w:pPr>
      <w:r>
        <w:rPr>
          <w:rFonts w:ascii="黑体" w:eastAsia="黑体" w:hAnsi="黑体" w:hint="eastAsia"/>
        </w:rPr>
        <w:t>一、部门主要职能</w:t>
      </w:r>
    </w:p>
    <w:p w:rsidR="000C0FB9" w:rsidRDefault="009E755C">
      <w:pPr>
        <w:ind w:firstLine="640"/>
        <w:rPr>
          <w:rFonts w:ascii="仿宋" w:eastAsia="仿宋" w:hAnsi="仿宋" w:cs="宋体"/>
          <w:color w:val="000000"/>
          <w:kern w:val="0"/>
        </w:rPr>
      </w:pPr>
      <w:r>
        <w:rPr>
          <w:rFonts w:ascii="仿宋" w:eastAsia="仿宋" w:hAnsi="仿宋" w:cs="宋体" w:hint="eastAsia"/>
          <w:color w:val="000000"/>
          <w:kern w:val="0"/>
        </w:rPr>
        <w:t>常州市环境保护局承担着对全市环境保护统一监督管理的法定职责。</w:t>
      </w:r>
    </w:p>
    <w:p w:rsidR="000C0FB9" w:rsidRDefault="009E755C">
      <w:pPr>
        <w:ind w:firstLine="640"/>
        <w:rPr>
          <w:rFonts w:ascii="仿宋_GB2312" w:hAnsi="仿宋_GB2312"/>
        </w:rPr>
      </w:pPr>
      <w:r>
        <w:rPr>
          <w:rFonts w:ascii="仿宋" w:eastAsia="仿宋" w:hAnsi="仿宋" w:cs="宋体" w:hint="eastAsia"/>
          <w:color w:val="000000"/>
          <w:kern w:val="0"/>
        </w:rPr>
        <w:t>具体工作包括：落实执行环境保护基本制度；负责重大环境问题的统筹协调和监督管理；落实减排目标任务；提出环境保护领域固定资产投资规模和方向、市财政性资金安排意见；承担从源头上预防控制环境污染和环境破坏的监管责任；负责环境污染防治的监督管理；指导、协调、监督生态保护工作；负责核与辐射安全的监督管理；负责环境监测和信息发布；开展环境保护科技工作；组织开展环境保护国际合作交流，归口管理全市环境保护国际合作和利用外资项目</w:t>
      </w:r>
      <w:r>
        <w:rPr>
          <w:rFonts w:ascii="仿宋" w:eastAsia="仿宋" w:hAnsi="仿宋" w:cs="宋体" w:hint="eastAsia"/>
          <w:color w:val="000000"/>
          <w:kern w:val="0"/>
        </w:rPr>
        <w:t>,</w:t>
      </w:r>
      <w:r>
        <w:rPr>
          <w:rFonts w:ascii="仿宋" w:eastAsia="仿宋" w:hAnsi="仿宋" w:cs="宋体" w:hint="eastAsia"/>
          <w:color w:val="000000"/>
          <w:kern w:val="0"/>
        </w:rPr>
        <w:t>组织协调市内有关环境保护国际条约的履约工作，参与处理涉外环境保护事务；组织、指导和协调环境保护宣教</w:t>
      </w:r>
      <w:r>
        <w:rPr>
          <w:rFonts w:ascii="仿宋" w:eastAsia="仿宋" w:hAnsi="仿宋" w:cs="宋体" w:hint="eastAsia"/>
          <w:color w:val="000000"/>
          <w:kern w:val="0"/>
        </w:rPr>
        <w:t xml:space="preserve"> </w:t>
      </w:r>
      <w:r>
        <w:rPr>
          <w:rFonts w:ascii="仿宋" w:eastAsia="仿宋" w:hAnsi="仿宋" w:cs="宋体" w:hint="eastAsia"/>
          <w:color w:val="000000"/>
          <w:kern w:val="0"/>
        </w:rPr>
        <w:t>工作，承办市委市政府交办的其他事项等工作。</w:t>
      </w:r>
    </w:p>
    <w:p w:rsidR="000C0FB9" w:rsidRDefault="000C0FB9">
      <w:pPr>
        <w:spacing w:line="550" w:lineRule="exact"/>
        <w:ind w:firstLine="640"/>
        <w:rPr>
          <w:rFonts w:ascii="仿宋_GB2312" w:hAnsi="仿宋_GB2312"/>
        </w:rPr>
      </w:pPr>
    </w:p>
    <w:p w:rsidR="000C0FB9" w:rsidRDefault="009E755C">
      <w:pPr>
        <w:spacing w:line="570" w:lineRule="exact"/>
        <w:ind w:firstLine="640"/>
        <w:rPr>
          <w:rFonts w:ascii="黑体" w:eastAsia="黑体" w:hAnsi="黑体"/>
        </w:rPr>
      </w:pPr>
      <w:r>
        <w:rPr>
          <w:rFonts w:ascii="黑体" w:eastAsia="黑体" w:hAnsi="黑体" w:hint="eastAsia"/>
        </w:rPr>
        <w:t>二、部门机构设置及决算单位构成情况</w:t>
      </w:r>
    </w:p>
    <w:p w:rsidR="000C0FB9" w:rsidRDefault="009E755C" w:rsidP="007337CC">
      <w:pPr>
        <w:widowControl/>
        <w:ind w:firstLine="640"/>
        <w:jc w:val="left"/>
      </w:pPr>
      <w:r>
        <w:rPr>
          <w:rFonts w:ascii="仿宋" w:eastAsia="仿宋" w:hAnsi="仿宋" w:cs="仿宋"/>
          <w:color w:val="000000"/>
          <w:kern w:val="0"/>
          <w:lang/>
        </w:rPr>
        <w:t xml:space="preserve">1. </w:t>
      </w:r>
      <w:r>
        <w:rPr>
          <w:rFonts w:ascii="仿宋" w:eastAsia="仿宋" w:hAnsi="仿宋" w:cs="仿宋"/>
          <w:color w:val="000000"/>
          <w:kern w:val="0"/>
          <w:lang/>
        </w:rPr>
        <w:t>根据部门职责分工，本部门内设机构包括办公室、生态文明建设处、</w:t>
      </w:r>
      <w:r>
        <w:rPr>
          <w:rFonts w:ascii="仿宋" w:eastAsia="仿宋" w:hAnsi="仿宋" w:cs="仿宋"/>
          <w:color w:val="000000"/>
          <w:kern w:val="0"/>
          <w:lang/>
        </w:rPr>
        <w:t xml:space="preserve"> </w:t>
      </w:r>
      <w:r>
        <w:rPr>
          <w:rFonts w:ascii="仿宋" w:eastAsia="仿宋" w:hAnsi="仿宋" w:cs="仿宋" w:hint="eastAsia"/>
          <w:color w:val="000000"/>
          <w:kern w:val="0"/>
          <w:lang/>
        </w:rPr>
        <w:t>规划财务处、政策法规处、污染物排放总量控制处（环境监测处）、水污染防治处（市太湖办督查应急处）、大气污染防治处、自然生态保护处（土壤污染防治处）、行政服务</w:t>
      </w:r>
      <w:r>
        <w:rPr>
          <w:rFonts w:ascii="仿宋" w:eastAsia="仿宋" w:hAnsi="仿宋" w:cs="仿宋" w:hint="eastAsia"/>
          <w:color w:val="000000"/>
          <w:kern w:val="0"/>
          <w:lang/>
        </w:rPr>
        <w:lastRenderedPageBreak/>
        <w:t>处、环境监理处、核与辐射安全监督管理处。本部门下属</w:t>
      </w:r>
      <w:r>
        <w:rPr>
          <w:rFonts w:ascii="仿宋" w:eastAsia="仿宋" w:hAnsi="仿宋" w:cs="仿宋" w:hint="eastAsia"/>
          <w:color w:val="000000"/>
          <w:kern w:val="0"/>
          <w:lang/>
        </w:rPr>
        <w:t xml:space="preserve">6 </w:t>
      </w:r>
      <w:r>
        <w:rPr>
          <w:rFonts w:ascii="仿宋" w:eastAsia="仿宋" w:hAnsi="仿宋" w:cs="仿宋" w:hint="eastAsia"/>
          <w:color w:val="000000"/>
          <w:kern w:val="0"/>
          <w:lang/>
        </w:rPr>
        <w:t>个直属事业单位包括：常州市环境执法局、常州市环境监测中心、常州市环境科学研究院、常州环保科技开发推广中心、常州市环境信息中心和常州市机动车排气污染监督管</w:t>
      </w:r>
      <w:r>
        <w:rPr>
          <w:rFonts w:ascii="仿宋" w:eastAsia="仿宋" w:hAnsi="仿宋" w:cs="仿宋" w:hint="eastAsia"/>
          <w:color w:val="000000"/>
          <w:kern w:val="0"/>
          <w:lang/>
        </w:rPr>
        <w:t>理中心。</w:t>
      </w:r>
      <w:r>
        <w:rPr>
          <w:rFonts w:ascii="仿宋" w:eastAsia="仿宋" w:hAnsi="仿宋" w:cs="仿宋" w:hint="eastAsia"/>
          <w:color w:val="000000"/>
          <w:kern w:val="0"/>
          <w:lang/>
        </w:rPr>
        <w:t xml:space="preserve"> </w:t>
      </w:r>
    </w:p>
    <w:p w:rsidR="000C0FB9" w:rsidRDefault="009E755C" w:rsidP="007337CC">
      <w:pPr>
        <w:widowControl/>
        <w:ind w:firstLine="640"/>
        <w:jc w:val="left"/>
      </w:pPr>
      <w:r>
        <w:rPr>
          <w:rFonts w:ascii="仿宋" w:eastAsia="仿宋" w:hAnsi="仿宋" w:cs="仿宋" w:hint="eastAsia"/>
          <w:color w:val="000000"/>
          <w:kern w:val="0"/>
          <w:lang/>
        </w:rPr>
        <w:t xml:space="preserve">2. </w:t>
      </w:r>
      <w:r>
        <w:rPr>
          <w:rFonts w:ascii="仿宋" w:eastAsia="仿宋" w:hAnsi="仿宋" w:cs="仿宋" w:hint="eastAsia"/>
          <w:color w:val="000000"/>
          <w:kern w:val="0"/>
          <w:lang/>
        </w:rPr>
        <w:t>从决算单位构成看，纳入常州市环境保护局</w:t>
      </w:r>
      <w:r>
        <w:rPr>
          <w:rFonts w:ascii="仿宋" w:eastAsia="仿宋" w:hAnsi="仿宋" w:cs="仿宋" w:hint="eastAsia"/>
          <w:color w:val="000000"/>
          <w:kern w:val="0"/>
          <w:lang/>
        </w:rPr>
        <w:t xml:space="preserve"> 2018 </w:t>
      </w:r>
      <w:r>
        <w:rPr>
          <w:rFonts w:ascii="仿宋" w:eastAsia="仿宋" w:hAnsi="仿宋" w:cs="仿宋" w:hint="eastAsia"/>
          <w:color w:val="000000"/>
          <w:kern w:val="0"/>
          <w:lang/>
        </w:rPr>
        <w:t>年部门汇总决算编制范围的预算单位共计五家，具体包括：常州市环境保护局本级、常州市环境执法局、常州市环境监测中心、常州市机动车排气污染监督管理中心、常州市环境科学研究院。</w:t>
      </w:r>
      <w:r>
        <w:rPr>
          <w:rFonts w:ascii="仿宋" w:eastAsia="仿宋" w:hAnsi="仿宋" w:cs="仿宋" w:hint="eastAsia"/>
          <w:color w:val="000000"/>
          <w:kern w:val="0"/>
          <w:lang/>
        </w:rPr>
        <w:t xml:space="preserve"> </w:t>
      </w:r>
    </w:p>
    <w:p w:rsidR="000C0FB9" w:rsidRDefault="009E755C">
      <w:pPr>
        <w:spacing w:line="550" w:lineRule="exact"/>
        <w:ind w:firstLine="640"/>
        <w:rPr>
          <w:rFonts w:ascii="黑体" w:eastAsia="黑体" w:hAnsi="黑体"/>
        </w:rPr>
      </w:pPr>
      <w:r>
        <w:rPr>
          <w:rFonts w:ascii="黑体" w:eastAsia="黑体" w:hAnsi="黑体" w:hint="eastAsia"/>
        </w:rPr>
        <w:t>三、</w:t>
      </w:r>
      <w:r>
        <w:rPr>
          <w:rFonts w:ascii="黑体" w:eastAsia="黑体" w:hAnsi="黑体" w:hint="eastAsia"/>
        </w:rPr>
        <w:t>2018</w:t>
      </w:r>
      <w:r>
        <w:rPr>
          <w:rFonts w:ascii="黑体" w:eastAsia="黑体" w:hAnsi="黑体" w:hint="eastAsia"/>
        </w:rPr>
        <w:t>年度主要工作完成情况</w:t>
      </w:r>
    </w:p>
    <w:p w:rsidR="000C0FB9" w:rsidRDefault="009E755C">
      <w:pPr>
        <w:spacing w:line="560" w:lineRule="exact"/>
        <w:ind w:firstLine="600"/>
        <w:rPr>
          <w:rFonts w:ascii="黑体" w:eastAsia="黑体"/>
          <w:sz w:val="30"/>
          <w:szCs w:val="30"/>
        </w:rPr>
      </w:pPr>
      <w:r>
        <w:rPr>
          <w:rFonts w:ascii="黑体" w:eastAsia="黑体" w:hint="eastAsia"/>
          <w:sz w:val="30"/>
          <w:szCs w:val="30"/>
        </w:rPr>
        <w:t>一、</w:t>
      </w:r>
      <w:r>
        <w:rPr>
          <w:rFonts w:ascii="黑体" w:eastAsia="黑体" w:hint="eastAsia"/>
          <w:sz w:val="30"/>
          <w:szCs w:val="30"/>
        </w:rPr>
        <w:t>坚决扛起责任，完成环保督察任务</w:t>
      </w:r>
    </w:p>
    <w:p w:rsidR="000C0FB9" w:rsidRDefault="009E755C">
      <w:pPr>
        <w:spacing w:line="560" w:lineRule="exact"/>
        <w:ind w:firstLine="640"/>
      </w:pPr>
      <w:r>
        <w:t>通过省级环保督察、中央环保督察</w:t>
      </w:r>
      <w:r>
        <w:t>“</w:t>
      </w:r>
      <w:r>
        <w:t>回头看</w:t>
      </w:r>
      <w:r>
        <w:t>”</w:t>
      </w:r>
      <w:r>
        <w:t>，我市切实解决了一批生态环境问题。</w:t>
      </w:r>
    </w:p>
    <w:p w:rsidR="000C0FB9" w:rsidRDefault="009E755C">
      <w:pPr>
        <w:numPr>
          <w:ilvl w:val="0"/>
          <w:numId w:val="1"/>
        </w:numPr>
        <w:spacing w:line="560" w:lineRule="exact"/>
        <w:ind w:firstLine="643"/>
        <w:rPr>
          <w:b/>
        </w:rPr>
      </w:pPr>
      <w:r>
        <w:rPr>
          <w:b/>
        </w:rPr>
        <w:t>完成省级环保督察。</w:t>
      </w:r>
    </w:p>
    <w:p w:rsidR="000C0FB9" w:rsidRDefault="009E755C">
      <w:pPr>
        <w:spacing w:line="560" w:lineRule="exact"/>
        <w:ind w:firstLine="643"/>
      </w:pPr>
      <w:r>
        <w:rPr>
          <w:b/>
        </w:rPr>
        <w:t>2</w:t>
      </w:r>
      <w:r>
        <w:rPr>
          <w:b/>
        </w:rPr>
        <w:t>、配合做好中央环保督察</w:t>
      </w:r>
      <w:r>
        <w:rPr>
          <w:b/>
        </w:rPr>
        <w:t>“</w:t>
      </w:r>
      <w:r>
        <w:rPr>
          <w:b/>
        </w:rPr>
        <w:t>回头看</w:t>
      </w:r>
      <w:r>
        <w:rPr>
          <w:b/>
        </w:rPr>
        <w:t>”</w:t>
      </w:r>
      <w:r>
        <w:rPr>
          <w:b/>
        </w:rPr>
        <w:t>。</w:t>
      </w:r>
    </w:p>
    <w:p w:rsidR="000C0FB9" w:rsidRDefault="009E755C">
      <w:pPr>
        <w:spacing w:line="560" w:lineRule="exact"/>
        <w:ind w:firstLine="600"/>
        <w:rPr>
          <w:rFonts w:ascii="黑体" w:eastAsia="黑体"/>
          <w:sz w:val="30"/>
          <w:szCs w:val="30"/>
        </w:rPr>
      </w:pPr>
      <w:r>
        <w:rPr>
          <w:rFonts w:ascii="黑体" w:eastAsia="黑体" w:hint="eastAsia"/>
          <w:sz w:val="30"/>
          <w:szCs w:val="30"/>
        </w:rPr>
        <w:t>二、重视生态建设，提升城乡生态品质</w:t>
      </w:r>
    </w:p>
    <w:p w:rsidR="000C0FB9" w:rsidRDefault="009E755C">
      <w:pPr>
        <w:spacing w:line="560" w:lineRule="exact"/>
        <w:ind w:firstLine="640"/>
      </w:pPr>
      <w:r>
        <w:t>全面启动</w:t>
      </w:r>
      <w:r>
        <w:t>“</w:t>
      </w:r>
      <w:r>
        <w:t>一圈、一带、一区</w:t>
      </w:r>
      <w:r>
        <w:t>”</w:t>
      </w:r>
      <w:r>
        <w:t>的建设，持续开展</w:t>
      </w:r>
      <w:r>
        <w:t>“</w:t>
      </w:r>
      <w:r>
        <w:t>生态绿城</w:t>
      </w:r>
      <w:r>
        <w:t>”</w:t>
      </w:r>
      <w:r>
        <w:t>建设和生态红线区域保护工作，促进区域生态环境状况和绿色发展指数进一步提升。</w:t>
      </w:r>
    </w:p>
    <w:p w:rsidR="000C0FB9" w:rsidRDefault="009E755C">
      <w:pPr>
        <w:spacing w:line="560" w:lineRule="exact"/>
        <w:ind w:firstLine="643"/>
      </w:pPr>
      <w:r>
        <w:rPr>
          <w:b/>
        </w:rPr>
        <w:t>1</w:t>
      </w:r>
      <w:r>
        <w:rPr>
          <w:b/>
        </w:rPr>
        <w:t>、打造生态绿城升级版。</w:t>
      </w:r>
      <w:r>
        <w:rPr>
          <w:rFonts w:hint="eastAsia"/>
        </w:rPr>
        <w:t>全年完成</w:t>
      </w:r>
      <w:r>
        <w:t>生态源保护、城乡公园绿地、生态绿道、生态廊道、健康绿城和生态细胞建设等六大类</w:t>
      </w:r>
      <w:r>
        <w:t>241</w:t>
      </w:r>
      <w:r>
        <w:t>项工程，</w:t>
      </w:r>
      <w:r>
        <w:rPr>
          <w:rFonts w:hint="eastAsia"/>
        </w:rPr>
        <w:t>累计</w:t>
      </w:r>
      <w:r>
        <w:t>增核</w:t>
      </w:r>
      <w:r>
        <w:rPr>
          <w:rFonts w:hint="eastAsia"/>
        </w:rPr>
        <w:t>1.1</w:t>
      </w:r>
      <w:r>
        <w:rPr>
          <w:rFonts w:hint="eastAsia"/>
        </w:rPr>
        <w:t>万</w:t>
      </w:r>
      <w:r>
        <w:t>亩、扩绿</w:t>
      </w:r>
      <w:r>
        <w:rPr>
          <w:rFonts w:hint="eastAsia"/>
        </w:rPr>
        <w:t>7000</w:t>
      </w:r>
      <w:r>
        <w:t>亩、连网</w:t>
      </w:r>
      <w:r>
        <w:rPr>
          <w:rFonts w:hint="eastAsia"/>
        </w:rPr>
        <w:t>300</w:t>
      </w:r>
      <w:r>
        <w:t>公里。</w:t>
      </w:r>
    </w:p>
    <w:p w:rsidR="000C0FB9" w:rsidRDefault="009E755C">
      <w:pPr>
        <w:spacing w:line="560" w:lineRule="exact"/>
        <w:ind w:firstLine="643"/>
      </w:pPr>
      <w:r>
        <w:rPr>
          <w:b/>
        </w:rPr>
        <w:lastRenderedPageBreak/>
        <w:t>2</w:t>
      </w:r>
      <w:r>
        <w:rPr>
          <w:b/>
        </w:rPr>
        <w:t>、推进</w:t>
      </w:r>
      <w:r>
        <w:rPr>
          <w:b/>
        </w:rPr>
        <w:t>“</w:t>
      </w:r>
      <w:r>
        <w:rPr>
          <w:b/>
        </w:rPr>
        <w:t>一圈、一带、一区</w:t>
      </w:r>
      <w:r>
        <w:rPr>
          <w:b/>
        </w:rPr>
        <w:t>”</w:t>
      </w:r>
      <w:r>
        <w:rPr>
          <w:b/>
        </w:rPr>
        <w:t>建设。</w:t>
      </w:r>
    </w:p>
    <w:p w:rsidR="000C0FB9" w:rsidRDefault="009E755C">
      <w:pPr>
        <w:spacing w:line="560" w:lineRule="exact"/>
        <w:ind w:firstLine="643"/>
      </w:pPr>
      <w:r>
        <w:rPr>
          <w:b/>
        </w:rPr>
        <w:t>3</w:t>
      </w:r>
      <w:r>
        <w:rPr>
          <w:b/>
        </w:rPr>
        <w:t>、加强自然生态保护。</w:t>
      </w:r>
      <w:r>
        <w:rPr>
          <w:rFonts w:hint="eastAsia"/>
        </w:rPr>
        <w:t>2018</w:t>
      </w:r>
      <w:r>
        <w:t>年是我省覆盖拉网式农村环境综合试点工作的收官之年，</w:t>
      </w:r>
      <w:r>
        <w:t>基本完成对各辖市区试点工作的复核和验收</w:t>
      </w:r>
      <w:r>
        <w:t>。</w:t>
      </w:r>
    </w:p>
    <w:p w:rsidR="000C0FB9" w:rsidRDefault="009E755C">
      <w:pPr>
        <w:spacing w:line="560" w:lineRule="exact"/>
        <w:ind w:firstLine="600"/>
        <w:rPr>
          <w:rFonts w:ascii="黑体" w:eastAsia="黑体"/>
          <w:sz w:val="30"/>
          <w:szCs w:val="30"/>
        </w:rPr>
      </w:pPr>
      <w:r>
        <w:rPr>
          <w:rFonts w:ascii="黑体" w:eastAsia="黑体" w:hint="eastAsia"/>
          <w:sz w:val="30"/>
          <w:szCs w:val="30"/>
        </w:rPr>
        <w:t>三、打好攻坚战，促进环境质量改善</w:t>
      </w:r>
    </w:p>
    <w:p w:rsidR="000C0FB9" w:rsidRDefault="009E755C">
      <w:pPr>
        <w:spacing w:line="560" w:lineRule="exact"/>
        <w:ind w:firstLine="640"/>
        <w:rPr>
          <w:shd w:val="pct10" w:color="auto" w:fill="FFFFFF"/>
        </w:rPr>
      </w:pPr>
      <w:r>
        <w:rPr>
          <w:rFonts w:hint="eastAsia"/>
        </w:rPr>
        <w:t>2018</w:t>
      </w:r>
      <w:r>
        <w:rPr>
          <w:rFonts w:hint="eastAsia"/>
        </w:rPr>
        <w:t>年</w:t>
      </w:r>
      <w:r>
        <w:t>，常州市区空气质量优良率为</w:t>
      </w:r>
      <w:r>
        <w:rPr>
          <w:rFonts w:cs="仿宋_GB2312" w:hint="eastAsia"/>
        </w:rPr>
        <w:t>63</w:t>
      </w:r>
      <w:r>
        <w:t>%</w:t>
      </w:r>
      <w:r>
        <w:t>，市区</w:t>
      </w:r>
      <w:r>
        <w:t>PM</w:t>
      </w:r>
      <w:r>
        <w:rPr>
          <w:vertAlign w:val="subscript"/>
        </w:rPr>
        <w:t>2.5</w:t>
      </w:r>
      <w:r>
        <w:t>平均浓度</w:t>
      </w:r>
      <w:r>
        <w:t>52.</w:t>
      </w:r>
      <w:r>
        <w:rPr>
          <w:rFonts w:hint="eastAsia"/>
        </w:rPr>
        <w:t>9</w:t>
      </w:r>
      <w:r>
        <w:t>微克</w:t>
      </w:r>
      <w:r>
        <w:t>/</w:t>
      </w:r>
      <w:r>
        <w:t>立方米。集中式饮用水源地水质达标率为</w:t>
      </w:r>
      <w:r>
        <w:t>100%</w:t>
      </w:r>
      <w:r>
        <w:t>；</w:t>
      </w:r>
      <w:r>
        <w:t>33</w:t>
      </w:r>
      <w:r>
        <w:t>个</w:t>
      </w:r>
      <w:r>
        <w:t>“</w:t>
      </w:r>
      <w:r>
        <w:t>水十条</w:t>
      </w:r>
      <w:r>
        <w:t>”</w:t>
      </w:r>
      <w:r>
        <w:t>考核断面达标率</w:t>
      </w:r>
      <w:r>
        <w:rPr>
          <w:rFonts w:hint="eastAsia"/>
        </w:rPr>
        <w:t>87.9</w:t>
      </w:r>
      <w:r>
        <w:t>%</w:t>
      </w:r>
      <w:r>
        <w:t>，</w:t>
      </w:r>
      <w:r>
        <w:t>III</w:t>
      </w:r>
      <w:r>
        <w:t>类水以上比例</w:t>
      </w:r>
      <w:r>
        <w:rPr>
          <w:rFonts w:hint="eastAsia"/>
        </w:rPr>
        <w:t>60.6</w:t>
      </w:r>
      <w:r>
        <w:t>%</w:t>
      </w:r>
      <w:r>
        <w:t>，无劣</w:t>
      </w:r>
      <w:r>
        <w:t>Ⅴ</w:t>
      </w:r>
      <w:r>
        <w:t>类断面，太湖竺山湖连续十一年实现</w:t>
      </w:r>
      <w:r>
        <w:t>“</w:t>
      </w:r>
      <w:r>
        <w:t>两个确保</w:t>
      </w:r>
      <w:r>
        <w:t>”</w:t>
      </w:r>
      <w:r>
        <w:t>目标。</w:t>
      </w:r>
    </w:p>
    <w:p w:rsidR="000C0FB9" w:rsidRDefault="009E755C">
      <w:pPr>
        <w:numPr>
          <w:ilvl w:val="0"/>
          <w:numId w:val="2"/>
        </w:numPr>
        <w:spacing w:line="560" w:lineRule="exact"/>
        <w:ind w:firstLine="643"/>
      </w:pPr>
      <w:r>
        <w:rPr>
          <w:b/>
        </w:rPr>
        <w:t>打好蓝天保卫战。</w:t>
      </w:r>
      <w:r>
        <w:t>我市成立大气污染防治攻坚行动指挥部，市委书记、市长任双总指挥，并下设十六个工作组，合力攻坚大气污染防治。</w:t>
      </w:r>
    </w:p>
    <w:p w:rsidR="000C0FB9" w:rsidRDefault="009E755C">
      <w:pPr>
        <w:spacing w:line="560" w:lineRule="exact"/>
        <w:ind w:firstLine="643"/>
        <w:rPr>
          <w:color w:val="000000"/>
        </w:rPr>
      </w:pPr>
      <w:r>
        <w:rPr>
          <w:b/>
        </w:rPr>
        <w:t>2</w:t>
      </w:r>
      <w:r>
        <w:rPr>
          <w:b/>
        </w:rPr>
        <w:t>、打好碧水保卫战。</w:t>
      </w:r>
      <w:r>
        <w:rPr>
          <w:rFonts w:eastAsia="黑体"/>
          <w:color w:val="000000"/>
        </w:rPr>
        <w:t>一是</w:t>
      </w:r>
      <w:r>
        <w:rPr>
          <w:color w:val="000000"/>
        </w:rPr>
        <w:t>开展太湖安全度夏应急防控。</w:t>
      </w:r>
      <w:r>
        <w:rPr>
          <w:rFonts w:eastAsia="黑体"/>
          <w:color w:val="000000"/>
        </w:rPr>
        <w:t>二是</w:t>
      </w:r>
      <w:r>
        <w:rPr>
          <w:color w:val="000000"/>
        </w:rPr>
        <w:t>稳步推进</w:t>
      </w:r>
      <w:r>
        <w:rPr>
          <w:color w:val="000000"/>
        </w:rPr>
        <w:t>“</w:t>
      </w:r>
      <w:r>
        <w:rPr>
          <w:color w:val="000000"/>
        </w:rPr>
        <w:t>水十条</w:t>
      </w:r>
      <w:r>
        <w:rPr>
          <w:color w:val="000000"/>
        </w:rPr>
        <w:t>”</w:t>
      </w:r>
      <w:r>
        <w:rPr>
          <w:color w:val="000000"/>
        </w:rPr>
        <w:t>重点任务。</w:t>
      </w:r>
      <w:r>
        <w:rPr>
          <w:rFonts w:eastAsia="黑体"/>
          <w:color w:val="000000"/>
        </w:rPr>
        <w:t>三是</w:t>
      </w:r>
      <w:r>
        <w:rPr>
          <w:color w:val="000000"/>
        </w:rPr>
        <w:t>大力整改饮用水环境隐患。</w:t>
      </w:r>
      <w:r>
        <w:rPr>
          <w:rFonts w:eastAsia="黑体"/>
          <w:color w:val="000000"/>
        </w:rPr>
        <w:t>四是</w:t>
      </w:r>
      <w:r>
        <w:rPr>
          <w:color w:val="000000"/>
        </w:rPr>
        <w:t>打造</w:t>
      </w:r>
      <w:r>
        <w:rPr>
          <w:color w:val="000000"/>
        </w:rPr>
        <w:t>“</w:t>
      </w:r>
      <w:r>
        <w:rPr>
          <w:color w:val="000000"/>
        </w:rPr>
        <w:t>清水工程</w:t>
      </w:r>
      <w:r>
        <w:rPr>
          <w:color w:val="000000"/>
        </w:rPr>
        <w:t>”</w:t>
      </w:r>
      <w:r>
        <w:rPr>
          <w:color w:val="000000"/>
        </w:rPr>
        <w:t>升级版。</w:t>
      </w:r>
    </w:p>
    <w:p w:rsidR="000C0FB9" w:rsidRDefault="009E755C">
      <w:pPr>
        <w:spacing w:line="560" w:lineRule="exact"/>
        <w:ind w:firstLine="643"/>
      </w:pPr>
      <w:r>
        <w:rPr>
          <w:b/>
        </w:rPr>
        <w:t>3</w:t>
      </w:r>
      <w:r>
        <w:rPr>
          <w:b/>
        </w:rPr>
        <w:t>、打好净土保卫战。</w:t>
      </w:r>
      <w:r>
        <w:rPr>
          <w:rFonts w:eastAsia="黑体"/>
          <w:color w:val="000000"/>
        </w:rPr>
        <w:t>一是</w:t>
      </w:r>
      <w:r>
        <w:t>全面启动农用地土壤污染状况调查，率先在省内启动农用地土壤采样和样品流转工作，完成土壤和农产品协同样数据检测和入库上报。</w:t>
      </w:r>
      <w:r>
        <w:rPr>
          <w:rFonts w:eastAsia="黑体"/>
        </w:rPr>
        <w:t>二是</w:t>
      </w:r>
      <w:r>
        <w:t>开展重点行业企业用地土壤污染状况调查，已完成信息采集</w:t>
      </w:r>
      <w:r>
        <w:t>89.52%</w:t>
      </w:r>
      <w:r>
        <w:t>。</w:t>
      </w:r>
      <w:r>
        <w:rPr>
          <w:rFonts w:eastAsia="黑体"/>
        </w:rPr>
        <w:t>三是</w:t>
      </w:r>
      <w:r>
        <w:t>实施建设用地准入管理和调查评估制度，建立污染地块名录，落实污染地块联动监管责任，确保土地开发利用符合土壤环境要求。</w:t>
      </w:r>
      <w:r>
        <w:rPr>
          <w:rFonts w:eastAsia="黑体"/>
        </w:rPr>
        <w:t>四是</w:t>
      </w:r>
      <w:r>
        <w:t>加快推进土壤污染综合防治先行区建设，武进区从源头防治、风险</w:t>
      </w:r>
      <w:r>
        <w:lastRenderedPageBreak/>
        <w:t>管控、治理与修复、能力建设等方面进行探索，完成了建设方案编制。</w:t>
      </w:r>
      <w:r>
        <w:rPr>
          <w:rFonts w:eastAsia="黑体"/>
        </w:rPr>
        <w:t>五是</w:t>
      </w:r>
      <w:r>
        <w:t>开展土壤污染治理与修复，实施</w:t>
      </w:r>
      <w:r>
        <w:t>9</w:t>
      </w:r>
      <w:r>
        <w:t>个</w:t>
      </w:r>
      <w:r>
        <w:rPr>
          <w:color w:val="000000"/>
        </w:rPr>
        <w:t>场地修复试点项目</w:t>
      </w:r>
      <w:r>
        <w:t>。</w:t>
      </w:r>
    </w:p>
    <w:p w:rsidR="000C0FB9" w:rsidRDefault="009E755C">
      <w:pPr>
        <w:spacing w:line="560" w:lineRule="exact"/>
        <w:ind w:firstLine="643"/>
        <w:rPr>
          <w:shd w:val="pct10" w:color="auto" w:fill="FFFFFF"/>
        </w:rPr>
      </w:pPr>
      <w:r>
        <w:rPr>
          <w:b/>
        </w:rPr>
        <w:t>4</w:t>
      </w:r>
      <w:r>
        <w:rPr>
          <w:b/>
        </w:rPr>
        <w:t>、加强核与辐射以及固废等</w:t>
      </w:r>
      <w:r>
        <w:rPr>
          <w:b/>
        </w:rPr>
        <w:t>环境管理。</w:t>
      </w:r>
      <w:r>
        <w:rPr>
          <w:bCs/>
        </w:rPr>
        <w:t>加强审批、监管和评估工作</w:t>
      </w:r>
      <w:r>
        <w:t>，确保核与辐射环评执行率、许可证发证率、续证率达</w:t>
      </w:r>
      <w:r>
        <w:t>100%</w:t>
      </w:r>
      <w:r>
        <w:t>，</w:t>
      </w:r>
      <w:r>
        <w:rPr>
          <w:bCs/>
        </w:rPr>
        <w:t>保障全市核与辐射的环境安全。</w:t>
      </w:r>
      <w:r>
        <w:t>牵头推进第二次全国污染源普查，已完成</w:t>
      </w:r>
      <w:r>
        <w:t>3.4</w:t>
      </w:r>
      <w:r>
        <w:t>万个污染源清查和入户调查工作。</w:t>
      </w:r>
    </w:p>
    <w:p w:rsidR="000C0FB9" w:rsidRDefault="009E755C">
      <w:pPr>
        <w:spacing w:line="560" w:lineRule="exact"/>
        <w:ind w:firstLine="600"/>
        <w:rPr>
          <w:rFonts w:ascii="黑体" w:eastAsia="黑体"/>
          <w:sz w:val="30"/>
          <w:szCs w:val="30"/>
        </w:rPr>
      </w:pPr>
      <w:r>
        <w:rPr>
          <w:rFonts w:ascii="黑体" w:eastAsia="黑体" w:hint="eastAsia"/>
          <w:sz w:val="30"/>
          <w:szCs w:val="30"/>
        </w:rPr>
        <w:t>四、坚持依法行政，推进法治环保建设</w:t>
      </w:r>
    </w:p>
    <w:p w:rsidR="000C0FB9" w:rsidRDefault="009E755C">
      <w:pPr>
        <w:spacing w:line="560" w:lineRule="exact"/>
        <w:ind w:firstLine="640"/>
      </w:pPr>
      <w:r>
        <w:rPr>
          <w:rFonts w:hint="eastAsia"/>
        </w:rPr>
        <w:t>全市立案查处环境违法行为案件数同比</w:t>
      </w:r>
      <w:r>
        <w:rPr>
          <w:rFonts w:hint="eastAsia"/>
        </w:rPr>
        <w:t>2017</w:t>
      </w:r>
      <w:r>
        <w:rPr>
          <w:rFonts w:hint="eastAsia"/>
        </w:rPr>
        <w:t>年增长</w:t>
      </w:r>
      <w:r>
        <w:rPr>
          <w:rFonts w:hint="eastAsia"/>
        </w:rPr>
        <w:t>19.1%</w:t>
      </w:r>
      <w:r>
        <w:rPr>
          <w:rFonts w:hint="eastAsia"/>
        </w:rPr>
        <w:t>。</w:t>
      </w:r>
      <w:r>
        <w:rPr>
          <w:rFonts w:hint="eastAsia"/>
          <w:kern w:val="0"/>
        </w:rPr>
        <w:t>市环境执法局被人社部、原环保部</w:t>
      </w:r>
      <w:r>
        <w:rPr>
          <w:rFonts w:hint="eastAsia"/>
        </w:rPr>
        <w:t>评为全国环境保护系统先进集体，连续两年被评为全国、全省环境执法大练兵活动先进集体。</w:t>
      </w:r>
    </w:p>
    <w:p w:rsidR="000C0FB9" w:rsidRDefault="009E755C">
      <w:pPr>
        <w:spacing w:line="560" w:lineRule="exact"/>
        <w:ind w:firstLine="643"/>
        <w:rPr>
          <w:bCs/>
        </w:rPr>
      </w:pPr>
      <w:r>
        <w:rPr>
          <w:b/>
        </w:rPr>
        <w:t>1</w:t>
      </w:r>
      <w:r>
        <w:rPr>
          <w:b/>
        </w:rPr>
        <w:t>、坚持严格准入与精准服务并重。</w:t>
      </w:r>
      <w:r>
        <w:t>严格执行</w:t>
      </w:r>
      <w:r>
        <w:rPr>
          <w:bCs/>
        </w:rPr>
        <w:t>空间准入、总量准入和项目准入</w:t>
      </w:r>
      <w:r>
        <w:rPr>
          <w:bCs/>
        </w:rPr>
        <w:t>“</w:t>
      </w:r>
      <w:r>
        <w:rPr>
          <w:bCs/>
        </w:rPr>
        <w:t>三位一体</w:t>
      </w:r>
      <w:r>
        <w:rPr>
          <w:bCs/>
        </w:rPr>
        <w:t>”</w:t>
      </w:r>
      <w:r>
        <w:rPr>
          <w:bCs/>
        </w:rPr>
        <w:t>的环境准入制度，扎紧污染物管控的</w:t>
      </w:r>
      <w:r>
        <w:rPr>
          <w:bCs/>
        </w:rPr>
        <w:t>“</w:t>
      </w:r>
      <w:r>
        <w:rPr>
          <w:bCs/>
        </w:rPr>
        <w:t>篱笆</w:t>
      </w:r>
      <w:r>
        <w:rPr>
          <w:bCs/>
        </w:rPr>
        <w:t>”</w:t>
      </w:r>
      <w:r>
        <w:rPr>
          <w:bCs/>
        </w:rPr>
        <w:t>。</w:t>
      </w:r>
    </w:p>
    <w:p w:rsidR="000C0FB9" w:rsidRDefault="009E755C">
      <w:pPr>
        <w:spacing w:line="560" w:lineRule="exact"/>
        <w:ind w:firstLine="643"/>
        <w:rPr>
          <w:kern w:val="0"/>
        </w:rPr>
      </w:pPr>
      <w:r>
        <w:rPr>
          <w:b/>
        </w:rPr>
        <w:t>2</w:t>
      </w:r>
      <w:r>
        <w:rPr>
          <w:b/>
        </w:rPr>
        <w:t>、开展大练兵活动和专项执法行动。</w:t>
      </w:r>
      <w:r>
        <w:t>大练兵活动围绕</w:t>
      </w:r>
      <w:r>
        <w:t>“</w:t>
      </w:r>
      <w:r>
        <w:t>全年、全员、全过程</w:t>
      </w:r>
      <w:r>
        <w:t>”</w:t>
      </w:r>
      <w:r>
        <w:t>，细化大练兵工作方案，确保在活动形式上出亮点、案件质量上求提升，将大练兵与各专项行动紧密结合，在</w:t>
      </w:r>
      <w:r>
        <w:t>“</w:t>
      </w:r>
      <w:r>
        <w:t>实战</w:t>
      </w:r>
      <w:r>
        <w:t>”</w:t>
      </w:r>
      <w:r>
        <w:t>中锤炼队伍检验能力。</w:t>
      </w:r>
    </w:p>
    <w:p w:rsidR="000C0FB9" w:rsidRDefault="009E755C">
      <w:pPr>
        <w:spacing w:line="560" w:lineRule="exact"/>
        <w:ind w:firstLine="643"/>
        <w:rPr>
          <w:kern w:val="0"/>
        </w:rPr>
      </w:pPr>
      <w:r>
        <w:rPr>
          <w:b/>
        </w:rPr>
        <w:t>3</w:t>
      </w:r>
      <w:r>
        <w:rPr>
          <w:b/>
        </w:rPr>
        <w:t>、抓好信访调处和环境应急工作。</w:t>
      </w:r>
      <w:r>
        <w:rPr>
          <w:kern w:val="0"/>
        </w:rPr>
        <w:t>继续坚持环境信访分析研判、抽查督办和带案下访等制度，积极化解环境信访投诉和纠纷。</w:t>
      </w:r>
    </w:p>
    <w:p w:rsidR="000C0FB9" w:rsidRDefault="009E755C">
      <w:pPr>
        <w:spacing w:line="560" w:lineRule="exact"/>
        <w:ind w:firstLine="600"/>
        <w:rPr>
          <w:rFonts w:ascii="黑体" w:eastAsia="黑体"/>
          <w:sz w:val="30"/>
          <w:szCs w:val="30"/>
        </w:rPr>
      </w:pPr>
      <w:r>
        <w:rPr>
          <w:rFonts w:ascii="黑体" w:eastAsia="黑体" w:hint="eastAsia"/>
          <w:sz w:val="30"/>
          <w:szCs w:val="30"/>
        </w:rPr>
        <w:t>五、加强队伍建设，打造生态环保铁军</w:t>
      </w:r>
    </w:p>
    <w:p w:rsidR="000C0FB9" w:rsidRDefault="009E755C">
      <w:pPr>
        <w:spacing w:line="560" w:lineRule="exact"/>
        <w:ind w:firstLine="643"/>
        <w:rPr>
          <w:b/>
        </w:rPr>
      </w:pPr>
      <w:r>
        <w:rPr>
          <w:rFonts w:hint="eastAsia"/>
          <w:b/>
        </w:rPr>
        <w:lastRenderedPageBreak/>
        <w:t>1</w:t>
      </w:r>
      <w:r>
        <w:rPr>
          <w:rFonts w:hint="eastAsia"/>
          <w:b/>
        </w:rPr>
        <w:t>、抓意识形态。</w:t>
      </w:r>
      <w:r>
        <w:rPr>
          <w:kern w:val="0"/>
        </w:rPr>
        <w:t>坚持把意识形态工作纳入局党组重要议事日程，</w:t>
      </w:r>
      <w:r>
        <w:t>专题学习中央《党委（党组）意识形态工作责任制实施办法》等文件，专题部署讨论意识形态工作，增强抓意识形态工作的责任意识和使命担当。</w:t>
      </w:r>
    </w:p>
    <w:p w:rsidR="000C0FB9" w:rsidRDefault="009E755C">
      <w:pPr>
        <w:spacing w:line="560" w:lineRule="exact"/>
        <w:ind w:firstLine="643"/>
      </w:pPr>
      <w:r>
        <w:rPr>
          <w:rFonts w:hint="eastAsia"/>
          <w:b/>
        </w:rPr>
        <w:t>2</w:t>
      </w:r>
      <w:r>
        <w:rPr>
          <w:rFonts w:hint="eastAsia"/>
          <w:b/>
        </w:rPr>
        <w:t>、抓队伍作风。</w:t>
      </w:r>
      <w:r>
        <w:t>全面开展解放思想大讨论活动，成立活动领导小组和办公室，确保活动组织开展井然有序。</w:t>
      </w:r>
    </w:p>
    <w:p w:rsidR="000C0FB9" w:rsidRDefault="009E755C">
      <w:pPr>
        <w:spacing w:line="560" w:lineRule="exact"/>
        <w:ind w:firstLine="643"/>
      </w:pPr>
      <w:r>
        <w:rPr>
          <w:rFonts w:hint="eastAsia"/>
          <w:b/>
        </w:rPr>
        <w:t>3</w:t>
      </w:r>
      <w:r>
        <w:rPr>
          <w:b/>
        </w:rPr>
        <w:t>、抓党风廉政。</w:t>
      </w:r>
      <w:r>
        <w:t>为更好地适应环保垂管的新形势，明确局党组、分党组书记为党风廉政建设</w:t>
      </w:r>
      <w:r>
        <w:t>“</w:t>
      </w:r>
      <w:r>
        <w:t>第一责任人</w:t>
      </w:r>
      <w:r>
        <w:t>”</w:t>
      </w:r>
      <w:r>
        <w:t>，局、分局领导班子成员要主动履行</w:t>
      </w:r>
      <w:r>
        <w:t>“</w:t>
      </w:r>
      <w:r>
        <w:t>一岗双责</w:t>
      </w:r>
      <w:r>
        <w:t>”</w:t>
      </w:r>
      <w:r>
        <w:t>，并将党风廉政建设列为考评全年工作的</w:t>
      </w:r>
      <w:r>
        <w:t>“</w:t>
      </w:r>
      <w:r>
        <w:t>一票否决</w:t>
      </w:r>
      <w:r>
        <w:t>”</w:t>
      </w:r>
      <w:r>
        <w:t>指标。</w:t>
      </w:r>
    </w:p>
    <w:p w:rsidR="000C0FB9" w:rsidRDefault="000C0FB9">
      <w:pPr>
        <w:widowControl/>
        <w:ind w:firstLineChars="0" w:firstLine="0"/>
        <w:jc w:val="left"/>
        <w:rPr>
          <w:rFonts w:ascii="黑体" w:eastAsia="黑体" w:hAnsi="黑体" w:cs="宋体"/>
        </w:rPr>
        <w:sectPr w:rsidR="000C0FB9">
          <w:footerReference w:type="default" r:id="rId15"/>
          <w:pgSz w:w="11906" w:h="16838"/>
          <w:pgMar w:top="2098" w:right="1531" w:bottom="1985" w:left="1531" w:header="720" w:footer="720" w:gutter="0"/>
          <w:pgNumType w:start="1"/>
          <w:cols w:space="720"/>
          <w:docGrid w:type="lines" w:linePitch="312"/>
        </w:sectPr>
      </w:pPr>
    </w:p>
    <w:p w:rsidR="000C0FB9" w:rsidRDefault="009E755C">
      <w:pPr>
        <w:spacing w:line="570" w:lineRule="exact"/>
        <w:ind w:firstLineChars="0" w:firstLine="0"/>
        <w:jc w:val="center"/>
        <w:rPr>
          <w:rFonts w:ascii="黑体" w:eastAsia="黑体" w:hAnsi="黑体"/>
        </w:rPr>
      </w:pPr>
      <w:r>
        <w:rPr>
          <w:rFonts w:ascii="黑体" w:eastAsia="黑体" w:hAnsi="黑体" w:hint="eastAsia"/>
        </w:rPr>
        <w:lastRenderedPageBreak/>
        <w:t>第二部分</w:t>
      </w:r>
      <w:r>
        <w:rPr>
          <w:rFonts w:ascii="黑体" w:eastAsia="黑体" w:hAnsi="黑体" w:hint="eastAsia"/>
        </w:rPr>
        <w:t xml:space="preserve"> </w:t>
      </w:r>
      <w:r>
        <w:rPr>
          <w:rFonts w:ascii="黑体" w:eastAsia="黑体" w:hAnsi="黑体" w:hint="eastAsia"/>
        </w:rPr>
        <w:t>常州市环境保护局</w:t>
      </w:r>
      <w:r>
        <w:rPr>
          <w:rFonts w:ascii="黑体" w:eastAsia="黑体" w:hAnsi="黑体" w:hint="eastAsia"/>
        </w:rPr>
        <w:t>2018</w:t>
      </w:r>
      <w:r>
        <w:rPr>
          <w:rFonts w:ascii="黑体" w:eastAsia="黑体" w:hAnsi="黑体" w:hint="eastAsia"/>
        </w:rPr>
        <w:t>年度部门决算表</w:t>
      </w:r>
    </w:p>
    <w:tbl>
      <w:tblPr>
        <w:tblW w:w="9880" w:type="dxa"/>
        <w:jc w:val="center"/>
        <w:tblLayout w:type="fixed"/>
        <w:tblLook w:val="04A0"/>
      </w:tblPr>
      <w:tblGrid>
        <w:gridCol w:w="2436"/>
        <w:gridCol w:w="816"/>
        <w:gridCol w:w="2816"/>
        <w:gridCol w:w="816"/>
        <w:gridCol w:w="2043"/>
        <w:gridCol w:w="953"/>
      </w:tblGrid>
      <w:tr w:rsidR="000C0FB9">
        <w:trPr>
          <w:trHeight w:val="560"/>
          <w:jc w:val="center"/>
        </w:trPr>
        <w:tc>
          <w:tcPr>
            <w:tcW w:w="9880" w:type="dxa"/>
            <w:gridSpan w:val="6"/>
            <w:tcBorders>
              <w:top w:val="nil"/>
              <w:left w:val="nil"/>
              <w:bottom w:val="nil"/>
              <w:right w:val="nil"/>
            </w:tcBorders>
            <w:noWrap/>
            <w:vAlign w:val="center"/>
          </w:tcPr>
          <w:p w:rsidR="000C0FB9" w:rsidRDefault="009E755C">
            <w:pPr>
              <w:widowControl/>
              <w:ind w:firstLineChars="0" w:firstLine="0"/>
              <w:jc w:val="center"/>
              <w:rPr>
                <w:rFonts w:ascii="方正小标宋简体" w:hAnsi="方正小标宋简体"/>
              </w:rPr>
            </w:pPr>
            <w:r>
              <w:rPr>
                <w:rFonts w:ascii="方正小标宋简体" w:hAnsi="方正小标宋简体"/>
              </w:rPr>
              <w:t>收入支出决算总表</w:t>
            </w:r>
          </w:p>
        </w:tc>
      </w:tr>
      <w:tr w:rsidR="000C0FB9">
        <w:trPr>
          <w:trHeight w:val="284"/>
          <w:jc w:val="center"/>
        </w:trPr>
        <w:tc>
          <w:tcPr>
            <w:tcW w:w="2436" w:type="dxa"/>
            <w:tcBorders>
              <w:top w:val="nil"/>
              <w:left w:val="nil"/>
              <w:bottom w:val="nil"/>
              <w:right w:val="nil"/>
            </w:tcBorders>
            <w:noWrap/>
            <w:vAlign w:val="center"/>
          </w:tcPr>
          <w:p w:rsidR="000C0FB9" w:rsidRDefault="000C0FB9">
            <w:pPr>
              <w:widowControl/>
              <w:spacing w:line="400" w:lineRule="exact"/>
              <w:ind w:firstLineChars="0" w:firstLine="0"/>
              <w:jc w:val="center"/>
              <w:rPr>
                <w:rFonts w:ascii="仿宋_GB2312" w:hAnsi="仿宋_GB2312"/>
                <w:sz w:val="36"/>
                <w:szCs w:val="36"/>
              </w:rPr>
            </w:pPr>
          </w:p>
        </w:tc>
        <w:tc>
          <w:tcPr>
            <w:tcW w:w="816" w:type="dxa"/>
            <w:tcBorders>
              <w:top w:val="nil"/>
              <w:left w:val="nil"/>
              <w:bottom w:val="nil"/>
              <w:right w:val="nil"/>
            </w:tcBorders>
            <w:noWrap/>
            <w:vAlign w:val="center"/>
          </w:tcPr>
          <w:p w:rsidR="000C0FB9" w:rsidRDefault="000C0FB9">
            <w:pPr>
              <w:widowControl/>
              <w:spacing w:line="400" w:lineRule="exact"/>
              <w:ind w:firstLineChars="0" w:firstLine="0"/>
              <w:jc w:val="left"/>
              <w:rPr>
                <w:rFonts w:ascii="仿宋_GB2312" w:hAnsi="仿宋_GB2312"/>
                <w:sz w:val="20"/>
                <w:szCs w:val="20"/>
              </w:rPr>
            </w:pPr>
          </w:p>
        </w:tc>
        <w:tc>
          <w:tcPr>
            <w:tcW w:w="2816" w:type="dxa"/>
            <w:tcBorders>
              <w:top w:val="nil"/>
              <w:left w:val="nil"/>
              <w:bottom w:val="nil"/>
              <w:right w:val="nil"/>
            </w:tcBorders>
            <w:noWrap/>
            <w:vAlign w:val="center"/>
          </w:tcPr>
          <w:p w:rsidR="000C0FB9" w:rsidRDefault="000C0FB9">
            <w:pPr>
              <w:widowControl/>
              <w:spacing w:line="400" w:lineRule="exact"/>
              <w:ind w:firstLineChars="0" w:firstLine="0"/>
              <w:jc w:val="left"/>
              <w:rPr>
                <w:rFonts w:ascii="仿宋_GB2312" w:hAnsi="仿宋_GB2312"/>
                <w:sz w:val="20"/>
                <w:szCs w:val="20"/>
              </w:rPr>
            </w:pPr>
          </w:p>
        </w:tc>
        <w:tc>
          <w:tcPr>
            <w:tcW w:w="3812" w:type="dxa"/>
            <w:gridSpan w:val="3"/>
            <w:tcBorders>
              <w:top w:val="nil"/>
              <w:left w:val="nil"/>
              <w:bottom w:val="nil"/>
              <w:right w:val="nil"/>
            </w:tcBorders>
            <w:noWrap/>
            <w:vAlign w:val="center"/>
          </w:tcPr>
          <w:p w:rsidR="000C0FB9" w:rsidRDefault="009E755C">
            <w:pPr>
              <w:widowControl/>
              <w:spacing w:line="40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01</w:t>
            </w:r>
            <w:r>
              <w:rPr>
                <w:rFonts w:ascii="黑体" w:eastAsia="黑体" w:hAnsi="黑体" w:hint="eastAsia"/>
                <w:sz w:val="20"/>
                <w:szCs w:val="20"/>
              </w:rPr>
              <w:t>表</w:t>
            </w:r>
          </w:p>
        </w:tc>
      </w:tr>
      <w:tr w:rsidR="000C0FB9">
        <w:trPr>
          <w:trHeight w:val="319"/>
          <w:jc w:val="center"/>
        </w:trPr>
        <w:tc>
          <w:tcPr>
            <w:tcW w:w="2436" w:type="dxa"/>
            <w:tcBorders>
              <w:top w:val="nil"/>
              <w:left w:val="nil"/>
              <w:bottom w:val="nil"/>
              <w:right w:val="nil"/>
            </w:tcBorders>
            <w:noWrap/>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16"/>
                <w:szCs w:val="16"/>
              </w:rPr>
              <w:t>部门名称：</w:t>
            </w:r>
            <w:r>
              <w:rPr>
                <w:rFonts w:ascii="仿宋_GB2312" w:eastAsia="宋体" w:hAnsi="仿宋_GB2312" w:hint="eastAsia"/>
                <w:sz w:val="16"/>
                <w:szCs w:val="16"/>
              </w:rPr>
              <w:t>常州市环境保护局</w:t>
            </w:r>
          </w:p>
        </w:tc>
        <w:tc>
          <w:tcPr>
            <w:tcW w:w="81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281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3812" w:type="dxa"/>
            <w:gridSpan w:val="3"/>
            <w:tcBorders>
              <w:top w:val="nil"/>
              <w:left w:val="nil"/>
              <w:bottom w:val="single" w:sz="4" w:space="0" w:color="auto"/>
              <w:right w:val="nil"/>
            </w:tcBorders>
            <w:noWrap/>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19"/>
          <w:jc w:val="center"/>
        </w:trPr>
        <w:tc>
          <w:tcPr>
            <w:tcW w:w="3252" w:type="dxa"/>
            <w:gridSpan w:val="2"/>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收入</w:t>
            </w:r>
          </w:p>
        </w:tc>
        <w:tc>
          <w:tcPr>
            <w:tcW w:w="6628" w:type="dxa"/>
            <w:gridSpan w:val="4"/>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支出</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决算数</w:t>
            </w: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按功能分类</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决算数</w:t>
            </w:r>
          </w:p>
        </w:tc>
        <w:tc>
          <w:tcPr>
            <w:tcW w:w="204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按支出性质</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决算数</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一、财政拨款收入</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10401.95</w:t>
            </w: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一、一般公共服务支出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5"/>
                <w:szCs w:val="15"/>
              </w:rPr>
            </w:pPr>
          </w:p>
        </w:tc>
        <w:tc>
          <w:tcPr>
            <w:tcW w:w="2043"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一、基本支出</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6022.33</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其中：政府性基金预算财政拨款</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二、外交支出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二、项目支出</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5455.15</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二、上级补助收入</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636.03</w:t>
            </w: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三、国防支出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三、上缴上级支出</w:t>
            </w: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三、事业收入</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77.93</w:t>
            </w: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四、公共安全支出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四、经营支出</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370.41</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四、经营收入</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373.61</w:t>
            </w: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五、教育支出</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2</w:t>
            </w:r>
          </w:p>
        </w:tc>
        <w:tc>
          <w:tcPr>
            <w:tcW w:w="2043" w:type="dxa"/>
            <w:tcBorders>
              <w:top w:val="nil"/>
              <w:left w:val="nil"/>
              <w:bottom w:val="single" w:sz="4" w:space="0" w:color="auto"/>
              <w:right w:val="single" w:sz="4" w:space="0" w:color="auto"/>
            </w:tcBorders>
            <w:noWrap/>
            <w:vAlign w:val="center"/>
          </w:tcPr>
          <w:p w:rsidR="000C0FB9" w:rsidRDefault="009E755C">
            <w:pPr>
              <w:widowControl/>
              <w:spacing w:line="320" w:lineRule="exact"/>
              <w:ind w:firstLineChars="0" w:firstLine="0"/>
              <w:jc w:val="left"/>
              <w:rPr>
                <w:rFonts w:ascii="仿宋_GB2312" w:hAnsi="仿宋_GB2312"/>
                <w:sz w:val="20"/>
                <w:szCs w:val="20"/>
              </w:rPr>
            </w:pPr>
            <w:r>
              <w:rPr>
                <w:rFonts w:ascii="宋体" w:eastAsia="宋体" w:hAnsi="宋体" w:cs="宋体" w:hint="eastAsia"/>
                <w:sz w:val="20"/>
                <w:szCs w:val="20"/>
              </w:rPr>
              <w:t>五、对附属单位补助支出</w:t>
            </w: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五、附属单位上缴收入</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六、科学技术支出</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23.52</w:t>
            </w: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六、其他收入</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540.49</w:t>
            </w: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七、文化体育与传媒支出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八、社会保障和就业支出</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18.47</w:t>
            </w: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九、医疗卫生与计划生育支出</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177.97</w:t>
            </w: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十、节能环保支出</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10654.27</w:t>
            </w: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十一、城乡社区支出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十二、农林水支出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十三、交通运输支出</w:t>
            </w:r>
          </w:p>
        </w:tc>
        <w:tc>
          <w:tcPr>
            <w:tcW w:w="816"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十四、资源勘探信息等支出</w:t>
            </w:r>
          </w:p>
        </w:tc>
        <w:tc>
          <w:tcPr>
            <w:tcW w:w="816"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十五、商业服务业等支出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十六、金融支出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十七、援助其他地区支出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十八、国土海洋气象等支出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十九、住房保障支出</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971.66</w:t>
            </w: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二十、粮油物资储备支出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二十一、其他支出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二十二、债务还本支出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 xml:space="preserve">　</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2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二十三、债务付息支出</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204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本年收入合计</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12030.01</w:t>
            </w:r>
          </w:p>
        </w:tc>
        <w:tc>
          <w:tcPr>
            <w:tcW w:w="5675" w:type="dxa"/>
            <w:gridSpan w:val="3"/>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本年支出合计</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11847.89</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用事业基金弥补收支差额</w:t>
            </w: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5"/>
                <w:szCs w:val="15"/>
              </w:rPr>
            </w:pPr>
          </w:p>
        </w:tc>
        <w:tc>
          <w:tcPr>
            <w:tcW w:w="5675" w:type="dxa"/>
            <w:gridSpan w:val="3"/>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结余分配</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3.2</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年初结转和结余</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1676.97</w:t>
            </w:r>
          </w:p>
        </w:tc>
        <w:tc>
          <w:tcPr>
            <w:tcW w:w="5675" w:type="dxa"/>
            <w:gridSpan w:val="3"/>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年末结转和结余</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1855.9</w:t>
            </w: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center"/>
              <w:rPr>
                <w:rFonts w:ascii="仿宋_GB2312" w:hAnsi="仿宋_GB2312"/>
                <w:sz w:val="20"/>
                <w:szCs w:val="20"/>
              </w:rPr>
            </w:pPr>
          </w:p>
        </w:tc>
        <w:tc>
          <w:tcPr>
            <w:tcW w:w="8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5"/>
                <w:szCs w:val="15"/>
              </w:rPr>
            </w:pPr>
          </w:p>
        </w:tc>
        <w:tc>
          <w:tcPr>
            <w:tcW w:w="5675" w:type="dxa"/>
            <w:gridSpan w:val="3"/>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5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r>
      <w:tr w:rsidR="000C0FB9">
        <w:trPr>
          <w:trHeight w:val="319"/>
          <w:jc w:val="center"/>
        </w:trPr>
        <w:tc>
          <w:tcPr>
            <w:tcW w:w="243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总计</w:t>
            </w:r>
          </w:p>
        </w:tc>
        <w:tc>
          <w:tcPr>
            <w:tcW w:w="8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5"/>
                <w:szCs w:val="15"/>
              </w:rPr>
            </w:pPr>
            <w:r>
              <w:rPr>
                <w:rFonts w:asciiTheme="minorEastAsia" w:eastAsiaTheme="minorEastAsia" w:hAnsiTheme="minorEastAsia" w:cstheme="minorEastAsia" w:hint="eastAsia"/>
                <w:sz w:val="15"/>
                <w:szCs w:val="15"/>
              </w:rPr>
              <w:t>13706.98</w:t>
            </w:r>
          </w:p>
        </w:tc>
        <w:tc>
          <w:tcPr>
            <w:tcW w:w="5675" w:type="dxa"/>
            <w:gridSpan w:val="3"/>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总计</w:t>
            </w:r>
          </w:p>
        </w:tc>
        <w:tc>
          <w:tcPr>
            <w:tcW w:w="953"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13706.98</w:t>
            </w:r>
          </w:p>
        </w:tc>
      </w:tr>
    </w:tbl>
    <w:p w:rsidR="000C0FB9" w:rsidRDefault="000C0FB9">
      <w:pPr>
        <w:spacing w:line="240" w:lineRule="exact"/>
        <w:ind w:firstLine="640"/>
        <w:rPr>
          <w:rFonts w:ascii="仿宋_GB2312" w:hAnsi="仿宋_GB2312"/>
        </w:rPr>
      </w:pPr>
    </w:p>
    <w:tbl>
      <w:tblPr>
        <w:tblW w:w="10056" w:type="dxa"/>
        <w:jc w:val="center"/>
        <w:tblLayout w:type="fixed"/>
        <w:tblLook w:val="04A0"/>
      </w:tblPr>
      <w:tblGrid>
        <w:gridCol w:w="1197"/>
        <w:gridCol w:w="1770"/>
        <w:gridCol w:w="1064"/>
        <w:gridCol w:w="1028"/>
        <w:gridCol w:w="916"/>
        <w:gridCol w:w="772"/>
        <w:gridCol w:w="812"/>
        <w:gridCol w:w="1188"/>
        <w:gridCol w:w="1309"/>
      </w:tblGrid>
      <w:tr w:rsidR="000C0FB9">
        <w:trPr>
          <w:trHeight w:val="566"/>
          <w:jc w:val="center"/>
        </w:trPr>
        <w:tc>
          <w:tcPr>
            <w:tcW w:w="10056" w:type="dxa"/>
            <w:gridSpan w:val="9"/>
            <w:tcBorders>
              <w:top w:val="nil"/>
              <w:left w:val="nil"/>
              <w:bottom w:val="nil"/>
              <w:right w:val="nil"/>
            </w:tcBorders>
            <w:noWrap/>
            <w:vAlign w:val="center"/>
          </w:tcPr>
          <w:p w:rsidR="000C0FB9" w:rsidRDefault="009E755C">
            <w:pPr>
              <w:widowControl/>
              <w:spacing w:line="570" w:lineRule="exact"/>
              <w:ind w:firstLineChars="0" w:firstLine="0"/>
              <w:jc w:val="center"/>
              <w:rPr>
                <w:rFonts w:ascii="方正小标宋简体" w:hAnsi="方正小标宋简体"/>
              </w:rPr>
            </w:pPr>
            <w:bookmarkStart w:id="0" w:name="RANGE!A1:I13"/>
            <w:r>
              <w:rPr>
                <w:rFonts w:ascii="方正小标宋简体" w:hAnsi="方正小标宋简体"/>
              </w:rPr>
              <w:lastRenderedPageBreak/>
              <w:t>收入决算表</w:t>
            </w:r>
            <w:bookmarkEnd w:id="0"/>
          </w:p>
        </w:tc>
      </w:tr>
      <w:tr w:rsidR="000C0FB9">
        <w:trPr>
          <w:trHeight w:val="319"/>
          <w:jc w:val="center"/>
        </w:trPr>
        <w:tc>
          <w:tcPr>
            <w:tcW w:w="1197" w:type="dxa"/>
            <w:tcBorders>
              <w:top w:val="nil"/>
              <w:left w:val="nil"/>
              <w:bottom w:val="nil"/>
              <w:right w:val="nil"/>
            </w:tcBorders>
            <w:noWrap/>
            <w:vAlign w:val="center"/>
          </w:tcPr>
          <w:p w:rsidR="000C0FB9" w:rsidRDefault="000C0FB9">
            <w:pPr>
              <w:widowControl/>
              <w:spacing w:line="300" w:lineRule="exact"/>
              <w:ind w:firstLineChars="0" w:firstLine="0"/>
              <w:jc w:val="center"/>
              <w:rPr>
                <w:rFonts w:ascii="仿宋_GB2312" w:hAnsi="仿宋_GB2312"/>
                <w:sz w:val="36"/>
                <w:szCs w:val="36"/>
              </w:rPr>
            </w:pPr>
          </w:p>
        </w:tc>
        <w:tc>
          <w:tcPr>
            <w:tcW w:w="1770"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1064"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1028"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916"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772"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812"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1188"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1309" w:type="dxa"/>
            <w:tcBorders>
              <w:top w:val="nil"/>
              <w:left w:val="nil"/>
              <w:bottom w:val="nil"/>
              <w:right w:val="nil"/>
            </w:tcBorders>
            <w:noWrap/>
            <w:vAlign w:val="center"/>
          </w:tcPr>
          <w:p w:rsidR="000C0FB9" w:rsidRDefault="009E755C">
            <w:pPr>
              <w:widowControl/>
              <w:spacing w:line="30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02</w:t>
            </w:r>
            <w:r>
              <w:rPr>
                <w:rFonts w:ascii="黑体" w:eastAsia="黑体" w:hAnsi="黑体" w:hint="eastAsia"/>
                <w:sz w:val="20"/>
                <w:szCs w:val="20"/>
              </w:rPr>
              <w:t>表</w:t>
            </w:r>
          </w:p>
        </w:tc>
      </w:tr>
      <w:tr w:rsidR="000C0FB9">
        <w:trPr>
          <w:trHeight w:val="319"/>
          <w:jc w:val="center"/>
        </w:trPr>
        <w:tc>
          <w:tcPr>
            <w:tcW w:w="2967" w:type="dxa"/>
            <w:gridSpan w:val="2"/>
            <w:tcBorders>
              <w:top w:val="nil"/>
              <w:left w:val="nil"/>
              <w:bottom w:val="nil"/>
              <w:right w:val="nil"/>
            </w:tcBorders>
            <w:noWrap/>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18"/>
                <w:szCs w:val="18"/>
              </w:rPr>
              <w:t>部门名称：</w:t>
            </w:r>
            <w:r>
              <w:rPr>
                <w:rFonts w:ascii="仿宋_GB2312" w:eastAsia="宋体" w:hAnsi="仿宋_GB2312" w:hint="eastAsia"/>
                <w:sz w:val="18"/>
                <w:szCs w:val="18"/>
              </w:rPr>
              <w:t>常州市环境保护局</w:t>
            </w:r>
          </w:p>
        </w:tc>
        <w:tc>
          <w:tcPr>
            <w:tcW w:w="1064"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028"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91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772" w:type="dxa"/>
            <w:tcBorders>
              <w:top w:val="nil"/>
              <w:left w:val="nil"/>
              <w:bottom w:val="nil"/>
              <w:right w:val="nil"/>
            </w:tcBorders>
            <w:noWrap/>
            <w:vAlign w:val="center"/>
          </w:tcPr>
          <w:p w:rsidR="000C0FB9" w:rsidRDefault="000C0FB9">
            <w:pPr>
              <w:widowControl/>
              <w:ind w:firstLineChars="0" w:firstLine="0"/>
              <w:jc w:val="center"/>
              <w:rPr>
                <w:rFonts w:ascii="仿宋_GB2312" w:hAnsi="仿宋_GB2312"/>
                <w:sz w:val="20"/>
                <w:szCs w:val="20"/>
              </w:rPr>
            </w:pPr>
          </w:p>
        </w:tc>
        <w:tc>
          <w:tcPr>
            <w:tcW w:w="812"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188"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309" w:type="dxa"/>
            <w:tcBorders>
              <w:top w:val="nil"/>
              <w:left w:val="nil"/>
              <w:bottom w:val="nil"/>
              <w:right w:val="nil"/>
            </w:tcBorders>
            <w:noWrap/>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97"/>
          <w:jc w:val="center"/>
        </w:trPr>
        <w:tc>
          <w:tcPr>
            <w:tcW w:w="2967" w:type="dxa"/>
            <w:gridSpan w:val="2"/>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064"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本年收入合计</w:t>
            </w:r>
          </w:p>
        </w:tc>
        <w:tc>
          <w:tcPr>
            <w:tcW w:w="1028"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财政拨款收入</w:t>
            </w:r>
          </w:p>
        </w:tc>
        <w:tc>
          <w:tcPr>
            <w:tcW w:w="916"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上级补助收入</w:t>
            </w:r>
          </w:p>
        </w:tc>
        <w:tc>
          <w:tcPr>
            <w:tcW w:w="772"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事业收入</w:t>
            </w:r>
          </w:p>
        </w:tc>
        <w:tc>
          <w:tcPr>
            <w:tcW w:w="812"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经营收入</w:t>
            </w:r>
          </w:p>
        </w:tc>
        <w:tc>
          <w:tcPr>
            <w:tcW w:w="1188"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附属单位上缴收入</w:t>
            </w:r>
          </w:p>
        </w:tc>
        <w:tc>
          <w:tcPr>
            <w:tcW w:w="1309" w:type="dxa"/>
            <w:vMerge w:val="restart"/>
            <w:tcBorders>
              <w:top w:val="single" w:sz="4" w:space="0" w:color="auto"/>
              <w:left w:val="nil"/>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其他收入</w:t>
            </w:r>
          </w:p>
        </w:tc>
      </w:tr>
      <w:tr w:rsidR="000C0FB9">
        <w:trPr>
          <w:trHeight w:val="397"/>
          <w:jc w:val="center"/>
        </w:trPr>
        <w:tc>
          <w:tcPr>
            <w:tcW w:w="1197" w:type="dxa"/>
            <w:tcBorders>
              <w:top w:val="nil"/>
              <w:left w:val="single" w:sz="4" w:space="0" w:color="auto"/>
              <w:bottom w:val="single" w:sz="4" w:space="0" w:color="auto"/>
              <w:right w:val="single" w:sz="4" w:space="0" w:color="auto"/>
            </w:tcBorders>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功能分类科目编码</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064"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028"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916"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772"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812"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88"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309"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97"/>
          <w:jc w:val="center"/>
        </w:trPr>
        <w:tc>
          <w:tcPr>
            <w:tcW w:w="2967" w:type="dxa"/>
            <w:gridSpan w:val="2"/>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064" w:type="dxa"/>
            <w:tcBorders>
              <w:top w:val="single" w:sz="4" w:space="0" w:color="auto"/>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12030.01</w:t>
            </w:r>
          </w:p>
        </w:tc>
        <w:tc>
          <w:tcPr>
            <w:tcW w:w="1028" w:type="dxa"/>
            <w:tcBorders>
              <w:top w:val="single" w:sz="4" w:space="0" w:color="auto"/>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10401.95</w:t>
            </w:r>
          </w:p>
        </w:tc>
        <w:tc>
          <w:tcPr>
            <w:tcW w:w="916" w:type="dxa"/>
            <w:tcBorders>
              <w:top w:val="single" w:sz="4" w:space="0" w:color="auto"/>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636.03</w:t>
            </w:r>
          </w:p>
        </w:tc>
        <w:tc>
          <w:tcPr>
            <w:tcW w:w="772" w:type="dxa"/>
            <w:tcBorders>
              <w:top w:val="single" w:sz="4" w:space="0" w:color="auto"/>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77.93</w:t>
            </w:r>
          </w:p>
        </w:tc>
        <w:tc>
          <w:tcPr>
            <w:tcW w:w="812" w:type="dxa"/>
            <w:tcBorders>
              <w:top w:val="single" w:sz="4" w:space="0" w:color="auto"/>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373.61</w:t>
            </w:r>
          </w:p>
        </w:tc>
        <w:tc>
          <w:tcPr>
            <w:tcW w:w="1188" w:type="dxa"/>
            <w:tcBorders>
              <w:top w:val="single" w:sz="4" w:space="0" w:color="auto"/>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single" w:sz="4" w:space="0" w:color="auto"/>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540.49</w:t>
            </w: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教育支出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科学技术支出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4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技术研究与开发</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其他技术研究与开发</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社会保障和就业支出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行政事业单位离退休</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归口管理的行政单位离退休</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事业单位离退休</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医疗卫生与计划生育支出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行政事业单位医疗</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行政单位医疗</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事业单位医疗</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2101103</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节能环保支出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10836.39</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9208.33</w:t>
            </w:r>
          </w:p>
        </w:tc>
        <w:tc>
          <w:tcPr>
            <w:tcW w:w="916"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636.03</w:t>
            </w:r>
          </w:p>
        </w:tc>
        <w:tc>
          <w:tcPr>
            <w:tcW w:w="77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77.93</w:t>
            </w:r>
          </w:p>
        </w:tc>
        <w:tc>
          <w:tcPr>
            <w:tcW w:w="81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373.61</w:t>
            </w: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540.49</w:t>
            </w: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环境保护管理事务</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3532.56</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2742.46</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32.71</w:t>
            </w:r>
          </w:p>
        </w:tc>
        <w:tc>
          <w:tcPr>
            <w:tcW w:w="81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241.9</w:t>
            </w: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515.49</w:t>
            </w: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行政运行</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102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一般行政管理事务</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2110105</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环境保护法规、规划及标准</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2110199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其他环境保护管理事务</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936.22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146.12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32.71</w:t>
            </w:r>
          </w:p>
        </w:tc>
        <w:tc>
          <w:tcPr>
            <w:tcW w:w="81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241.9</w:t>
            </w: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515.49</w:t>
            </w: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环境监测与监察</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837.2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791.99</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45.22</w:t>
            </w: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其他环境监测与监察</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837.2</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791.99</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45.22</w:t>
            </w: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污染防治</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其他污染防治</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自然生态保护</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3279.93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3123.22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生态保护</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3279.93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3123.22</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污染减排</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2088.07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2088.07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环境监测与信息</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2053.27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2053.27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环境执法监察</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其他污染减排支出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24.97</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24.97</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644.63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c>
          <w:tcPr>
            <w:tcW w:w="916"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636.03</w:t>
            </w: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644.63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c>
          <w:tcPr>
            <w:tcW w:w="916"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636.03</w:t>
            </w: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2210201</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2210202</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提租补贴</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197" w:type="dxa"/>
            <w:tcBorders>
              <w:top w:val="nil"/>
              <w:left w:val="single" w:sz="4" w:space="0" w:color="auto"/>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2210203</w:t>
            </w:r>
          </w:p>
        </w:tc>
        <w:tc>
          <w:tcPr>
            <w:tcW w:w="1770"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购房补贴</w:t>
            </w:r>
          </w:p>
        </w:tc>
        <w:tc>
          <w:tcPr>
            <w:tcW w:w="1064"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102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916"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77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812"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188"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c>
          <w:tcPr>
            <w:tcW w:w="1309" w:type="dxa"/>
            <w:tcBorders>
              <w:top w:val="nil"/>
              <w:left w:val="nil"/>
              <w:bottom w:val="single" w:sz="4" w:space="0" w:color="auto"/>
              <w:right w:val="single" w:sz="4" w:space="0" w:color="auto"/>
            </w:tcBorders>
            <w:noWrap/>
            <w:vAlign w:val="center"/>
          </w:tcPr>
          <w:p w:rsidR="000C0FB9" w:rsidRDefault="000C0FB9">
            <w:pPr>
              <w:widowControl/>
              <w:spacing w:line="300" w:lineRule="exact"/>
              <w:ind w:firstLineChars="0" w:firstLine="0"/>
              <w:jc w:val="center"/>
              <w:rPr>
                <w:rFonts w:asciiTheme="minorEastAsia" w:eastAsiaTheme="minorEastAsia" w:hAnsiTheme="minorEastAsia" w:cstheme="minorEastAsia"/>
                <w:sz w:val="18"/>
                <w:szCs w:val="18"/>
              </w:rPr>
            </w:pPr>
          </w:p>
        </w:tc>
      </w:tr>
      <w:tr w:rsidR="000C0FB9">
        <w:trPr>
          <w:trHeight w:val="390"/>
          <w:jc w:val="center"/>
        </w:trPr>
        <w:tc>
          <w:tcPr>
            <w:tcW w:w="4031" w:type="dxa"/>
            <w:gridSpan w:val="3"/>
            <w:tcBorders>
              <w:top w:val="nil"/>
              <w:left w:val="nil"/>
              <w:bottom w:val="nil"/>
              <w:right w:val="nil"/>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c>
          <w:tcPr>
            <w:tcW w:w="1028"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91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772"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812"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188"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309"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r>
    </w:tbl>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tbl>
      <w:tblPr>
        <w:tblW w:w="10277" w:type="dxa"/>
        <w:jc w:val="center"/>
        <w:tblLayout w:type="fixed"/>
        <w:tblLook w:val="04A0"/>
      </w:tblPr>
      <w:tblGrid>
        <w:gridCol w:w="1095"/>
        <w:gridCol w:w="2038"/>
        <w:gridCol w:w="1423"/>
        <w:gridCol w:w="1149"/>
        <w:gridCol w:w="956"/>
        <w:gridCol w:w="1169"/>
        <w:gridCol w:w="785"/>
        <w:gridCol w:w="1662"/>
      </w:tblGrid>
      <w:tr w:rsidR="000C0FB9">
        <w:trPr>
          <w:trHeight w:val="627"/>
          <w:jc w:val="center"/>
        </w:trPr>
        <w:tc>
          <w:tcPr>
            <w:tcW w:w="10277" w:type="dxa"/>
            <w:gridSpan w:val="8"/>
            <w:tcBorders>
              <w:top w:val="nil"/>
              <w:left w:val="nil"/>
              <w:bottom w:val="nil"/>
              <w:right w:val="nil"/>
            </w:tcBorders>
            <w:noWrap/>
            <w:vAlign w:val="center"/>
          </w:tcPr>
          <w:p w:rsidR="000C0FB9" w:rsidRDefault="009E755C">
            <w:pPr>
              <w:widowControl/>
              <w:spacing w:line="570" w:lineRule="exact"/>
              <w:ind w:firstLineChars="0" w:firstLine="0"/>
              <w:jc w:val="center"/>
              <w:rPr>
                <w:rFonts w:ascii="方正小标宋简体" w:hAnsi="方正小标宋简体"/>
              </w:rPr>
            </w:pPr>
            <w:bookmarkStart w:id="1" w:name="RANGE!A1:H13"/>
            <w:r>
              <w:rPr>
                <w:rFonts w:ascii="方正小标宋简体" w:hAnsi="方正小标宋简体"/>
              </w:rPr>
              <w:lastRenderedPageBreak/>
              <w:t>支出决算表</w:t>
            </w:r>
            <w:bookmarkEnd w:id="1"/>
          </w:p>
        </w:tc>
      </w:tr>
      <w:tr w:rsidR="000C0FB9">
        <w:trPr>
          <w:trHeight w:val="423"/>
          <w:jc w:val="center"/>
        </w:trPr>
        <w:tc>
          <w:tcPr>
            <w:tcW w:w="1095" w:type="dxa"/>
            <w:tcBorders>
              <w:top w:val="nil"/>
              <w:left w:val="nil"/>
              <w:bottom w:val="nil"/>
              <w:right w:val="nil"/>
            </w:tcBorders>
            <w:noWrap/>
            <w:vAlign w:val="bottom"/>
          </w:tcPr>
          <w:p w:rsidR="000C0FB9" w:rsidRDefault="000C0FB9">
            <w:pPr>
              <w:widowControl/>
              <w:spacing w:line="300" w:lineRule="exact"/>
              <w:ind w:firstLineChars="0" w:firstLine="0"/>
              <w:jc w:val="center"/>
              <w:rPr>
                <w:rFonts w:ascii="仿宋_GB2312" w:hAnsi="仿宋_GB2312"/>
                <w:sz w:val="36"/>
                <w:szCs w:val="36"/>
              </w:rPr>
            </w:pPr>
          </w:p>
        </w:tc>
        <w:tc>
          <w:tcPr>
            <w:tcW w:w="2038" w:type="dxa"/>
            <w:tcBorders>
              <w:top w:val="nil"/>
              <w:left w:val="nil"/>
              <w:bottom w:val="nil"/>
              <w:right w:val="nil"/>
            </w:tcBorders>
            <w:noWrap/>
            <w:vAlign w:val="bottom"/>
          </w:tcPr>
          <w:p w:rsidR="000C0FB9" w:rsidRDefault="000C0FB9">
            <w:pPr>
              <w:widowControl/>
              <w:spacing w:line="300" w:lineRule="exact"/>
              <w:ind w:firstLineChars="0" w:firstLine="0"/>
              <w:jc w:val="left"/>
              <w:rPr>
                <w:rFonts w:ascii="仿宋_GB2312" w:hAnsi="仿宋_GB2312"/>
                <w:sz w:val="20"/>
                <w:szCs w:val="20"/>
              </w:rPr>
            </w:pPr>
          </w:p>
        </w:tc>
        <w:tc>
          <w:tcPr>
            <w:tcW w:w="1423" w:type="dxa"/>
            <w:tcBorders>
              <w:top w:val="nil"/>
              <w:left w:val="nil"/>
              <w:bottom w:val="nil"/>
              <w:right w:val="nil"/>
            </w:tcBorders>
            <w:noWrap/>
            <w:vAlign w:val="bottom"/>
          </w:tcPr>
          <w:p w:rsidR="000C0FB9" w:rsidRDefault="000C0FB9">
            <w:pPr>
              <w:widowControl/>
              <w:spacing w:line="300" w:lineRule="exact"/>
              <w:ind w:firstLineChars="0" w:firstLine="0"/>
              <w:jc w:val="left"/>
              <w:rPr>
                <w:rFonts w:ascii="仿宋_GB2312" w:hAnsi="仿宋_GB2312"/>
                <w:sz w:val="20"/>
                <w:szCs w:val="20"/>
              </w:rPr>
            </w:pPr>
          </w:p>
        </w:tc>
        <w:tc>
          <w:tcPr>
            <w:tcW w:w="1149" w:type="dxa"/>
            <w:tcBorders>
              <w:top w:val="nil"/>
              <w:left w:val="nil"/>
              <w:bottom w:val="nil"/>
              <w:right w:val="nil"/>
            </w:tcBorders>
            <w:noWrap/>
            <w:vAlign w:val="bottom"/>
          </w:tcPr>
          <w:p w:rsidR="000C0FB9" w:rsidRDefault="000C0FB9">
            <w:pPr>
              <w:widowControl/>
              <w:spacing w:line="300" w:lineRule="exact"/>
              <w:ind w:firstLineChars="0" w:firstLine="0"/>
              <w:jc w:val="left"/>
              <w:rPr>
                <w:rFonts w:ascii="仿宋_GB2312" w:hAnsi="仿宋_GB2312"/>
                <w:sz w:val="20"/>
                <w:szCs w:val="20"/>
              </w:rPr>
            </w:pPr>
          </w:p>
        </w:tc>
        <w:tc>
          <w:tcPr>
            <w:tcW w:w="956" w:type="dxa"/>
            <w:tcBorders>
              <w:top w:val="nil"/>
              <w:left w:val="nil"/>
              <w:bottom w:val="nil"/>
              <w:right w:val="nil"/>
            </w:tcBorders>
            <w:noWrap/>
            <w:vAlign w:val="bottom"/>
          </w:tcPr>
          <w:p w:rsidR="000C0FB9" w:rsidRDefault="000C0FB9">
            <w:pPr>
              <w:widowControl/>
              <w:spacing w:line="300" w:lineRule="exact"/>
              <w:ind w:firstLineChars="0" w:firstLine="0"/>
              <w:jc w:val="left"/>
              <w:rPr>
                <w:rFonts w:ascii="仿宋_GB2312" w:hAnsi="仿宋_GB2312"/>
                <w:sz w:val="20"/>
                <w:szCs w:val="20"/>
              </w:rPr>
            </w:pPr>
          </w:p>
        </w:tc>
        <w:tc>
          <w:tcPr>
            <w:tcW w:w="1169" w:type="dxa"/>
            <w:tcBorders>
              <w:top w:val="nil"/>
              <w:left w:val="nil"/>
              <w:bottom w:val="nil"/>
              <w:right w:val="nil"/>
            </w:tcBorders>
            <w:noWrap/>
            <w:vAlign w:val="bottom"/>
          </w:tcPr>
          <w:p w:rsidR="000C0FB9" w:rsidRDefault="000C0FB9">
            <w:pPr>
              <w:widowControl/>
              <w:spacing w:line="300" w:lineRule="exact"/>
              <w:ind w:firstLineChars="0" w:firstLine="0"/>
              <w:jc w:val="left"/>
              <w:rPr>
                <w:rFonts w:ascii="仿宋_GB2312" w:hAnsi="仿宋_GB2312"/>
                <w:sz w:val="20"/>
                <w:szCs w:val="20"/>
              </w:rPr>
            </w:pPr>
          </w:p>
        </w:tc>
        <w:tc>
          <w:tcPr>
            <w:tcW w:w="785" w:type="dxa"/>
            <w:tcBorders>
              <w:top w:val="nil"/>
              <w:left w:val="nil"/>
              <w:bottom w:val="nil"/>
              <w:right w:val="nil"/>
            </w:tcBorders>
            <w:noWrap/>
            <w:vAlign w:val="bottom"/>
          </w:tcPr>
          <w:p w:rsidR="000C0FB9" w:rsidRDefault="000C0FB9">
            <w:pPr>
              <w:widowControl/>
              <w:spacing w:line="300" w:lineRule="exact"/>
              <w:ind w:firstLineChars="0" w:firstLine="0"/>
              <w:jc w:val="left"/>
              <w:rPr>
                <w:rFonts w:ascii="仿宋_GB2312" w:hAnsi="仿宋_GB2312"/>
                <w:sz w:val="20"/>
                <w:szCs w:val="20"/>
              </w:rPr>
            </w:pPr>
          </w:p>
        </w:tc>
        <w:tc>
          <w:tcPr>
            <w:tcW w:w="1662" w:type="dxa"/>
            <w:tcBorders>
              <w:top w:val="nil"/>
              <w:left w:val="nil"/>
              <w:bottom w:val="nil"/>
              <w:right w:val="nil"/>
            </w:tcBorders>
            <w:noWrap/>
            <w:vAlign w:val="bottom"/>
          </w:tcPr>
          <w:p w:rsidR="000C0FB9" w:rsidRDefault="009E755C">
            <w:pPr>
              <w:widowControl/>
              <w:spacing w:line="30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03</w:t>
            </w:r>
            <w:r>
              <w:rPr>
                <w:rFonts w:ascii="黑体" w:eastAsia="黑体" w:hAnsi="黑体" w:hint="eastAsia"/>
                <w:sz w:val="20"/>
                <w:szCs w:val="20"/>
              </w:rPr>
              <w:t>表</w:t>
            </w:r>
          </w:p>
        </w:tc>
      </w:tr>
      <w:tr w:rsidR="000C0FB9">
        <w:trPr>
          <w:trHeight w:val="415"/>
          <w:jc w:val="center"/>
        </w:trPr>
        <w:tc>
          <w:tcPr>
            <w:tcW w:w="3133" w:type="dxa"/>
            <w:gridSpan w:val="2"/>
            <w:tcBorders>
              <w:top w:val="nil"/>
              <w:left w:val="nil"/>
              <w:bottom w:val="nil"/>
              <w:right w:val="nil"/>
            </w:tcBorders>
            <w:noWrap/>
            <w:vAlign w:val="bottom"/>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1423"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1149"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956" w:type="dxa"/>
            <w:tcBorders>
              <w:top w:val="nil"/>
              <w:left w:val="nil"/>
              <w:bottom w:val="nil"/>
              <w:right w:val="nil"/>
            </w:tcBorders>
            <w:noWrap/>
            <w:vAlign w:val="bottom"/>
          </w:tcPr>
          <w:p w:rsidR="000C0FB9" w:rsidRDefault="000C0FB9">
            <w:pPr>
              <w:widowControl/>
              <w:ind w:firstLineChars="0" w:firstLine="0"/>
              <w:jc w:val="center"/>
              <w:rPr>
                <w:rFonts w:ascii="仿宋_GB2312" w:hAnsi="仿宋_GB2312"/>
                <w:sz w:val="20"/>
                <w:szCs w:val="20"/>
              </w:rPr>
            </w:pPr>
          </w:p>
        </w:tc>
        <w:tc>
          <w:tcPr>
            <w:tcW w:w="1169"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785"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1662" w:type="dxa"/>
            <w:tcBorders>
              <w:top w:val="nil"/>
              <w:left w:val="nil"/>
              <w:bottom w:val="nil"/>
              <w:right w:val="nil"/>
            </w:tcBorders>
            <w:noWrap/>
            <w:vAlign w:val="bottom"/>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97"/>
          <w:jc w:val="center"/>
        </w:trPr>
        <w:tc>
          <w:tcPr>
            <w:tcW w:w="3133" w:type="dxa"/>
            <w:gridSpan w:val="2"/>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423"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本年支出合计</w:t>
            </w:r>
          </w:p>
        </w:tc>
        <w:tc>
          <w:tcPr>
            <w:tcW w:w="1149"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基本</w:t>
            </w:r>
          </w:p>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支出</w:t>
            </w:r>
          </w:p>
        </w:tc>
        <w:tc>
          <w:tcPr>
            <w:tcW w:w="956"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支出</w:t>
            </w:r>
          </w:p>
        </w:tc>
        <w:tc>
          <w:tcPr>
            <w:tcW w:w="1169"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上缴上级</w:t>
            </w:r>
          </w:p>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支出</w:t>
            </w:r>
          </w:p>
        </w:tc>
        <w:tc>
          <w:tcPr>
            <w:tcW w:w="785"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经营</w:t>
            </w:r>
          </w:p>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支出</w:t>
            </w:r>
          </w:p>
        </w:tc>
        <w:tc>
          <w:tcPr>
            <w:tcW w:w="1662"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对附属单位补助支出</w:t>
            </w:r>
          </w:p>
        </w:tc>
      </w:tr>
      <w:tr w:rsidR="000C0FB9">
        <w:trPr>
          <w:trHeight w:val="397"/>
          <w:jc w:val="center"/>
        </w:trPr>
        <w:tc>
          <w:tcPr>
            <w:tcW w:w="1095"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功能分类科目编码</w:t>
            </w:r>
          </w:p>
        </w:tc>
        <w:tc>
          <w:tcPr>
            <w:tcW w:w="2038"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423"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49"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956"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69"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785"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662"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2038"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11847.89</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6022.33</w:t>
            </w: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5455.15</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370.41</w:t>
            </w: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教育支出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科学技术支出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技术研究与开发</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其他技术研究与开发</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社会保障和就业支出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行政事业单位离退休</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归口管理的行政单位离退休</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事业单位离退休</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医疗卫生与计划生育支出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行政事业单位医疗</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行政单位医疗</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事业单位医疗</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2101103</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节能环保支出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10654.27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4854.23</w:t>
            </w: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5429.63</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370.41</w:t>
            </w: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环境保护管理事务</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3532.56</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3060.44</w:t>
            </w: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230.22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241.9</w:t>
            </w: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行政运行</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一般行政管理事务</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2110105</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环境保护法规、规划及标准</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其他环境保护管理事务</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936.22</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566.7</w:t>
            </w: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127.62</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241.9</w:t>
            </w: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环境监测与监察</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834.03</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834.03</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2110299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其他环境监测与监察</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834.03</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834.03</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污染防治</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其他污染防治</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自然生态保护</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3114.15</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2985.64</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128.51</w:t>
            </w: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生态保护</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3114.15</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2985.64</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128.51</w:t>
            </w: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污染减排</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2088.85</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1793.79</w:t>
            </w: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295.06</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环境监测与信息</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2053.27</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1793.79</w:t>
            </w: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259.48</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环境执法监察</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其他污染减排支出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25.74</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25.74</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630.67</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630.67</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630.67</w:t>
            </w:r>
          </w:p>
        </w:tc>
        <w:tc>
          <w:tcPr>
            <w:tcW w:w="114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630.67</w:t>
            </w: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2210201</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2210202</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提租补贴</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97"/>
          <w:jc w:val="center"/>
        </w:trPr>
        <w:tc>
          <w:tcPr>
            <w:tcW w:w="1095"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2210203</w:t>
            </w:r>
          </w:p>
        </w:tc>
        <w:tc>
          <w:tcPr>
            <w:tcW w:w="2038" w:type="dxa"/>
            <w:tcBorders>
              <w:top w:val="nil"/>
              <w:left w:val="nil"/>
              <w:bottom w:val="single" w:sz="4" w:space="0" w:color="auto"/>
              <w:right w:val="single" w:sz="4" w:space="0" w:color="auto"/>
            </w:tcBorders>
            <w:noWrap/>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购房补贴</w:t>
            </w:r>
          </w:p>
        </w:tc>
        <w:tc>
          <w:tcPr>
            <w:tcW w:w="1423"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1149"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956"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169"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785"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662" w:type="dxa"/>
            <w:tcBorders>
              <w:top w:val="nil"/>
              <w:left w:val="nil"/>
              <w:bottom w:val="single" w:sz="4" w:space="0" w:color="auto"/>
              <w:right w:val="single" w:sz="4" w:space="0" w:color="auto"/>
            </w:tcBorders>
            <w:noWrap/>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45"/>
          <w:jc w:val="center"/>
        </w:trPr>
        <w:tc>
          <w:tcPr>
            <w:tcW w:w="4556" w:type="dxa"/>
            <w:gridSpan w:val="3"/>
            <w:tcBorders>
              <w:top w:val="nil"/>
              <w:left w:val="nil"/>
              <w:bottom w:val="nil"/>
              <w:right w:val="nil"/>
            </w:tcBorders>
            <w:noWrap/>
            <w:vAlign w:val="bottom"/>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c>
          <w:tcPr>
            <w:tcW w:w="1149"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956"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1169"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785"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c>
          <w:tcPr>
            <w:tcW w:w="1662" w:type="dxa"/>
            <w:tcBorders>
              <w:top w:val="nil"/>
              <w:left w:val="nil"/>
              <w:bottom w:val="nil"/>
              <w:right w:val="nil"/>
            </w:tcBorders>
            <w:noWrap/>
            <w:vAlign w:val="bottom"/>
          </w:tcPr>
          <w:p w:rsidR="000C0FB9" w:rsidRDefault="000C0FB9">
            <w:pPr>
              <w:widowControl/>
              <w:ind w:firstLineChars="0" w:firstLine="0"/>
              <w:jc w:val="left"/>
              <w:rPr>
                <w:rFonts w:ascii="仿宋_GB2312" w:hAnsi="仿宋_GB2312"/>
                <w:sz w:val="20"/>
                <w:szCs w:val="20"/>
              </w:rPr>
            </w:pPr>
          </w:p>
        </w:tc>
      </w:tr>
    </w:tbl>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tbl>
      <w:tblPr>
        <w:tblW w:w="9736" w:type="dxa"/>
        <w:jc w:val="center"/>
        <w:tblLayout w:type="fixed"/>
        <w:tblLook w:val="04A0"/>
      </w:tblPr>
      <w:tblGrid>
        <w:gridCol w:w="2816"/>
        <w:gridCol w:w="915"/>
        <w:gridCol w:w="2416"/>
        <w:gridCol w:w="1046"/>
        <w:gridCol w:w="1250"/>
        <w:gridCol w:w="1293"/>
      </w:tblGrid>
      <w:tr w:rsidR="000C0FB9">
        <w:trPr>
          <w:trHeight w:val="566"/>
          <w:jc w:val="center"/>
        </w:trPr>
        <w:tc>
          <w:tcPr>
            <w:tcW w:w="9736" w:type="dxa"/>
            <w:gridSpan w:val="6"/>
            <w:tcBorders>
              <w:top w:val="nil"/>
              <w:left w:val="nil"/>
              <w:bottom w:val="nil"/>
              <w:right w:val="nil"/>
            </w:tcBorders>
            <w:noWrap/>
            <w:vAlign w:val="center"/>
          </w:tcPr>
          <w:p w:rsidR="000C0FB9" w:rsidRDefault="009E755C">
            <w:pPr>
              <w:widowControl/>
              <w:spacing w:line="570" w:lineRule="exact"/>
              <w:ind w:firstLineChars="0" w:firstLine="0"/>
              <w:jc w:val="center"/>
              <w:rPr>
                <w:rFonts w:ascii="方正小标宋简体" w:hAnsi="方正小标宋简体"/>
              </w:rPr>
            </w:pPr>
            <w:bookmarkStart w:id="2" w:name="RANGE!A1:F35"/>
            <w:r>
              <w:rPr>
                <w:rFonts w:ascii="方正小标宋简体" w:hAnsi="方正小标宋简体"/>
              </w:rPr>
              <w:lastRenderedPageBreak/>
              <w:t>财政拨款收入支出决算总表</w:t>
            </w:r>
            <w:bookmarkEnd w:id="2"/>
          </w:p>
        </w:tc>
      </w:tr>
      <w:tr w:rsidR="000C0FB9">
        <w:trPr>
          <w:trHeight w:val="499"/>
          <w:jc w:val="center"/>
        </w:trPr>
        <w:tc>
          <w:tcPr>
            <w:tcW w:w="2816" w:type="dxa"/>
            <w:tcBorders>
              <w:top w:val="nil"/>
              <w:left w:val="nil"/>
              <w:bottom w:val="nil"/>
              <w:right w:val="nil"/>
            </w:tcBorders>
            <w:noWrap/>
            <w:vAlign w:val="center"/>
          </w:tcPr>
          <w:p w:rsidR="000C0FB9" w:rsidRDefault="000C0FB9">
            <w:pPr>
              <w:widowControl/>
              <w:ind w:firstLineChars="0" w:firstLine="0"/>
              <w:jc w:val="center"/>
              <w:rPr>
                <w:rFonts w:ascii="仿宋_GB2312" w:hAnsi="仿宋_GB2312"/>
                <w:sz w:val="36"/>
                <w:szCs w:val="36"/>
              </w:rPr>
            </w:pPr>
          </w:p>
        </w:tc>
        <w:tc>
          <w:tcPr>
            <w:tcW w:w="915"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241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04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250"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293" w:type="dxa"/>
            <w:tcBorders>
              <w:top w:val="nil"/>
              <w:left w:val="nil"/>
              <w:bottom w:val="nil"/>
              <w:right w:val="nil"/>
            </w:tcBorders>
            <w:noWrap/>
            <w:vAlign w:val="center"/>
          </w:tcPr>
          <w:p w:rsidR="000C0FB9" w:rsidRDefault="009E755C">
            <w:pPr>
              <w:widowControl/>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04</w:t>
            </w:r>
            <w:r>
              <w:rPr>
                <w:rFonts w:ascii="黑体" w:eastAsia="黑体" w:hAnsi="黑体" w:hint="eastAsia"/>
                <w:sz w:val="20"/>
                <w:szCs w:val="20"/>
              </w:rPr>
              <w:t>表</w:t>
            </w:r>
          </w:p>
        </w:tc>
      </w:tr>
      <w:tr w:rsidR="000C0FB9">
        <w:trPr>
          <w:trHeight w:val="319"/>
          <w:jc w:val="center"/>
        </w:trPr>
        <w:tc>
          <w:tcPr>
            <w:tcW w:w="2816" w:type="dxa"/>
            <w:tcBorders>
              <w:top w:val="nil"/>
              <w:left w:val="nil"/>
              <w:bottom w:val="nil"/>
              <w:right w:val="nil"/>
            </w:tcBorders>
            <w:noWrap/>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915"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241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3589" w:type="dxa"/>
            <w:gridSpan w:val="3"/>
            <w:tcBorders>
              <w:top w:val="nil"/>
              <w:left w:val="nil"/>
              <w:bottom w:val="nil"/>
              <w:right w:val="nil"/>
            </w:tcBorders>
            <w:noWrap/>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19"/>
          <w:jc w:val="center"/>
        </w:trPr>
        <w:tc>
          <w:tcPr>
            <w:tcW w:w="3731" w:type="dxa"/>
            <w:gridSpan w:val="2"/>
            <w:tcBorders>
              <w:top w:val="single" w:sz="4" w:space="0" w:color="auto"/>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收入</w:t>
            </w:r>
          </w:p>
        </w:tc>
        <w:tc>
          <w:tcPr>
            <w:tcW w:w="6005" w:type="dxa"/>
            <w:gridSpan w:val="4"/>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支出</w:t>
            </w:r>
          </w:p>
        </w:tc>
      </w:tr>
      <w:tr w:rsidR="000C0FB9">
        <w:trPr>
          <w:trHeight w:val="319"/>
          <w:jc w:val="center"/>
        </w:trPr>
        <w:tc>
          <w:tcPr>
            <w:tcW w:w="2816" w:type="dxa"/>
            <w:vMerge w:val="restart"/>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915" w:type="dxa"/>
            <w:vMerge w:val="restart"/>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决算数</w:t>
            </w:r>
          </w:p>
        </w:tc>
        <w:tc>
          <w:tcPr>
            <w:tcW w:w="2416" w:type="dxa"/>
            <w:vMerge w:val="restart"/>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按功能分类</w:t>
            </w:r>
          </w:p>
        </w:tc>
        <w:tc>
          <w:tcPr>
            <w:tcW w:w="3589" w:type="dxa"/>
            <w:gridSpan w:val="3"/>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决算数</w:t>
            </w:r>
          </w:p>
        </w:tc>
      </w:tr>
      <w:tr w:rsidR="000C0FB9">
        <w:trPr>
          <w:trHeight w:val="642"/>
          <w:jc w:val="center"/>
        </w:trPr>
        <w:tc>
          <w:tcPr>
            <w:tcW w:w="2816" w:type="dxa"/>
            <w:vMerge/>
            <w:tcBorders>
              <w:top w:val="nil"/>
              <w:left w:val="single" w:sz="4" w:space="0" w:color="auto"/>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915" w:type="dxa"/>
            <w:vMerge/>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2416" w:type="dxa"/>
            <w:vMerge/>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小计</w:t>
            </w:r>
          </w:p>
        </w:tc>
        <w:tc>
          <w:tcPr>
            <w:tcW w:w="125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一般公共预算财政拨款</w:t>
            </w:r>
          </w:p>
        </w:tc>
        <w:tc>
          <w:tcPr>
            <w:tcW w:w="129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政府性基金预算财政拨款</w:t>
            </w: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一、一般公共预算财政拨款</w:t>
            </w:r>
          </w:p>
        </w:tc>
        <w:tc>
          <w:tcPr>
            <w:tcW w:w="915"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10401.95</w:t>
            </w: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一、一般公共服务支出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二、政府性基金预算财政拨款</w:t>
            </w: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二、外交支出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三、国防支出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四、公共安全支出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五、教育支出</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2</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2</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六、科学技术支出</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23.52</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23.52</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七、文化体育与传媒支出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八、社会保障和就业支出</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18.47</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18.47</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16"/>
                <w:szCs w:val="16"/>
              </w:rPr>
            </w:pPr>
            <w:r>
              <w:rPr>
                <w:rFonts w:ascii="宋体" w:eastAsia="宋体" w:hAnsi="宋体" w:cs="宋体" w:hint="eastAsia"/>
                <w:sz w:val="16"/>
                <w:szCs w:val="16"/>
              </w:rPr>
              <w:t>九、医疗卫生与计划生育支出</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177.97</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177.97</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十、节能环保支出</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9043.36</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9043.36</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十一、城乡社区支出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single" w:sz="4" w:space="0" w:color="auto"/>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十二、农林水支出</w:t>
            </w:r>
          </w:p>
        </w:tc>
        <w:tc>
          <w:tcPr>
            <w:tcW w:w="1046"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十三、交通运输支出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18"/>
                <w:szCs w:val="18"/>
              </w:rPr>
              <w:t>十四、资源勘探信息等支出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十五、商业服务业等支出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single" w:sz="4" w:space="0" w:color="auto"/>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single" w:sz="4" w:space="0" w:color="auto"/>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十六、金融支出</w:t>
            </w:r>
          </w:p>
        </w:tc>
        <w:tc>
          <w:tcPr>
            <w:tcW w:w="1046"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single" w:sz="4" w:space="0" w:color="auto"/>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十七、援助其他地区支出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18"/>
                <w:szCs w:val="18"/>
              </w:rPr>
              <w:t>十八、国土海洋气象等支出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十九、住房保障支出</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971.66</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971.66</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二十、粮油物资储备支出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二十一、其他支出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二十二、债务还本支出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二十三、债务付息支出</w:t>
            </w: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本年收入合计</w:t>
            </w:r>
          </w:p>
        </w:tc>
        <w:tc>
          <w:tcPr>
            <w:tcW w:w="915" w:type="dxa"/>
            <w:tcBorders>
              <w:top w:val="nil"/>
              <w:left w:val="nil"/>
              <w:bottom w:val="single" w:sz="4" w:space="0" w:color="auto"/>
              <w:right w:val="single" w:sz="4" w:space="0" w:color="auto"/>
            </w:tcBorders>
            <w:noWrap/>
            <w:vAlign w:val="center"/>
          </w:tcPr>
          <w:tbl>
            <w:tblPr>
              <w:tblW w:w="915" w:type="dxa"/>
              <w:jc w:val="center"/>
              <w:tblLayout w:type="fixed"/>
              <w:tblLook w:val="04A0"/>
            </w:tblPr>
            <w:tblGrid>
              <w:gridCol w:w="915"/>
            </w:tblGrid>
            <w:tr w:rsidR="000C0FB9">
              <w:trPr>
                <w:trHeight w:val="319"/>
                <w:jc w:val="center"/>
              </w:trPr>
              <w:tc>
                <w:tcPr>
                  <w:tcW w:w="915"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10401.95</w:t>
                  </w:r>
                </w:p>
              </w:tc>
            </w:tr>
          </w:tbl>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本年支出合计</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b/>
                <w:bCs/>
                <w:sz w:val="18"/>
                <w:szCs w:val="18"/>
              </w:rPr>
            </w:pPr>
            <w:r>
              <w:rPr>
                <w:rFonts w:ascii="仿宋_GB2312" w:hAnsi="仿宋_GB2312" w:hint="eastAsia"/>
                <w:b/>
                <w:bCs/>
                <w:sz w:val="16"/>
                <w:szCs w:val="16"/>
              </w:rPr>
              <w:t>10236.98</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b/>
                <w:bCs/>
                <w:sz w:val="18"/>
                <w:szCs w:val="18"/>
              </w:rPr>
            </w:pPr>
            <w:r>
              <w:rPr>
                <w:rFonts w:ascii="仿宋_GB2312" w:hAnsi="仿宋_GB2312" w:hint="eastAsia"/>
                <w:b/>
                <w:bCs/>
                <w:sz w:val="18"/>
                <w:szCs w:val="18"/>
              </w:rPr>
              <w:t>10236.98</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b/>
                <w:bCs/>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年初财政拨款结转和结余</w:t>
            </w:r>
          </w:p>
        </w:tc>
        <w:tc>
          <w:tcPr>
            <w:tcW w:w="915"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916.8</w:t>
            </w: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年末财政拨款结转和结余</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18"/>
                <w:szCs w:val="18"/>
              </w:rPr>
            </w:pPr>
            <w:r>
              <w:rPr>
                <w:rFonts w:ascii="仿宋_GB2312" w:hAnsi="仿宋_GB2312" w:hint="eastAsia"/>
                <w:sz w:val="18"/>
                <w:szCs w:val="18"/>
              </w:rPr>
              <w:t>1081.77</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18"/>
                <w:szCs w:val="18"/>
              </w:rPr>
            </w:pPr>
            <w:r>
              <w:rPr>
                <w:rFonts w:ascii="仿宋_GB2312" w:hAnsi="仿宋_GB2312" w:hint="eastAsia"/>
                <w:sz w:val="18"/>
                <w:szCs w:val="18"/>
              </w:rPr>
              <w:t>1081.77</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一、一般公共预算财政拨款</w:t>
            </w:r>
          </w:p>
        </w:tc>
        <w:tc>
          <w:tcPr>
            <w:tcW w:w="915"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916.8</w:t>
            </w:r>
          </w:p>
        </w:tc>
        <w:tc>
          <w:tcPr>
            <w:tcW w:w="24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二、政府性基金预算财政拨款</w:t>
            </w: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91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Theme="minorEastAsia" w:eastAsiaTheme="minorEastAsia" w:hAnsiTheme="minorEastAsia" w:cstheme="minorEastAsia"/>
                <w:sz w:val="16"/>
                <w:szCs w:val="16"/>
              </w:rPr>
            </w:pPr>
          </w:p>
        </w:tc>
        <w:tc>
          <w:tcPr>
            <w:tcW w:w="2416" w:type="dxa"/>
            <w:tcBorders>
              <w:top w:val="nil"/>
              <w:left w:val="nil"/>
              <w:bottom w:val="single" w:sz="4" w:space="0" w:color="auto"/>
              <w:right w:val="single" w:sz="4" w:space="0" w:color="auto"/>
            </w:tcBorders>
            <w:noWrap/>
            <w:vAlign w:val="center"/>
          </w:tcPr>
          <w:p w:rsidR="000C0FB9" w:rsidRDefault="000C0FB9">
            <w:pPr>
              <w:widowControl/>
              <w:ind w:firstLineChars="0" w:firstLine="0"/>
              <w:jc w:val="left"/>
              <w:rPr>
                <w:rFonts w:ascii="仿宋_GB2312" w:hAnsi="仿宋_GB2312"/>
                <w:sz w:val="20"/>
                <w:szCs w:val="20"/>
              </w:rPr>
            </w:pPr>
          </w:p>
        </w:tc>
        <w:tc>
          <w:tcPr>
            <w:tcW w:w="1046"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50"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r w:rsidR="000C0FB9">
        <w:trPr>
          <w:trHeight w:val="319"/>
          <w:jc w:val="center"/>
        </w:trPr>
        <w:tc>
          <w:tcPr>
            <w:tcW w:w="2816"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总计</w:t>
            </w:r>
          </w:p>
        </w:tc>
        <w:tc>
          <w:tcPr>
            <w:tcW w:w="915"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Theme="minorEastAsia" w:eastAsiaTheme="minorEastAsia" w:hAnsiTheme="minorEastAsia" w:cstheme="minorEastAsia"/>
                <w:sz w:val="16"/>
                <w:szCs w:val="16"/>
              </w:rPr>
            </w:pPr>
            <w:r>
              <w:rPr>
                <w:rFonts w:asciiTheme="minorEastAsia" w:eastAsiaTheme="minorEastAsia" w:hAnsiTheme="minorEastAsia" w:cstheme="minorEastAsia" w:hint="eastAsia"/>
                <w:sz w:val="16"/>
                <w:szCs w:val="16"/>
              </w:rPr>
              <w:t>11318.75</w:t>
            </w:r>
          </w:p>
        </w:tc>
        <w:tc>
          <w:tcPr>
            <w:tcW w:w="241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b/>
                <w:bCs/>
                <w:sz w:val="20"/>
                <w:szCs w:val="20"/>
              </w:rPr>
            </w:pPr>
            <w:r>
              <w:rPr>
                <w:rFonts w:ascii="宋体" w:eastAsia="宋体" w:hAnsi="宋体" w:cs="宋体" w:hint="eastAsia"/>
                <w:b/>
                <w:bCs/>
                <w:sz w:val="20"/>
                <w:szCs w:val="20"/>
              </w:rPr>
              <w:t>总计</w:t>
            </w:r>
          </w:p>
        </w:tc>
        <w:tc>
          <w:tcPr>
            <w:tcW w:w="1046"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11318.75</w:t>
            </w:r>
          </w:p>
        </w:tc>
        <w:tc>
          <w:tcPr>
            <w:tcW w:w="1250" w:type="dxa"/>
            <w:tcBorders>
              <w:top w:val="nil"/>
              <w:left w:val="nil"/>
              <w:bottom w:val="single" w:sz="4" w:space="0" w:color="auto"/>
              <w:right w:val="single" w:sz="4" w:space="0" w:color="auto"/>
            </w:tcBorders>
            <w:noWrap/>
            <w:vAlign w:val="center"/>
          </w:tcPr>
          <w:p w:rsidR="000C0FB9" w:rsidRDefault="009E755C">
            <w:pPr>
              <w:widowControl/>
              <w:ind w:firstLineChars="0" w:firstLine="0"/>
              <w:jc w:val="right"/>
              <w:rPr>
                <w:rFonts w:ascii="仿宋_GB2312" w:hAnsi="仿宋_GB2312"/>
                <w:sz w:val="18"/>
                <w:szCs w:val="18"/>
              </w:rPr>
            </w:pPr>
            <w:r>
              <w:rPr>
                <w:rFonts w:ascii="仿宋_GB2312" w:hAnsi="仿宋_GB2312" w:hint="eastAsia"/>
                <w:sz w:val="18"/>
                <w:szCs w:val="18"/>
              </w:rPr>
              <w:t>11318.75</w:t>
            </w:r>
          </w:p>
        </w:tc>
        <w:tc>
          <w:tcPr>
            <w:tcW w:w="1293"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18"/>
                <w:szCs w:val="18"/>
              </w:rPr>
            </w:pPr>
          </w:p>
        </w:tc>
      </w:tr>
    </w:tbl>
    <w:p w:rsidR="000C0FB9" w:rsidRDefault="000C0FB9">
      <w:pPr>
        <w:spacing w:line="240" w:lineRule="exact"/>
        <w:ind w:firstLineChars="0" w:firstLine="0"/>
        <w:rPr>
          <w:rFonts w:ascii="仿宋_GB2312" w:hAnsi="仿宋_GB2312"/>
        </w:rPr>
      </w:pPr>
    </w:p>
    <w:tbl>
      <w:tblPr>
        <w:tblW w:w="9060" w:type="dxa"/>
        <w:jc w:val="center"/>
        <w:tblLayout w:type="fixed"/>
        <w:tblLook w:val="04A0"/>
      </w:tblPr>
      <w:tblGrid>
        <w:gridCol w:w="1136"/>
        <w:gridCol w:w="2443"/>
        <w:gridCol w:w="1790"/>
        <w:gridCol w:w="1318"/>
        <w:gridCol w:w="2373"/>
      </w:tblGrid>
      <w:tr w:rsidR="000C0FB9">
        <w:trPr>
          <w:trHeight w:val="566"/>
          <w:jc w:val="center"/>
        </w:trPr>
        <w:tc>
          <w:tcPr>
            <w:tcW w:w="9060" w:type="dxa"/>
            <w:gridSpan w:val="5"/>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bookmarkStart w:id="3" w:name="RANGE!A1:E14"/>
            <w:r>
              <w:rPr>
                <w:rFonts w:ascii="方正小标宋简体" w:hAnsi="方正小标宋简体"/>
              </w:rPr>
              <w:t>财政拨款支出决算表</w:t>
            </w:r>
            <w:bookmarkEnd w:id="3"/>
            <w:r>
              <w:rPr>
                <w:rFonts w:ascii="方正小标宋简体" w:hAnsi="方正小标宋简体"/>
              </w:rPr>
              <w:t>（功能科目）</w:t>
            </w:r>
          </w:p>
        </w:tc>
      </w:tr>
      <w:tr w:rsidR="000C0FB9">
        <w:trPr>
          <w:trHeight w:val="319"/>
          <w:jc w:val="center"/>
        </w:trPr>
        <w:tc>
          <w:tcPr>
            <w:tcW w:w="1136"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36"/>
                <w:szCs w:val="36"/>
              </w:rPr>
            </w:pPr>
          </w:p>
        </w:tc>
        <w:tc>
          <w:tcPr>
            <w:tcW w:w="2443"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790"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318"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2373" w:type="dxa"/>
            <w:tcBorders>
              <w:top w:val="nil"/>
              <w:left w:val="nil"/>
              <w:bottom w:val="nil"/>
              <w:right w:val="nil"/>
            </w:tcBorders>
            <w:noWrap/>
            <w:vAlign w:val="center"/>
          </w:tcPr>
          <w:p w:rsidR="000C0FB9" w:rsidRDefault="009E755C">
            <w:pPr>
              <w:widowControl/>
              <w:spacing w:line="30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05</w:t>
            </w:r>
            <w:r>
              <w:rPr>
                <w:rFonts w:ascii="黑体" w:eastAsia="黑体" w:hAnsi="黑体" w:hint="eastAsia"/>
                <w:sz w:val="20"/>
                <w:szCs w:val="20"/>
              </w:rPr>
              <w:t>表</w:t>
            </w:r>
          </w:p>
        </w:tc>
      </w:tr>
      <w:tr w:rsidR="000C0FB9">
        <w:trPr>
          <w:trHeight w:val="319"/>
          <w:jc w:val="center"/>
        </w:trPr>
        <w:tc>
          <w:tcPr>
            <w:tcW w:w="3579" w:type="dxa"/>
            <w:gridSpan w:val="2"/>
            <w:tcBorders>
              <w:top w:val="nil"/>
              <w:left w:val="nil"/>
              <w:bottom w:val="single" w:sz="4" w:space="0" w:color="auto"/>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1790"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31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2373" w:type="dxa"/>
            <w:tcBorders>
              <w:top w:val="nil"/>
              <w:left w:val="nil"/>
              <w:bottom w:val="nil"/>
              <w:right w:val="nil"/>
            </w:tcBorders>
            <w:noWrap/>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284"/>
          <w:jc w:val="center"/>
        </w:trPr>
        <w:tc>
          <w:tcPr>
            <w:tcW w:w="3579"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790"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本年支出合计</w:t>
            </w:r>
          </w:p>
        </w:tc>
        <w:tc>
          <w:tcPr>
            <w:tcW w:w="1318"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基本支出</w:t>
            </w:r>
          </w:p>
        </w:tc>
        <w:tc>
          <w:tcPr>
            <w:tcW w:w="2373"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项目支出</w:t>
            </w:r>
          </w:p>
        </w:tc>
      </w:tr>
      <w:tr w:rsidR="000C0FB9">
        <w:trPr>
          <w:trHeight w:val="284"/>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功能分类科目编码</w:t>
            </w:r>
          </w:p>
        </w:tc>
        <w:tc>
          <w:tcPr>
            <w:tcW w:w="244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790"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318"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2373"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3579"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栏次</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1</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2</w:t>
            </w: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3</w:t>
            </w:r>
          </w:p>
        </w:tc>
      </w:tr>
      <w:tr w:rsidR="000C0FB9">
        <w:trPr>
          <w:trHeight w:val="284"/>
          <w:jc w:val="center"/>
        </w:trPr>
        <w:tc>
          <w:tcPr>
            <w:tcW w:w="3579"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10236.98</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5601.75</w:t>
            </w: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4635.23</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教育支出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科学技术支出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技术研究与开发</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其他技术研究与开发</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社会保障和就业支出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行政事业单位离退休</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归口管理的行政单位离退休</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2080502</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事业单位离退休</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医疗卫生与计划生育支出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行政事业单位医疗</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行政单位医疗</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2101102</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事业单位医疗</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2101103</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节能环保支出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9043.36</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4433.65</w:t>
            </w: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4609.71</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环境保护管理事务</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2742.46</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2639.86</w:t>
            </w: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102.6</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行政运行</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2110102</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一般行政管理事务</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2110105</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环境保护法规、规划及标准</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其他环境保护管理事务</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146.12</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146.12</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环境监测与监察</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其他环境监测与监察</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污染防治</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其他污染防治</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自然生态保护</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生态保护</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污染减排</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2088.85</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1793.79</w:t>
            </w: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295.06</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环境监测与信息</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2053.27</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1793.79</w:t>
            </w: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259.48</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2111102</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环境执法监察</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2111199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其他污染减排支出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25.74</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25.74</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c>
          <w:tcPr>
            <w:tcW w:w="1318"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237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2"/>
          <w:jc w:val="center"/>
        </w:trPr>
        <w:tc>
          <w:tcPr>
            <w:tcW w:w="1136"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2210201</w:t>
            </w:r>
          </w:p>
        </w:tc>
        <w:tc>
          <w:tcPr>
            <w:tcW w:w="2443"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17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131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237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80"/>
          <w:jc w:val="center"/>
        </w:trPr>
        <w:tc>
          <w:tcPr>
            <w:tcW w:w="1136"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2210202</w:t>
            </w:r>
          </w:p>
        </w:tc>
        <w:tc>
          <w:tcPr>
            <w:tcW w:w="2443"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提租补贴</w:t>
            </w:r>
          </w:p>
        </w:tc>
        <w:tc>
          <w:tcPr>
            <w:tcW w:w="1790"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1318"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2373" w:type="dxa"/>
            <w:tcBorders>
              <w:top w:val="single" w:sz="4" w:space="0" w:color="auto"/>
              <w:left w:val="single" w:sz="4" w:space="0" w:color="auto"/>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472"/>
          <w:jc w:val="center"/>
        </w:trPr>
        <w:tc>
          <w:tcPr>
            <w:tcW w:w="1136"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2210203</w:t>
            </w:r>
          </w:p>
        </w:tc>
        <w:tc>
          <w:tcPr>
            <w:tcW w:w="2443"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spacing w:line="300" w:lineRule="exact"/>
              <w:ind w:firstLineChars="0" w:firstLine="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购房补贴</w:t>
            </w:r>
          </w:p>
        </w:tc>
        <w:tc>
          <w:tcPr>
            <w:tcW w:w="1790"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1318" w:type="dxa"/>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2373" w:type="dxa"/>
            <w:tcBorders>
              <w:top w:val="single" w:sz="4" w:space="0" w:color="auto"/>
              <w:left w:val="single" w:sz="4" w:space="0" w:color="auto"/>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bl>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tbl>
      <w:tblPr>
        <w:tblW w:w="9075" w:type="dxa"/>
        <w:jc w:val="center"/>
        <w:tblLayout w:type="fixed"/>
        <w:tblLook w:val="04A0"/>
      </w:tblPr>
      <w:tblGrid>
        <w:gridCol w:w="1891"/>
        <w:gridCol w:w="2540"/>
        <w:gridCol w:w="1468"/>
        <w:gridCol w:w="1421"/>
        <w:gridCol w:w="1755"/>
      </w:tblGrid>
      <w:tr w:rsidR="000C0FB9">
        <w:trPr>
          <w:trHeight w:val="523"/>
          <w:jc w:val="center"/>
        </w:trPr>
        <w:tc>
          <w:tcPr>
            <w:tcW w:w="9075" w:type="dxa"/>
            <w:gridSpan w:val="5"/>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bookmarkStart w:id="4" w:name="RANGE!A1:E22"/>
            <w:r>
              <w:rPr>
                <w:rFonts w:ascii="方正小标宋简体" w:hAnsi="方正小标宋简体"/>
              </w:rPr>
              <w:lastRenderedPageBreak/>
              <w:t>财政拨款基本支出决算表</w:t>
            </w:r>
            <w:bookmarkEnd w:id="4"/>
            <w:r>
              <w:rPr>
                <w:rFonts w:ascii="方正小标宋简体" w:hAnsi="方正小标宋简体"/>
              </w:rPr>
              <w:t>（经济科目）</w:t>
            </w:r>
          </w:p>
        </w:tc>
      </w:tr>
      <w:tr w:rsidR="000C0FB9">
        <w:trPr>
          <w:trHeight w:val="319"/>
          <w:jc w:val="center"/>
        </w:trPr>
        <w:tc>
          <w:tcPr>
            <w:tcW w:w="1891" w:type="dxa"/>
            <w:tcBorders>
              <w:top w:val="nil"/>
              <w:left w:val="nil"/>
              <w:bottom w:val="nil"/>
              <w:right w:val="nil"/>
            </w:tcBorders>
            <w:vAlign w:val="center"/>
          </w:tcPr>
          <w:p w:rsidR="000C0FB9" w:rsidRDefault="000C0FB9">
            <w:pPr>
              <w:widowControl/>
              <w:spacing w:line="320" w:lineRule="exact"/>
              <w:ind w:firstLineChars="0" w:firstLine="0"/>
              <w:jc w:val="center"/>
              <w:rPr>
                <w:rFonts w:ascii="仿宋_GB2312" w:hAnsi="仿宋_GB2312"/>
                <w:sz w:val="36"/>
                <w:szCs w:val="36"/>
              </w:rPr>
            </w:pPr>
          </w:p>
        </w:tc>
        <w:tc>
          <w:tcPr>
            <w:tcW w:w="2540" w:type="dxa"/>
            <w:tcBorders>
              <w:top w:val="nil"/>
              <w:left w:val="nil"/>
              <w:bottom w:val="nil"/>
              <w:right w:val="nil"/>
            </w:tcBorders>
            <w:vAlign w:val="center"/>
          </w:tcPr>
          <w:p w:rsidR="000C0FB9" w:rsidRDefault="000C0FB9">
            <w:pPr>
              <w:widowControl/>
              <w:spacing w:line="320" w:lineRule="exact"/>
              <w:ind w:firstLineChars="0" w:firstLine="0"/>
              <w:jc w:val="center"/>
              <w:rPr>
                <w:rFonts w:ascii="仿宋_GB2312" w:hAnsi="仿宋_GB2312"/>
                <w:sz w:val="20"/>
                <w:szCs w:val="20"/>
              </w:rPr>
            </w:pPr>
          </w:p>
        </w:tc>
        <w:tc>
          <w:tcPr>
            <w:tcW w:w="1468" w:type="dxa"/>
            <w:tcBorders>
              <w:top w:val="nil"/>
              <w:left w:val="nil"/>
              <w:bottom w:val="nil"/>
              <w:right w:val="nil"/>
            </w:tcBorders>
            <w:vAlign w:val="center"/>
          </w:tcPr>
          <w:p w:rsidR="000C0FB9" w:rsidRDefault="000C0FB9">
            <w:pPr>
              <w:widowControl/>
              <w:spacing w:line="320" w:lineRule="exact"/>
              <w:ind w:firstLineChars="0" w:firstLine="0"/>
              <w:jc w:val="center"/>
              <w:rPr>
                <w:rFonts w:ascii="仿宋_GB2312" w:hAnsi="仿宋_GB2312"/>
                <w:sz w:val="20"/>
                <w:szCs w:val="20"/>
              </w:rPr>
            </w:pPr>
          </w:p>
        </w:tc>
        <w:tc>
          <w:tcPr>
            <w:tcW w:w="1421" w:type="dxa"/>
            <w:tcBorders>
              <w:top w:val="nil"/>
              <w:left w:val="nil"/>
              <w:bottom w:val="nil"/>
              <w:right w:val="nil"/>
            </w:tcBorders>
            <w:vAlign w:val="center"/>
          </w:tcPr>
          <w:p w:rsidR="000C0FB9" w:rsidRDefault="000C0FB9">
            <w:pPr>
              <w:widowControl/>
              <w:spacing w:line="320" w:lineRule="exact"/>
              <w:ind w:firstLineChars="0" w:firstLine="0"/>
              <w:jc w:val="center"/>
              <w:rPr>
                <w:rFonts w:ascii="仿宋_GB2312" w:hAnsi="仿宋_GB2312"/>
                <w:sz w:val="20"/>
                <w:szCs w:val="20"/>
              </w:rPr>
            </w:pPr>
          </w:p>
        </w:tc>
        <w:tc>
          <w:tcPr>
            <w:tcW w:w="1755" w:type="dxa"/>
            <w:tcBorders>
              <w:top w:val="nil"/>
              <w:left w:val="nil"/>
              <w:bottom w:val="nil"/>
              <w:right w:val="nil"/>
            </w:tcBorders>
            <w:vAlign w:val="center"/>
          </w:tcPr>
          <w:p w:rsidR="000C0FB9" w:rsidRDefault="009E755C">
            <w:pPr>
              <w:widowControl/>
              <w:spacing w:line="32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06</w:t>
            </w:r>
            <w:r>
              <w:rPr>
                <w:rFonts w:ascii="黑体" w:eastAsia="黑体" w:hAnsi="黑体" w:hint="eastAsia"/>
                <w:sz w:val="20"/>
                <w:szCs w:val="20"/>
              </w:rPr>
              <w:t>表</w:t>
            </w:r>
          </w:p>
        </w:tc>
      </w:tr>
      <w:tr w:rsidR="000C0FB9">
        <w:trPr>
          <w:trHeight w:val="284"/>
          <w:jc w:val="center"/>
        </w:trPr>
        <w:tc>
          <w:tcPr>
            <w:tcW w:w="4431" w:type="dxa"/>
            <w:gridSpan w:val="2"/>
            <w:tcBorders>
              <w:top w:val="nil"/>
              <w:left w:val="nil"/>
              <w:bottom w:val="single" w:sz="4" w:space="0" w:color="auto"/>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146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421"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755" w:type="dxa"/>
            <w:tcBorders>
              <w:top w:val="nil"/>
              <w:left w:val="nil"/>
              <w:bottom w:val="nil"/>
              <w:right w:val="nil"/>
            </w:tcBorders>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284"/>
          <w:jc w:val="center"/>
        </w:trPr>
        <w:tc>
          <w:tcPr>
            <w:tcW w:w="4431"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468"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本年支出合计</w:t>
            </w:r>
          </w:p>
        </w:tc>
        <w:tc>
          <w:tcPr>
            <w:tcW w:w="1421"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人员经费</w:t>
            </w:r>
          </w:p>
        </w:tc>
        <w:tc>
          <w:tcPr>
            <w:tcW w:w="1755"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日常公用经费</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经济分类科目编码</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468"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421"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755"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4431"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5601.75</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5218.17</w:t>
            </w: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383.58</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仿宋_GB2312" w:hAnsi="仿宋_GB2312"/>
                <w:b/>
                <w:bCs/>
                <w:sz w:val="20"/>
                <w:szCs w:val="20"/>
              </w:rPr>
              <w:t>301</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宋体" w:eastAsia="宋体" w:hAnsi="宋体" w:cs="宋体" w:hint="eastAsia"/>
                <w:b/>
                <w:bCs/>
                <w:sz w:val="20"/>
                <w:szCs w:val="20"/>
              </w:rPr>
              <w:t>工资福利支出</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5091.15</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5091.15</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30101</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基本工资</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722.57</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722.57</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30102</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津贴补贴</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1721.77</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1721.77</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30103</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奖金</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505.73</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505.73</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30107</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绩效工资</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524.48</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524.48</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30108</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机关事业单位养老保险</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916.88</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916.88</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2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职业年金缴费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130.69</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130.69</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30110</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职工基本医疗保险缴费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83.02</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83.02</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30111</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公务员医疗补助缴费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29.01</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29.01</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tabs>
                <w:tab w:val="left" w:pos="349"/>
              </w:tabs>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30112</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其他社会保障缴费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42.17</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42.17</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30113</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307.99</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307.99</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30199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其他工资福利支出</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106.85</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106.85</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仿宋_GB2312" w:hAnsi="仿宋_GB2312"/>
                <w:b/>
                <w:bCs/>
                <w:sz w:val="20"/>
                <w:szCs w:val="20"/>
              </w:rPr>
              <w:t>302</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宋体" w:eastAsia="宋体" w:hAnsi="宋体" w:cs="宋体" w:hint="eastAsia"/>
                <w:b/>
                <w:bCs/>
                <w:sz w:val="20"/>
                <w:szCs w:val="20"/>
              </w:rPr>
              <w:t>商品和服务支出</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383.58</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383.58</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b/>
                <w:bCs/>
                <w:sz w:val="18"/>
                <w:szCs w:val="18"/>
              </w:rPr>
            </w:pPr>
            <w:r>
              <w:rPr>
                <w:rFonts w:asciiTheme="minorEastAsia" w:eastAsiaTheme="minorEastAsia" w:hAnsiTheme="minorEastAsia" w:cstheme="minorEastAsia" w:hint="eastAsia"/>
                <w:sz w:val="18"/>
                <w:szCs w:val="18"/>
              </w:rPr>
              <w:t>30201</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b/>
                <w:bCs/>
                <w:sz w:val="18"/>
                <w:szCs w:val="18"/>
              </w:rPr>
            </w:pPr>
            <w:r>
              <w:rPr>
                <w:rFonts w:asciiTheme="minorEastAsia" w:eastAsiaTheme="minorEastAsia" w:hAnsiTheme="minorEastAsia" w:cstheme="minorEastAsia" w:hint="eastAsia"/>
                <w:sz w:val="18"/>
                <w:szCs w:val="18"/>
              </w:rPr>
              <w:t>办公费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77.68</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77.68</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2</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印刷费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3.49</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3.49</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4</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手续费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0.01</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0.01</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5</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水费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5.36</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5.36</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6</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电费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10.38</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10.38</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7</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邮电费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19.92</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19.92</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物业管理费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0.48</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0.48</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w:t>
            </w:r>
            <w:r>
              <w:rPr>
                <w:rFonts w:asciiTheme="minorEastAsia" w:eastAsiaTheme="minorEastAsia" w:hAnsiTheme="minorEastAsia" w:cstheme="minorEastAsia" w:hint="eastAsia"/>
                <w:sz w:val="18"/>
                <w:szCs w:val="18"/>
              </w:rPr>
              <w:t>11</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差旅费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122.27</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122.27</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w:t>
            </w:r>
            <w:r>
              <w:rPr>
                <w:rFonts w:asciiTheme="minorEastAsia" w:eastAsiaTheme="minorEastAsia" w:hAnsiTheme="minorEastAsia" w:cstheme="minorEastAsia" w:hint="eastAsia"/>
                <w:sz w:val="18"/>
                <w:szCs w:val="18"/>
              </w:rPr>
              <w:t>13</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维修（护）费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14.5</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14.5</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30215</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会议费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14.86</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14.86</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30216</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培训费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5.43</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5.43</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30217</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公务接待费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6.59</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6.59</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30226</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劳务费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2.51</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2.51</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30228</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工会经费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52.34</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52.34</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福利费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5.62</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5.62</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30239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其他交通费用</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42.14</w:t>
            </w:r>
          </w:p>
        </w:tc>
        <w:tc>
          <w:tcPr>
            <w:tcW w:w="142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42.14</w:t>
            </w: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仿宋_GB2312" w:hAnsi="仿宋_GB2312"/>
                <w:b/>
                <w:bCs/>
                <w:sz w:val="20"/>
                <w:szCs w:val="20"/>
              </w:rPr>
              <w:t>303</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宋体" w:eastAsia="宋体" w:hAnsi="宋体" w:cs="宋体" w:hint="eastAsia"/>
                <w:b/>
                <w:bCs/>
                <w:sz w:val="20"/>
                <w:szCs w:val="20"/>
              </w:rPr>
              <w:t>对个人和家庭的补助</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127.02</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127.02</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30301</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离休费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15.83</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15.83</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30302</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退休费</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67.88</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67.88</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30304</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抚恤金</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24.97</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24.97</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30307</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医疗费补助</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6.27</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6.27</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奖励金</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0.08</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0.08</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189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30399</w:t>
            </w:r>
          </w:p>
        </w:tc>
        <w:tc>
          <w:tcPr>
            <w:tcW w:w="2540"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其他对个人和家庭补助</w:t>
            </w:r>
          </w:p>
        </w:tc>
        <w:tc>
          <w:tcPr>
            <w:tcW w:w="146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11.99</w:t>
            </w:r>
          </w:p>
        </w:tc>
        <w:tc>
          <w:tcPr>
            <w:tcW w:w="14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11.99</w:t>
            </w:r>
          </w:p>
        </w:tc>
        <w:tc>
          <w:tcPr>
            <w:tcW w:w="1755"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284"/>
          <w:jc w:val="center"/>
        </w:trPr>
        <w:tc>
          <w:tcPr>
            <w:tcW w:w="9075" w:type="dxa"/>
            <w:gridSpan w:val="5"/>
            <w:tcBorders>
              <w:top w:val="nil"/>
              <w:left w:val="nil"/>
              <w:bottom w:val="nil"/>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1.</w:t>
            </w:r>
            <w:r>
              <w:rPr>
                <w:rFonts w:ascii="宋体" w:eastAsia="宋体" w:hAnsi="宋体" w:cs="宋体" w:hint="eastAsia"/>
                <w:sz w:val="20"/>
                <w:szCs w:val="20"/>
              </w:rPr>
              <w:t>本表反映部门本年度按经济分类财政拨款基本支出明细情况。财政拨款指一般公共预算财政拨款和政府性基金预算财政拨款。</w:t>
            </w:r>
            <w:r>
              <w:rPr>
                <w:rFonts w:ascii="仿宋_GB2312" w:hAnsi="仿宋_GB2312"/>
                <w:sz w:val="20"/>
                <w:szCs w:val="20"/>
              </w:rPr>
              <w:br/>
              <w:t xml:space="preserve">    2.“</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r>
      <w:tr w:rsidR="000C0FB9">
        <w:trPr>
          <w:trHeight w:val="284"/>
          <w:jc w:val="center"/>
        </w:trPr>
        <w:tc>
          <w:tcPr>
            <w:tcW w:w="9075" w:type="dxa"/>
            <w:gridSpan w:val="5"/>
            <w:tcBorders>
              <w:top w:val="nil"/>
              <w:left w:val="nil"/>
              <w:bottom w:val="nil"/>
              <w:right w:val="nil"/>
            </w:tcBorders>
            <w:vAlign w:val="center"/>
          </w:tcPr>
          <w:p w:rsidR="000C0FB9" w:rsidRDefault="000C0FB9">
            <w:pPr>
              <w:widowControl/>
              <w:ind w:firstLineChars="0" w:firstLine="0"/>
              <w:jc w:val="left"/>
              <w:rPr>
                <w:rFonts w:ascii="宋体" w:eastAsia="宋体" w:hAnsi="宋体" w:cs="宋体"/>
                <w:sz w:val="20"/>
                <w:szCs w:val="20"/>
              </w:rPr>
            </w:pPr>
          </w:p>
        </w:tc>
      </w:tr>
      <w:tr w:rsidR="000C0FB9">
        <w:trPr>
          <w:trHeight w:val="284"/>
          <w:jc w:val="center"/>
        </w:trPr>
        <w:tc>
          <w:tcPr>
            <w:tcW w:w="9075" w:type="dxa"/>
            <w:gridSpan w:val="5"/>
            <w:tcBorders>
              <w:top w:val="nil"/>
              <w:left w:val="nil"/>
              <w:bottom w:val="nil"/>
              <w:right w:val="nil"/>
            </w:tcBorders>
            <w:vAlign w:val="center"/>
          </w:tcPr>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tc>
      </w:tr>
    </w:tbl>
    <w:p w:rsidR="000C0FB9" w:rsidRDefault="000C0FB9">
      <w:pPr>
        <w:spacing w:line="100" w:lineRule="exact"/>
        <w:ind w:firstLineChars="0" w:firstLine="0"/>
        <w:rPr>
          <w:rFonts w:ascii="仿宋_GB2312" w:hAnsi="仿宋_GB2312"/>
        </w:rPr>
      </w:pPr>
    </w:p>
    <w:tbl>
      <w:tblPr>
        <w:tblW w:w="8780" w:type="dxa"/>
        <w:jc w:val="center"/>
        <w:tblLayout w:type="fixed"/>
        <w:tblLook w:val="04A0"/>
      </w:tblPr>
      <w:tblGrid>
        <w:gridCol w:w="1059"/>
        <w:gridCol w:w="2827"/>
        <w:gridCol w:w="1601"/>
        <w:gridCol w:w="1541"/>
        <w:gridCol w:w="1752"/>
      </w:tblGrid>
      <w:tr w:rsidR="000C0FB9">
        <w:trPr>
          <w:trHeight w:val="708"/>
          <w:jc w:val="center"/>
        </w:trPr>
        <w:tc>
          <w:tcPr>
            <w:tcW w:w="8780" w:type="dxa"/>
            <w:gridSpan w:val="5"/>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r>
              <w:rPr>
                <w:rFonts w:ascii="方正小标宋简体" w:hAnsi="方正小标宋简体"/>
              </w:rPr>
              <w:lastRenderedPageBreak/>
              <w:t>一般公共预算财政拨款支出决算表（功能科目）</w:t>
            </w:r>
          </w:p>
        </w:tc>
      </w:tr>
      <w:tr w:rsidR="000C0FB9">
        <w:trPr>
          <w:trHeight w:val="319"/>
          <w:jc w:val="center"/>
        </w:trPr>
        <w:tc>
          <w:tcPr>
            <w:tcW w:w="1059"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40"/>
                <w:szCs w:val="40"/>
              </w:rPr>
            </w:pPr>
          </w:p>
        </w:tc>
        <w:tc>
          <w:tcPr>
            <w:tcW w:w="2827"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601"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541"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752" w:type="dxa"/>
            <w:tcBorders>
              <w:top w:val="nil"/>
              <w:left w:val="nil"/>
              <w:bottom w:val="nil"/>
              <w:right w:val="nil"/>
            </w:tcBorders>
            <w:noWrap/>
            <w:vAlign w:val="center"/>
          </w:tcPr>
          <w:p w:rsidR="000C0FB9" w:rsidRDefault="009E755C">
            <w:pPr>
              <w:widowControl/>
              <w:spacing w:line="300" w:lineRule="exact"/>
              <w:ind w:firstLineChars="0" w:firstLine="0"/>
              <w:jc w:val="right"/>
              <w:rPr>
                <w:rFonts w:ascii="仿宋_GB2312" w:hAnsi="仿宋_GB2312"/>
                <w:sz w:val="20"/>
                <w:szCs w:val="20"/>
              </w:rPr>
            </w:pPr>
            <w:r>
              <w:rPr>
                <w:rFonts w:ascii="宋体" w:eastAsia="宋体" w:hAnsi="宋体" w:cs="宋体" w:hint="eastAsia"/>
                <w:sz w:val="20"/>
                <w:szCs w:val="20"/>
              </w:rPr>
              <w:t>公开</w:t>
            </w:r>
            <w:r>
              <w:rPr>
                <w:rFonts w:ascii="仿宋_GB2312" w:hAnsi="仿宋_GB2312"/>
                <w:sz w:val="20"/>
                <w:szCs w:val="20"/>
              </w:rPr>
              <w:t>07</w:t>
            </w:r>
            <w:r>
              <w:rPr>
                <w:rFonts w:ascii="宋体" w:eastAsia="宋体" w:hAnsi="宋体" w:cs="宋体" w:hint="eastAsia"/>
                <w:sz w:val="20"/>
                <w:szCs w:val="20"/>
              </w:rPr>
              <w:t>表</w:t>
            </w:r>
          </w:p>
        </w:tc>
      </w:tr>
      <w:tr w:rsidR="000C0FB9">
        <w:trPr>
          <w:trHeight w:val="319"/>
          <w:jc w:val="center"/>
        </w:trPr>
        <w:tc>
          <w:tcPr>
            <w:tcW w:w="3886" w:type="dxa"/>
            <w:gridSpan w:val="2"/>
            <w:tcBorders>
              <w:top w:val="nil"/>
              <w:left w:val="nil"/>
              <w:bottom w:val="single" w:sz="4" w:space="0" w:color="auto"/>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宋体" w:eastAsia="宋体" w:hAnsi="宋体" w:cs="宋体" w:hint="eastAsia"/>
                <w:sz w:val="20"/>
                <w:szCs w:val="20"/>
              </w:rPr>
              <w:t>常州市环境保护局</w:t>
            </w:r>
          </w:p>
        </w:tc>
        <w:tc>
          <w:tcPr>
            <w:tcW w:w="1601"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541"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752" w:type="dxa"/>
            <w:tcBorders>
              <w:top w:val="nil"/>
              <w:left w:val="nil"/>
              <w:bottom w:val="nil"/>
              <w:right w:val="nil"/>
            </w:tcBorders>
            <w:noWrap/>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19"/>
          <w:jc w:val="center"/>
        </w:trPr>
        <w:tc>
          <w:tcPr>
            <w:tcW w:w="388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601"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本年支出合计</w:t>
            </w:r>
          </w:p>
        </w:tc>
        <w:tc>
          <w:tcPr>
            <w:tcW w:w="1541"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基本支出</w:t>
            </w:r>
          </w:p>
        </w:tc>
        <w:tc>
          <w:tcPr>
            <w:tcW w:w="1752"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项目支出</w:t>
            </w:r>
          </w:p>
        </w:tc>
      </w:tr>
      <w:tr w:rsidR="000C0FB9">
        <w:trPr>
          <w:trHeight w:val="642"/>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功能分类科目编码</w:t>
            </w:r>
          </w:p>
        </w:tc>
        <w:tc>
          <w:tcPr>
            <w:tcW w:w="2827"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601"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41"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752"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88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栏次</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1</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2</w:t>
            </w: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3</w:t>
            </w:r>
          </w:p>
        </w:tc>
      </w:tr>
      <w:tr w:rsidR="000C0FB9">
        <w:trPr>
          <w:trHeight w:val="319"/>
          <w:jc w:val="center"/>
        </w:trPr>
        <w:tc>
          <w:tcPr>
            <w:tcW w:w="388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10236.98</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5601.75</w:t>
            </w: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4635.23</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教育支出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205999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其他教育支出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科学技术支出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技术研究与开发</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其他技术研究与开发</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23.52</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社会保障和就业支出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行政事业单位离退休</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18.47</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归口管理的行政单位离退休</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17.19</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事业单位离退休</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1.28</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医疗卫生与计划生育支出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行政事业单位医疗</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177.97</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行政单位医疗</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104.17</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事业单位医疗</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5.37</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2101103</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68.43</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节能环保支出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9043.36</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4433.65</w:t>
            </w: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4609.71</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环境保护管理事务</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2742.46</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2639.86</w:t>
            </w: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102.6</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行政运行</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2493.74</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一般行政管理事务</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66.6</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2110105</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环境保护法规、规划及标准</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36</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其他环境保护管理事务</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146.12</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146.12</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环境监测与监察</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其他环境监测与监察</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788.81</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污染防治</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其他污染防治</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454</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自然生态保护</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生态保护</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2960.64</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污染减排</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2088.85</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1793.79</w:t>
            </w: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295.06</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环境监测与信息</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2053.27</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1793.79</w:t>
            </w: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259.48</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2111102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环境执法监察</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9.83</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其他污染减排支出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25.74</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25.74</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c>
          <w:tcPr>
            <w:tcW w:w="154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c>
          <w:tcPr>
            <w:tcW w:w="175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8.6</w:t>
            </w: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971.66</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2210201</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298.39</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2210202</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提租补贴</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398.03</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319"/>
          <w:jc w:val="center"/>
        </w:trPr>
        <w:tc>
          <w:tcPr>
            <w:tcW w:w="1059"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2210203</w:t>
            </w:r>
          </w:p>
        </w:tc>
        <w:tc>
          <w:tcPr>
            <w:tcW w:w="2827" w:type="dxa"/>
            <w:tcBorders>
              <w:top w:val="nil"/>
              <w:left w:val="nil"/>
              <w:bottom w:val="single" w:sz="4" w:space="0" w:color="auto"/>
              <w:right w:val="single" w:sz="4" w:space="0" w:color="auto"/>
            </w:tcBorders>
            <w:vAlign w:val="center"/>
          </w:tcPr>
          <w:p w:rsidR="000C0FB9" w:rsidRDefault="009E755C">
            <w:pPr>
              <w:widowControl/>
              <w:spacing w:line="300" w:lineRule="exact"/>
              <w:ind w:firstLineChars="0" w:firstLine="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购房补贴</w:t>
            </w:r>
          </w:p>
        </w:tc>
        <w:tc>
          <w:tcPr>
            <w:tcW w:w="160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154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275.24</w:t>
            </w:r>
          </w:p>
        </w:tc>
        <w:tc>
          <w:tcPr>
            <w:tcW w:w="1752"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18"/>
                <w:szCs w:val="18"/>
              </w:rPr>
            </w:pPr>
          </w:p>
        </w:tc>
      </w:tr>
      <w:tr w:rsidR="000C0FB9">
        <w:trPr>
          <w:trHeight w:val="615"/>
          <w:jc w:val="center"/>
        </w:trPr>
        <w:tc>
          <w:tcPr>
            <w:tcW w:w="8780" w:type="dxa"/>
            <w:gridSpan w:val="5"/>
            <w:tcBorders>
              <w:top w:val="nil"/>
              <w:left w:val="nil"/>
              <w:bottom w:val="nil"/>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1.</w:t>
            </w:r>
            <w:r>
              <w:rPr>
                <w:rFonts w:ascii="宋体" w:eastAsia="宋体" w:hAnsi="宋体" w:cs="宋体" w:hint="eastAsia"/>
                <w:sz w:val="20"/>
                <w:szCs w:val="20"/>
              </w:rPr>
              <w:t>本表反映部门本年度按功能分类一般公共预算财政拨款实际支出情况。</w:t>
            </w:r>
            <w:r>
              <w:rPr>
                <w:rFonts w:ascii="仿宋_GB2312" w:hAnsi="仿宋_GB2312"/>
                <w:sz w:val="20"/>
                <w:szCs w:val="20"/>
              </w:rPr>
              <w:br/>
              <w:t xml:space="preserve">    2.“</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r>
    </w:tbl>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p w:rsidR="000C0FB9" w:rsidRDefault="000C0FB9">
      <w:pPr>
        <w:spacing w:line="240" w:lineRule="exact"/>
        <w:ind w:firstLineChars="0" w:firstLine="0"/>
        <w:rPr>
          <w:rFonts w:ascii="仿宋_GB2312" w:hAnsi="仿宋_GB2312"/>
        </w:rPr>
      </w:pPr>
    </w:p>
    <w:tbl>
      <w:tblPr>
        <w:tblW w:w="8863" w:type="dxa"/>
        <w:jc w:val="center"/>
        <w:tblLayout w:type="fixed"/>
        <w:tblLook w:val="04A0"/>
      </w:tblPr>
      <w:tblGrid>
        <w:gridCol w:w="2008"/>
        <w:gridCol w:w="2728"/>
        <w:gridCol w:w="1425"/>
        <w:gridCol w:w="1179"/>
        <w:gridCol w:w="1523"/>
      </w:tblGrid>
      <w:tr w:rsidR="000C0FB9">
        <w:trPr>
          <w:trHeight w:val="549"/>
          <w:jc w:val="center"/>
        </w:trPr>
        <w:tc>
          <w:tcPr>
            <w:tcW w:w="8863" w:type="dxa"/>
            <w:gridSpan w:val="5"/>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r>
              <w:rPr>
                <w:rFonts w:ascii="方正小标宋简体" w:hAnsi="方正小标宋简体"/>
              </w:rPr>
              <w:lastRenderedPageBreak/>
              <w:t>一般公共预算财政拨款基本支出决算表（经济科目）</w:t>
            </w:r>
          </w:p>
        </w:tc>
      </w:tr>
      <w:tr w:rsidR="000C0FB9">
        <w:trPr>
          <w:trHeight w:val="319"/>
          <w:jc w:val="center"/>
        </w:trPr>
        <w:tc>
          <w:tcPr>
            <w:tcW w:w="2008"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36"/>
                <w:szCs w:val="36"/>
              </w:rPr>
            </w:pPr>
          </w:p>
        </w:tc>
        <w:tc>
          <w:tcPr>
            <w:tcW w:w="2728"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425"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179"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1523" w:type="dxa"/>
            <w:tcBorders>
              <w:top w:val="nil"/>
              <w:left w:val="nil"/>
              <w:bottom w:val="nil"/>
              <w:right w:val="nil"/>
            </w:tcBorders>
            <w:vAlign w:val="center"/>
          </w:tcPr>
          <w:p w:rsidR="000C0FB9" w:rsidRDefault="009E755C">
            <w:pPr>
              <w:widowControl/>
              <w:spacing w:line="300" w:lineRule="exact"/>
              <w:ind w:firstLineChars="0" w:firstLine="0"/>
              <w:jc w:val="right"/>
              <w:rPr>
                <w:rFonts w:ascii="仿宋_GB2312" w:hAnsi="仿宋_GB2312"/>
                <w:sz w:val="20"/>
                <w:szCs w:val="20"/>
              </w:rPr>
            </w:pPr>
            <w:r>
              <w:rPr>
                <w:rFonts w:ascii="宋体" w:eastAsia="宋体" w:hAnsi="宋体" w:cs="宋体" w:hint="eastAsia"/>
                <w:sz w:val="20"/>
                <w:szCs w:val="20"/>
              </w:rPr>
              <w:t>公开</w:t>
            </w:r>
            <w:r>
              <w:rPr>
                <w:rFonts w:ascii="仿宋_GB2312" w:hAnsi="仿宋_GB2312"/>
                <w:sz w:val="20"/>
                <w:szCs w:val="20"/>
              </w:rPr>
              <w:t>08</w:t>
            </w:r>
            <w:r>
              <w:rPr>
                <w:rFonts w:ascii="宋体" w:eastAsia="宋体" w:hAnsi="宋体" w:cs="宋体" w:hint="eastAsia"/>
                <w:sz w:val="20"/>
                <w:szCs w:val="20"/>
              </w:rPr>
              <w:t>表</w:t>
            </w:r>
          </w:p>
        </w:tc>
      </w:tr>
      <w:tr w:rsidR="000C0FB9">
        <w:trPr>
          <w:trHeight w:val="319"/>
          <w:jc w:val="center"/>
        </w:trPr>
        <w:tc>
          <w:tcPr>
            <w:tcW w:w="4736" w:type="dxa"/>
            <w:gridSpan w:val="2"/>
            <w:tcBorders>
              <w:top w:val="nil"/>
              <w:left w:val="nil"/>
              <w:bottom w:val="single" w:sz="4" w:space="0" w:color="auto"/>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1425"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1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nil"/>
              <w:right w:val="nil"/>
            </w:tcBorders>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284"/>
          <w:jc w:val="center"/>
        </w:trPr>
        <w:tc>
          <w:tcPr>
            <w:tcW w:w="473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425"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本年支出合计</w:t>
            </w:r>
          </w:p>
        </w:tc>
        <w:tc>
          <w:tcPr>
            <w:tcW w:w="1179"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人员经费</w:t>
            </w:r>
          </w:p>
        </w:tc>
        <w:tc>
          <w:tcPr>
            <w:tcW w:w="1523"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日常公用经费</w:t>
            </w:r>
          </w:p>
        </w:tc>
      </w:tr>
      <w:tr w:rsidR="000C0FB9">
        <w:trPr>
          <w:trHeight w:val="312"/>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经济分类科目编码</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425"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79"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473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5601.75</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5218.17</w:t>
            </w: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383.58</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仿宋_GB2312" w:hAnsi="仿宋_GB2312"/>
                <w:b/>
                <w:bCs/>
                <w:sz w:val="20"/>
                <w:szCs w:val="20"/>
              </w:rPr>
              <w:t>301</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宋体" w:eastAsia="宋体" w:hAnsi="宋体" w:cs="宋体" w:hint="eastAsia"/>
                <w:b/>
                <w:bCs/>
                <w:sz w:val="20"/>
                <w:szCs w:val="20"/>
              </w:rPr>
              <w:t>工资福利支出</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5091.15</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5091.15</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30101</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基本工资</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722.57</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722.57</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30102</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津贴补贴</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1721.77</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1721.77</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30103</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奖金</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505.73</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505.73</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30107</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绩效工资</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524.48</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524.48</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30108</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机关事业单位养老保险</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916.88</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916.88</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30109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职业年金缴费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130.69</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130.69</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30110</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职工基本医疗保险缴费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83.02</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83.02</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30111</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公务员医疗补助缴费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29.01</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29.01</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tabs>
                <w:tab w:val="left" w:pos="349"/>
              </w:tabs>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30112</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其他社会保障缴费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42.17</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42.17</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30113</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住房公积金</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307.99</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307.99</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30199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其他工资福利支出</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106.85</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106.85</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b/>
                <w:bCs/>
                <w:sz w:val="20"/>
                <w:szCs w:val="20"/>
              </w:rPr>
              <w:t>302</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b/>
                <w:bCs/>
                <w:sz w:val="20"/>
                <w:szCs w:val="20"/>
              </w:rPr>
              <w:t>商品和服务支出</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383.58</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383.58</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Theme="minorEastAsia" w:eastAsiaTheme="minorEastAsia" w:hAnsiTheme="minorEastAsia" w:cstheme="minorEastAsia" w:hint="eastAsia"/>
                <w:sz w:val="20"/>
                <w:szCs w:val="20"/>
              </w:rPr>
              <w:t>30201</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Theme="minorEastAsia" w:eastAsiaTheme="minorEastAsia" w:hAnsiTheme="minorEastAsia" w:cstheme="minorEastAsia" w:hint="eastAsia"/>
                <w:sz w:val="20"/>
                <w:szCs w:val="20"/>
              </w:rPr>
              <w:t>办公费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77.68</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77.68</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3020</w:t>
            </w:r>
            <w:r>
              <w:rPr>
                <w:rFonts w:asciiTheme="minorEastAsia" w:eastAsiaTheme="minorEastAsia" w:hAnsiTheme="minorEastAsia" w:cstheme="minorEastAsia" w:hint="eastAsia"/>
                <w:sz w:val="20"/>
                <w:szCs w:val="20"/>
              </w:rPr>
              <w:t>2</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印刷费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3.49</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3.49</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3020</w:t>
            </w:r>
            <w:r>
              <w:rPr>
                <w:rFonts w:asciiTheme="minorEastAsia" w:eastAsiaTheme="minorEastAsia" w:hAnsiTheme="minorEastAsia" w:cstheme="minorEastAsia" w:hint="eastAsia"/>
                <w:sz w:val="20"/>
                <w:szCs w:val="20"/>
              </w:rPr>
              <w:t>4</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手续费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0.01</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0.01</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3020</w:t>
            </w:r>
            <w:r>
              <w:rPr>
                <w:rFonts w:asciiTheme="minorEastAsia" w:eastAsiaTheme="minorEastAsia" w:hAnsiTheme="minorEastAsia" w:cstheme="minorEastAsia" w:hint="eastAsia"/>
                <w:sz w:val="20"/>
                <w:szCs w:val="20"/>
              </w:rPr>
              <w:t>5</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水费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5.36</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5.36</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3020</w:t>
            </w:r>
            <w:r>
              <w:rPr>
                <w:rFonts w:asciiTheme="minorEastAsia" w:eastAsiaTheme="minorEastAsia" w:hAnsiTheme="minorEastAsia" w:cstheme="minorEastAsia" w:hint="eastAsia"/>
                <w:sz w:val="20"/>
                <w:szCs w:val="20"/>
              </w:rPr>
              <w:t>6</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电费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10.38</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10.38</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3020</w:t>
            </w:r>
            <w:r>
              <w:rPr>
                <w:rFonts w:asciiTheme="minorEastAsia" w:eastAsiaTheme="minorEastAsia" w:hAnsiTheme="minorEastAsia" w:cstheme="minorEastAsia" w:hint="eastAsia"/>
                <w:sz w:val="20"/>
                <w:szCs w:val="20"/>
              </w:rPr>
              <w:t>7</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邮电费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19.92</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19.92</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3020</w:t>
            </w:r>
            <w:r>
              <w:rPr>
                <w:rFonts w:asciiTheme="minorEastAsia" w:eastAsiaTheme="minorEastAsia" w:hAnsiTheme="minorEastAsia" w:cstheme="minorEastAsia" w:hint="eastAsia"/>
                <w:sz w:val="20"/>
                <w:szCs w:val="20"/>
              </w:rPr>
              <w:t>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物业管理费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0.48</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0.48</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w:t>
            </w:r>
            <w:r>
              <w:rPr>
                <w:rFonts w:asciiTheme="minorEastAsia" w:eastAsiaTheme="minorEastAsia" w:hAnsiTheme="minorEastAsia" w:cstheme="minorEastAsia" w:hint="eastAsia"/>
                <w:sz w:val="20"/>
                <w:szCs w:val="20"/>
              </w:rPr>
              <w:t>11</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差旅费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122.27</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122.27</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w:t>
            </w:r>
            <w:r>
              <w:rPr>
                <w:rFonts w:asciiTheme="minorEastAsia" w:eastAsiaTheme="minorEastAsia" w:hAnsiTheme="minorEastAsia" w:cstheme="minorEastAsia" w:hint="eastAsia"/>
                <w:sz w:val="20"/>
                <w:szCs w:val="20"/>
              </w:rPr>
              <w:t>13</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维修（护）费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14.5</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14.5</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30215</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会议费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14.86</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14.86</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30216</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培训费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5.43</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5.43</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30217</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公务接待费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6.59</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6.59</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30226</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劳务费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2.51</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2.51</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30228</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工会经费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52.34</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52.34</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30229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福利费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5.62</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5.62</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Theme="minorEastAsia" w:eastAsiaTheme="minorEastAsia" w:hAnsiTheme="minorEastAsia" w:cstheme="minorEastAsia" w:hint="eastAsia"/>
                <w:sz w:val="20"/>
                <w:szCs w:val="20"/>
              </w:rPr>
              <w:t>30239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b/>
                <w:bCs/>
                <w:sz w:val="20"/>
                <w:szCs w:val="20"/>
              </w:rPr>
            </w:pPr>
            <w:r>
              <w:rPr>
                <w:rFonts w:asciiTheme="minorEastAsia" w:eastAsiaTheme="minorEastAsia" w:hAnsiTheme="minorEastAsia" w:cstheme="minorEastAsia" w:hint="eastAsia"/>
                <w:sz w:val="20"/>
                <w:szCs w:val="20"/>
              </w:rPr>
              <w:t>其他交通费用</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42.14</w:t>
            </w:r>
          </w:p>
        </w:tc>
        <w:tc>
          <w:tcPr>
            <w:tcW w:w="1179"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523"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42.14</w:t>
            </w: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b/>
                <w:bCs/>
                <w:sz w:val="20"/>
                <w:szCs w:val="20"/>
              </w:rPr>
              <w:t>303</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b/>
                <w:bCs/>
                <w:sz w:val="20"/>
                <w:szCs w:val="20"/>
              </w:rPr>
              <w:t>对个人和家庭的补助</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127.02</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127.02</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30301</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离休费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15.83</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15.83</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30302</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退休费</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67.88</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67.88</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lastRenderedPageBreak/>
              <w:t>30304</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抚恤金</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24.97</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24.97</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30307</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医疗费补助</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6.27</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6.27</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30309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奖励金</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0.08</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0.08</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200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30399</w:t>
            </w:r>
          </w:p>
        </w:tc>
        <w:tc>
          <w:tcPr>
            <w:tcW w:w="2728"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Theme="minorEastAsia" w:eastAsiaTheme="minorEastAsia" w:hAnsiTheme="minorEastAsia" w:cstheme="minorEastAsia" w:hint="eastAsia"/>
                <w:sz w:val="20"/>
                <w:szCs w:val="20"/>
              </w:rPr>
              <w:t>其他对个人和家庭补助</w:t>
            </w:r>
          </w:p>
        </w:tc>
        <w:tc>
          <w:tcPr>
            <w:tcW w:w="1425"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11.99</w:t>
            </w:r>
          </w:p>
        </w:tc>
        <w:tc>
          <w:tcPr>
            <w:tcW w:w="1179"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11.99</w:t>
            </w:r>
          </w:p>
        </w:tc>
        <w:tc>
          <w:tcPr>
            <w:tcW w:w="1523"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84"/>
          <w:jc w:val="center"/>
        </w:trPr>
        <w:tc>
          <w:tcPr>
            <w:tcW w:w="8863" w:type="dxa"/>
            <w:gridSpan w:val="5"/>
            <w:tcBorders>
              <w:top w:val="nil"/>
              <w:left w:val="nil"/>
              <w:bottom w:val="nil"/>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 xml:space="preserve">1. </w:t>
            </w:r>
            <w:r>
              <w:rPr>
                <w:rFonts w:ascii="宋体" w:eastAsia="宋体" w:hAnsi="宋体" w:cs="宋体" w:hint="eastAsia"/>
                <w:sz w:val="20"/>
                <w:szCs w:val="20"/>
              </w:rPr>
              <w:t>本表反映部门本年度按经济分类一般公共预算财政拨款基本支出明细情况。</w:t>
            </w:r>
            <w:r>
              <w:rPr>
                <w:rFonts w:ascii="仿宋_GB2312" w:hAnsi="仿宋_GB2312"/>
                <w:sz w:val="20"/>
                <w:szCs w:val="20"/>
              </w:rPr>
              <w:br/>
              <w:t xml:space="preserve">    2.“</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r>
    </w:tbl>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p w:rsidR="000C0FB9" w:rsidRDefault="000C0FB9">
      <w:pPr>
        <w:ind w:firstLine="640"/>
        <w:rPr>
          <w:rFonts w:ascii="仿宋_GB2312" w:hAnsi="仿宋_GB2312"/>
        </w:rPr>
      </w:pPr>
    </w:p>
    <w:tbl>
      <w:tblPr>
        <w:tblW w:w="10473" w:type="dxa"/>
        <w:jc w:val="center"/>
        <w:tblLayout w:type="fixed"/>
        <w:tblLook w:val="04A0"/>
      </w:tblPr>
      <w:tblGrid>
        <w:gridCol w:w="1241"/>
        <w:gridCol w:w="1775"/>
        <w:gridCol w:w="1112"/>
        <w:gridCol w:w="1660"/>
        <w:gridCol w:w="1517"/>
        <w:gridCol w:w="1311"/>
        <w:gridCol w:w="978"/>
        <w:gridCol w:w="879"/>
      </w:tblGrid>
      <w:tr w:rsidR="000C0FB9">
        <w:trPr>
          <w:trHeight w:val="960"/>
          <w:jc w:val="center"/>
        </w:trPr>
        <w:tc>
          <w:tcPr>
            <w:tcW w:w="10473" w:type="dxa"/>
            <w:gridSpan w:val="8"/>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bookmarkStart w:id="5" w:name="RANGE!A1:H16"/>
            <w:r>
              <w:rPr>
                <w:rFonts w:ascii="方正小标宋简体" w:hAnsi="方正小标宋简体"/>
              </w:rPr>
              <w:lastRenderedPageBreak/>
              <w:t>一般公共预算财政拨款</w:t>
            </w:r>
            <w:r>
              <w:rPr>
                <w:rFonts w:ascii="方正小标宋简体" w:hAnsi="方正小标宋简体"/>
              </w:rPr>
              <w:t>“</w:t>
            </w:r>
            <w:r>
              <w:rPr>
                <w:rFonts w:ascii="方正小标宋简体" w:hAnsi="方正小标宋简体"/>
              </w:rPr>
              <w:t>三公</w:t>
            </w:r>
            <w:r>
              <w:rPr>
                <w:rFonts w:ascii="方正小标宋简体" w:hAnsi="方正小标宋简体"/>
              </w:rPr>
              <w:t>”</w:t>
            </w:r>
            <w:r>
              <w:rPr>
                <w:rFonts w:ascii="方正小标宋简体" w:hAnsi="方正小标宋简体"/>
              </w:rPr>
              <w:t>经费、会议费、培训费支出决算表</w:t>
            </w:r>
            <w:bookmarkEnd w:id="5"/>
          </w:p>
        </w:tc>
      </w:tr>
      <w:tr w:rsidR="000C0FB9">
        <w:trPr>
          <w:trHeight w:val="319"/>
          <w:jc w:val="center"/>
        </w:trPr>
        <w:tc>
          <w:tcPr>
            <w:tcW w:w="1241" w:type="dxa"/>
            <w:tcBorders>
              <w:top w:val="nil"/>
              <w:left w:val="nil"/>
              <w:bottom w:val="nil"/>
              <w:right w:val="nil"/>
            </w:tcBorders>
            <w:vAlign w:val="center"/>
          </w:tcPr>
          <w:p w:rsidR="000C0FB9" w:rsidRDefault="000C0FB9">
            <w:pPr>
              <w:widowControl/>
              <w:spacing w:line="240" w:lineRule="exact"/>
              <w:ind w:firstLineChars="0" w:firstLine="0"/>
              <w:jc w:val="center"/>
              <w:rPr>
                <w:rFonts w:ascii="仿宋_GB2312" w:hAnsi="仿宋_GB2312"/>
                <w:sz w:val="36"/>
                <w:szCs w:val="36"/>
              </w:rPr>
            </w:pPr>
          </w:p>
        </w:tc>
        <w:tc>
          <w:tcPr>
            <w:tcW w:w="1775" w:type="dxa"/>
            <w:tcBorders>
              <w:top w:val="nil"/>
              <w:left w:val="nil"/>
              <w:bottom w:val="nil"/>
              <w:right w:val="nil"/>
            </w:tcBorders>
            <w:vAlign w:val="center"/>
          </w:tcPr>
          <w:p w:rsidR="000C0FB9" w:rsidRDefault="000C0FB9">
            <w:pPr>
              <w:widowControl/>
              <w:spacing w:line="240" w:lineRule="exact"/>
              <w:ind w:firstLineChars="0" w:firstLine="0"/>
              <w:jc w:val="left"/>
              <w:rPr>
                <w:rFonts w:ascii="仿宋_GB2312" w:hAnsi="仿宋_GB2312"/>
                <w:sz w:val="20"/>
                <w:szCs w:val="20"/>
              </w:rPr>
            </w:pPr>
          </w:p>
        </w:tc>
        <w:tc>
          <w:tcPr>
            <w:tcW w:w="1112" w:type="dxa"/>
            <w:tcBorders>
              <w:top w:val="nil"/>
              <w:left w:val="nil"/>
              <w:bottom w:val="nil"/>
              <w:right w:val="nil"/>
            </w:tcBorders>
            <w:vAlign w:val="center"/>
          </w:tcPr>
          <w:p w:rsidR="000C0FB9" w:rsidRDefault="000C0FB9">
            <w:pPr>
              <w:widowControl/>
              <w:spacing w:line="240" w:lineRule="exact"/>
              <w:ind w:firstLineChars="0" w:firstLine="0"/>
              <w:jc w:val="left"/>
              <w:rPr>
                <w:rFonts w:ascii="仿宋_GB2312" w:hAnsi="仿宋_GB2312"/>
                <w:sz w:val="20"/>
                <w:szCs w:val="20"/>
              </w:rPr>
            </w:pPr>
          </w:p>
        </w:tc>
        <w:tc>
          <w:tcPr>
            <w:tcW w:w="1660" w:type="dxa"/>
            <w:tcBorders>
              <w:top w:val="nil"/>
              <w:left w:val="nil"/>
              <w:bottom w:val="nil"/>
              <w:right w:val="nil"/>
            </w:tcBorders>
            <w:vAlign w:val="center"/>
          </w:tcPr>
          <w:p w:rsidR="000C0FB9" w:rsidRDefault="000C0FB9">
            <w:pPr>
              <w:widowControl/>
              <w:spacing w:line="240" w:lineRule="exact"/>
              <w:ind w:firstLineChars="0" w:firstLine="0"/>
              <w:jc w:val="left"/>
              <w:rPr>
                <w:rFonts w:ascii="仿宋_GB2312" w:hAnsi="仿宋_GB2312"/>
                <w:sz w:val="20"/>
                <w:szCs w:val="20"/>
              </w:rPr>
            </w:pPr>
          </w:p>
        </w:tc>
        <w:tc>
          <w:tcPr>
            <w:tcW w:w="1517" w:type="dxa"/>
            <w:tcBorders>
              <w:top w:val="nil"/>
              <w:left w:val="nil"/>
              <w:bottom w:val="nil"/>
              <w:right w:val="nil"/>
            </w:tcBorders>
            <w:vAlign w:val="center"/>
          </w:tcPr>
          <w:p w:rsidR="000C0FB9" w:rsidRDefault="000C0FB9">
            <w:pPr>
              <w:widowControl/>
              <w:spacing w:line="240" w:lineRule="exact"/>
              <w:ind w:firstLineChars="0" w:firstLine="0"/>
              <w:jc w:val="left"/>
              <w:rPr>
                <w:rFonts w:ascii="仿宋_GB2312" w:hAnsi="仿宋_GB2312"/>
                <w:sz w:val="20"/>
                <w:szCs w:val="20"/>
              </w:rPr>
            </w:pPr>
          </w:p>
        </w:tc>
        <w:tc>
          <w:tcPr>
            <w:tcW w:w="3168" w:type="dxa"/>
            <w:gridSpan w:val="3"/>
            <w:tcBorders>
              <w:top w:val="nil"/>
              <w:left w:val="nil"/>
              <w:bottom w:val="nil"/>
              <w:right w:val="nil"/>
            </w:tcBorders>
            <w:vAlign w:val="center"/>
          </w:tcPr>
          <w:p w:rsidR="000C0FB9" w:rsidRDefault="009E755C">
            <w:pPr>
              <w:widowControl/>
              <w:spacing w:line="24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09</w:t>
            </w:r>
            <w:r>
              <w:rPr>
                <w:rFonts w:ascii="黑体" w:eastAsia="黑体" w:hAnsi="黑体" w:hint="eastAsia"/>
                <w:sz w:val="20"/>
                <w:szCs w:val="20"/>
              </w:rPr>
              <w:t>表</w:t>
            </w:r>
          </w:p>
        </w:tc>
      </w:tr>
      <w:tr w:rsidR="000C0FB9">
        <w:trPr>
          <w:trHeight w:val="319"/>
          <w:jc w:val="center"/>
        </w:trPr>
        <w:tc>
          <w:tcPr>
            <w:tcW w:w="3016" w:type="dxa"/>
            <w:gridSpan w:val="2"/>
            <w:tcBorders>
              <w:top w:val="nil"/>
              <w:left w:val="nil"/>
              <w:bottom w:val="nil"/>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1112"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660"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517"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3168" w:type="dxa"/>
            <w:gridSpan w:val="3"/>
            <w:tcBorders>
              <w:top w:val="nil"/>
              <w:left w:val="nil"/>
              <w:bottom w:val="nil"/>
              <w:right w:val="nil"/>
            </w:tcBorders>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19"/>
          <w:jc w:val="center"/>
        </w:trPr>
        <w:tc>
          <w:tcPr>
            <w:tcW w:w="8616" w:type="dxa"/>
            <w:gridSpan w:val="6"/>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w:t>
            </w:r>
            <w:r>
              <w:rPr>
                <w:rFonts w:ascii="宋体" w:eastAsia="宋体" w:hAnsi="宋体" w:cs="宋体" w:hint="eastAsia"/>
                <w:sz w:val="20"/>
                <w:szCs w:val="20"/>
              </w:rPr>
              <w:t>三公</w:t>
            </w:r>
            <w:r>
              <w:rPr>
                <w:rFonts w:ascii="仿宋_GB2312" w:hAnsi="仿宋_GB2312"/>
                <w:sz w:val="20"/>
                <w:szCs w:val="20"/>
              </w:rPr>
              <w:t>”</w:t>
            </w:r>
            <w:r>
              <w:rPr>
                <w:rFonts w:ascii="宋体" w:eastAsia="宋体" w:hAnsi="宋体" w:cs="宋体" w:hint="eastAsia"/>
                <w:sz w:val="20"/>
                <w:szCs w:val="20"/>
              </w:rPr>
              <w:t>经费</w:t>
            </w:r>
          </w:p>
        </w:tc>
        <w:tc>
          <w:tcPr>
            <w:tcW w:w="978"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会议费</w:t>
            </w:r>
          </w:p>
        </w:tc>
        <w:tc>
          <w:tcPr>
            <w:tcW w:w="879"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培训费</w:t>
            </w:r>
          </w:p>
        </w:tc>
      </w:tr>
      <w:tr w:rsidR="000C0FB9">
        <w:trPr>
          <w:trHeight w:val="319"/>
          <w:jc w:val="center"/>
        </w:trPr>
        <w:tc>
          <w:tcPr>
            <w:tcW w:w="1241" w:type="dxa"/>
            <w:vMerge w:val="restart"/>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w:t>
            </w:r>
            <w:r>
              <w:rPr>
                <w:rFonts w:ascii="宋体" w:eastAsia="宋体" w:hAnsi="宋体" w:cs="宋体" w:hint="eastAsia"/>
                <w:sz w:val="20"/>
                <w:szCs w:val="20"/>
              </w:rPr>
              <w:t>三公</w:t>
            </w:r>
            <w:r>
              <w:rPr>
                <w:rFonts w:ascii="仿宋_GB2312" w:hAnsi="仿宋_GB2312"/>
                <w:sz w:val="20"/>
                <w:szCs w:val="20"/>
              </w:rPr>
              <w:t>”</w:t>
            </w:r>
            <w:r>
              <w:rPr>
                <w:rFonts w:ascii="宋体" w:eastAsia="宋体" w:hAnsi="宋体" w:cs="宋体" w:hint="eastAsia"/>
                <w:sz w:val="20"/>
                <w:szCs w:val="20"/>
              </w:rPr>
              <w:t>经费合计</w:t>
            </w:r>
          </w:p>
        </w:tc>
        <w:tc>
          <w:tcPr>
            <w:tcW w:w="1775" w:type="dxa"/>
            <w:vMerge w:val="restart"/>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因公出国（境）费</w:t>
            </w:r>
          </w:p>
        </w:tc>
        <w:tc>
          <w:tcPr>
            <w:tcW w:w="4289" w:type="dxa"/>
            <w:gridSpan w:val="3"/>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公务用车购置及运行维护费</w:t>
            </w:r>
          </w:p>
        </w:tc>
        <w:tc>
          <w:tcPr>
            <w:tcW w:w="1311" w:type="dxa"/>
            <w:vMerge w:val="restart"/>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公务接待费</w:t>
            </w:r>
          </w:p>
        </w:tc>
        <w:tc>
          <w:tcPr>
            <w:tcW w:w="978"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879"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642"/>
          <w:jc w:val="center"/>
        </w:trPr>
        <w:tc>
          <w:tcPr>
            <w:tcW w:w="1241" w:type="dxa"/>
            <w:vMerge/>
            <w:tcBorders>
              <w:top w:val="nil"/>
              <w:left w:val="single" w:sz="4" w:space="0" w:color="auto"/>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775" w:type="dxa"/>
            <w:vMerge/>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小计</w:t>
            </w:r>
          </w:p>
        </w:tc>
        <w:tc>
          <w:tcPr>
            <w:tcW w:w="166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公务用车购置费</w:t>
            </w:r>
          </w:p>
        </w:tc>
        <w:tc>
          <w:tcPr>
            <w:tcW w:w="1517"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公务用车运行维护费</w:t>
            </w:r>
          </w:p>
        </w:tc>
        <w:tc>
          <w:tcPr>
            <w:tcW w:w="1311" w:type="dxa"/>
            <w:vMerge/>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978"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879"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1241"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19.55</w:t>
            </w:r>
          </w:p>
        </w:tc>
        <w:tc>
          <w:tcPr>
            <w:tcW w:w="177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8.41</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b/>
                <w:bCs/>
                <w:sz w:val="20"/>
                <w:szCs w:val="20"/>
              </w:rPr>
            </w:pPr>
            <w:r>
              <w:rPr>
                <w:rFonts w:ascii="仿宋_GB2312" w:hAnsi="仿宋_GB2312" w:hint="eastAsia"/>
                <w:sz w:val="20"/>
                <w:szCs w:val="20"/>
              </w:rPr>
              <w:t>3.10</w:t>
            </w:r>
          </w:p>
        </w:tc>
        <w:tc>
          <w:tcPr>
            <w:tcW w:w="166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1517"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3.10</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8.04</w:t>
            </w:r>
          </w:p>
        </w:tc>
        <w:tc>
          <w:tcPr>
            <w:tcW w:w="978"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40.69</w:t>
            </w:r>
          </w:p>
        </w:tc>
        <w:tc>
          <w:tcPr>
            <w:tcW w:w="879"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12.26</w:t>
            </w:r>
          </w:p>
        </w:tc>
      </w:tr>
      <w:tr w:rsidR="000C0FB9">
        <w:trPr>
          <w:trHeight w:val="319"/>
          <w:jc w:val="center"/>
        </w:trPr>
        <w:tc>
          <w:tcPr>
            <w:tcW w:w="8616" w:type="dxa"/>
            <w:gridSpan w:val="6"/>
            <w:tcBorders>
              <w:top w:val="single" w:sz="4" w:space="0" w:color="auto"/>
              <w:left w:val="nil"/>
              <w:bottom w:val="single" w:sz="4" w:space="0" w:color="auto"/>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相关统计数：</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统计数</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统计数</w:t>
            </w:r>
          </w:p>
        </w:tc>
        <w:tc>
          <w:tcPr>
            <w:tcW w:w="978"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因公出国（境）团组数（个）</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2</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因公出国（境）人次数（人）</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2</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公务用车购置数（辆）</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公务用车保有量（辆）</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4</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国内公务接待批次（个）</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197</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国内公务接待人次（人）</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1080</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国（境）外公务接待批次（个）</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国（境）外公务接待人次（人）</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召开会议次数（个）</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106</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参加会议人次（人）</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3204</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240"/>
          <w:jc w:val="center"/>
        </w:trPr>
        <w:tc>
          <w:tcPr>
            <w:tcW w:w="3016"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组织培训次数（个）</w:t>
            </w:r>
          </w:p>
        </w:tc>
        <w:tc>
          <w:tcPr>
            <w:tcW w:w="1112"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28</w:t>
            </w:r>
          </w:p>
        </w:tc>
        <w:tc>
          <w:tcPr>
            <w:tcW w:w="3177" w:type="dxa"/>
            <w:gridSpan w:val="2"/>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参加培训人次（人）</w:t>
            </w:r>
          </w:p>
        </w:tc>
        <w:tc>
          <w:tcPr>
            <w:tcW w:w="131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579</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420"/>
          <w:jc w:val="center"/>
        </w:trPr>
        <w:tc>
          <w:tcPr>
            <w:tcW w:w="8616" w:type="dxa"/>
            <w:gridSpan w:val="6"/>
            <w:tcBorders>
              <w:top w:val="single" w:sz="4" w:space="0" w:color="auto"/>
              <w:left w:val="nil"/>
              <w:bottom w:val="single" w:sz="4" w:space="0" w:color="auto"/>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w:t>
            </w:r>
            <w:r>
              <w:rPr>
                <w:rFonts w:ascii="宋体" w:eastAsia="宋体" w:hAnsi="宋体" w:cs="宋体" w:hint="eastAsia"/>
                <w:sz w:val="20"/>
                <w:szCs w:val="20"/>
              </w:rPr>
              <w:t>三公</w:t>
            </w:r>
            <w:r>
              <w:rPr>
                <w:rFonts w:ascii="仿宋_GB2312" w:hAnsi="仿宋_GB2312"/>
                <w:sz w:val="20"/>
                <w:szCs w:val="20"/>
              </w:rPr>
              <w:t>”</w:t>
            </w:r>
            <w:r>
              <w:rPr>
                <w:rFonts w:ascii="宋体" w:eastAsia="宋体" w:hAnsi="宋体" w:cs="宋体" w:hint="eastAsia"/>
                <w:sz w:val="20"/>
                <w:szCs w:val="20"/>
              </w:rPr>
              <w:t>经费、会议费、培训费详细支出情况见支出情况说明。</w:t>
            </w: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420"/>
          <w:jc w:val="center"/>
        </w:trPr>
        <w:tc>
          <w:tcPr>
            <w:tcW w:w="8616" w:type="dxa"/>
            <w:gridSpan w:val="6"/>
            <w:tcBorders>
              <w:top w:val="single" w:sz="4" w:space="0" w:color="auto"/>
              <w:left w:val="nil"/>
              <w:bottom w:val="nil"/>
              <w:right w:val="nil"/>
            </w:tcBorders>
            <w:vAlign w:val="center"/>
          </w:tcPr>
          <w:p w:rsidR="000C0FB9" w:rsidRDefault="000C0FB9">
            <w:pPr>
              <w:widowControl/>
              <w:ind w:firstLineChars="0" w:firstLine="0"/>
              <w:jc w:val="left"/>
              <w:rPr>
                <w:rFonts w:ascii="宋体" w:eastAsia="宋体" w:hAnsi="宋体" w:cs="宋体"/>
                <w:sz w:val="20"/>
                <w:szCs w:val="20"/>
              </w:rPr>
            </w:pPr>
          </w:p>
          <w:p w:rsidR="000C0FB9" w:rsidRDefault="000C0FB9">
            <w:pPr>
              <w:widowControl/>
              <w:ind w:firstLineChars="0" w:firstLine="0"/>
              <w:jc w:val="left"/>
              <w:rPr>
                <w:rFonts w:ascii="宋体" w:eastAsia="宋体" w:hAnsi="宋体" w:cs="宋体"/>
                <w:sz w:val="20"/>
                <w:szCs w:val="20"/>
              </w:rPr>
            </w:pPr>
          </w:p>
        </w:tc>
        <w:tc>
          <w:tcPr>
            <w:tcW w:w="978"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879"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bl>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p w:rsidR="000C0FB9" w:rsidRDefault="000C0FB9">
      <w:pPr>
        <w:spacing w:line="240" w:lineRule="exact"/>
        <w:ind w:firstLine="640"/>
        <w:rPr>
          <w:rFonts w:ascii="仿宋_GB2312" w:hAnsi="仿宋_GB2312"/>
        </w:rPr>
      </w:pPr>
    </w:p>
    <w:tbl>
      <w:tblPr>
        <w:tblW w:w="10035" w:type="dxa"/>
        <w:jc w:val="center"/>
        <w:tblLayout w:type="fixed"/>
        <w:tblLook w:val="04A0"/>
      </w:tblPr>
      <w:tblGrid>
        <w:gridCol w:w="1180"/>
        <w:gridCol w:w="1600"/>
        <w:gridCol w:w="1780"/>
        <w:gridCol w:w="1191"/>
        <w:gridCol w:w="921"/>
        <w:gridCol w:w="1037"/>
        <w:gridCol w:w="1136"/>
        <w:gridCol w:w="1190"/>
      </w:tblGrid>
      <w:tr w:rsidR="000C0FB9">
        <w:trPr>
          <w:trHeight w:val="497"/>
          <w:jc w:val="center"/>
        </w:trPr>
        <w:tc>
          <w:tcPr>
            <w:tcW w:w="10035" w:type="dxa"/>
            <w:gridSpan w:val="8"/>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bookmarkStart w:id="6" w:name="RANGE!A1:H14"/>
            <w:r>
              <w:rPr>
                <w:rFonts w:ascii="方正小标宋简体" w:hAnsi="方正小标宋简体"/>
              </w:rPr>
              <w:t>政府性基金预算财政拨款收入支出决算表</w:t>
            </w:r>
            <w:bookmarkEnd w:id="6"/>
          </w:p>
        </w:tc>
      </w:tr>
      <w:tr w:rsidR="000C0FB9">
        <w:trPr>
          <w:trHeight w:val="319"/>
          <w:jc w:val="center"/>
        </w:trPr>
        <w:tc>
          <w:tcPr>
            <w:tcW w:w="1180"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40"/>
                <w:szCs w:val="40"/>
              </w:rPr>
            </w:pPr>
          </w:p>
        </w:tc>
        <w:tc>
          <w:tcPr>
            <w:tcW w:w="1600"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1780"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1191"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921"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1037"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1136" w:type="dxa"/>
            <w:tcBorders>
              <w:top w:val="nil"/>
              <w:left w:val="nil"/>
              <w:bottom w:val="nil"/>
              <w:right w:val="nil"/>
            </w:tcBorders>
            <w:vAlign w:val="center"/>
          </w:tcPr>
          <w:p w:rsidR="000C0FB9" w:rsidRDefault="000C0FB9">
            <w:pPr>
              <w:widowControl/>
              <w:ind w:firstLineChars="0" w:firstLine="0"/>
              <w:jc w:val="center"/>
              <w:rPr>
                <w:rFonts w:ascii="仿宋_GB2312" w:hAnsi="仿宋_GB2312"/>
                <w:sz w:val="20"/>
                <w:szCs w:val="20"/>
              </w:rPr>
            </w:pPr>
          </w:p>
        </w:tc>
        <w:tc>
          <w:tcPr>
            <w:tcW w:w="1190" w:type="dxa"/>
            <w:tcBorders>
              <w:top w:val="nil"/>
              <w:left w:val="nil"/>
              <w:bottom w:val="nil"/>
              <w:right w:val="nil"/>
            </w:tcBorders>
            <w:noWrap/>
            <w:vAlign w:val="center"/>
          </w:tcPr>
          <w:p w:rsidR="000C0FB9" w:rsidRDefault="009E755C">
            <w:pPr>
              <w:widowControl/>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10</w:t>
            </w:r>
            <w:r>
              <w:rPr>
                <w:rFonts w:ascii="黑体" w:eastAsia="黑体" w:hAnsi="黑体" w:hint="eastAsia"/>
                <w:sz w:val="20"/>
                <w:szCs w:val="20"/>
              </w:rPr>
              <w:t>表</w:t>
            </w:r>
          </w:p>
        </w:tc>
      </w:tr>
      <w:tr w:rsidR="000C0FB9">
        <w:trPr>
          <w:trHeight w:val="319"/>
          <w:jc w:val="center"/>
        </w:trPr>
        <w:tc>
          <w:tcPr>
            <w:tcW w:w="2780" w:type="dxa"/>
            <w:gridSpan w:val="2"/>
            <w:tcBorders>
              <w:top w:val="nil"/>
              <w:left w:val="nil"/>
              <w:bottom w:val="single" w:sz="4" w:space="0" w:color="auto"/>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1780"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191"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921"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1037"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c>
          <w:tcPr>
            <w:tcW w:w="2326" w:type="dxa"/>
            <w:gridSpan w:val="2"/>
            <w:tcBorders>
              <w:top w:val="nil"/>
              <w:left w:val="nil"/>
              <w:bottom w:val="nil"/>
              <w:right w:val="nil"/>
            </w:tcBorders>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19"/>
          <w:jc w:val="center"/>
        </w:trPr>
        <w:tc>
          <w:tcPr>
            <w:tcW w:w="2780"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1780" w:type="dxa"/>
            <w:vMerge w:val="restart"/>
            <w:tcBorders>
              <w:top w:val="single" w:sz="4" w:space="0" w:color="auto"/>
              <w:left w:val="nil"/>
              <w:bottom w:val="single" w:sz="4" w:space="0" w:color="000000"/>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年初结转和结余</w:t>
            </w:r>
          </w:p>
        </w:tc>
        <w:tc>
          <w:tcPr>
            <w:tcW w:w="1191" w:type="dxa"/>
            <w:vMerge w:val="restart"/>
            <w:tcBorders>
              <w:top w:val="single" w:sz="4" w:space="0" w:color="auto"/>
              <w:left w:val="nil"/>
              <w:bottom w:val="single" w:sz="4" w:space="0" w:color="000000"/>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本年收入</w:t>
            </w:r>
          </w:p>
        </w:tc>
        <w:tc>
          <w:tcPr>
            <w:tcW w:w="3094" w:type="dxa"/>
            <w:gridSpan w:val="3"/>
            <w:tcBorders>
              <w:top w:val="single" w:sz="4" w:space="0" w:color="auto"/>
              <w:left w:val="nil"/>
              <w:bottom w:val="nil"/>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本年支出</w:t>
            </w:r>
          </w:p>
        </w:tc>
        <w:tc>
          <w:tcPr>
            <w:tcW w:w="1190"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年末结转和结余</w:t>
            </w:r>
          </w:p>
        </w:tc>
      </w:tr>
      <w:tr w:rsidR="000C0FB9">
        <w:trPr>
          <w:trHeight w:val="642"/>
          <w:jc w:val="center"/>
        </w:trPr>
        <w:tc>
          <w:tcPr>
            <w:tcW w:w="1180"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功能分类科目编码</w:t>
            </w:r>
          </w:p>
        </w:tc>
        <w:tc>
          <w:tcPr>
            <w:tcW w:w="160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1780" w:type="dxa"/>
            <w:vMerge/>
            <w:tcBorders>
              <w:top w:val="single" w:sz="4" w:space="0" w:color="auto"/>
              <w:left w:val="nil"/>
              <w:bottom w:val="single" w:sz="4" w:space="0" w:color="000000"/>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91" w:type="dxa"/>
            <w:vMerge/>
            <w:tcBorders>
              <w:top w:val="single" w:sz="4" w:space="0" w:color="auto"/>
              <w:left w:val="nil"/>
              <w:bottom w:val="single" w:sz="4" w:space="0" w:color="000000"/>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921"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小计</w:t>
            </w:r>
          </w:p>
        </w:tc>
        <w:tc>
          <w:tcPr>
            <w:tcW w:w="1037"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基本支出</w:t>
            </w:r>
          </w:p>
        </w:tc>
        <w:tc>
          <w:tcPr>
            <w:tcW w:w="113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项目支出</w:t>
            </w:r>
          </w:p>
        </w:tc>
        <w:tc>
          <w:tcPr>
            <w:tcW w:w="1190" w:type="dxa"/>
            <w:vMerge/>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69"/>
          <w:jc w:val="center"/>
        </w:trPr>
        <w:tc>
          <w:tcPr>
            <w:tcW w:w="2780"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栏次</w:t>
            </w:r>
          </w:p>
        </w:tc>
        <w:tc>
          <w:tcPr>
            <w:tcW w:w="1780"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仿宋_GB2312" w:hAnsi="仿宋_GB2312"/>
                <w:sz w:val="20"/>
                <w:szCs w:val="20"/>
              </w:rPr>
            </w:pPr>
          </w:p>
        </w:tc>
        <w:tc>
          <w:tcPr>
            <w:tcW w:w="1191"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仿宋_GB2312" w:hAnsi="仿宋_GB2312"/>
                <w:sz w:val="20"/>
                <w:szCs w:val="20"/>
              </w:rPr>
            </w:pPr>
          </w:p>
        </w:tc>
        <w:tc>
          <w:tcPr>
            <w:tcW w:w="9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1</w:t>
            </w:r>
          </w:p>
        </w:tc>
        <w:tc>
          <w:tcPr>
            <w:tcW w:w="1037"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2</w:t>
            </w:r>
          </w:p>
        </w:tc>
        <w:tc>
          <w:tcPr>
            <w:tcW w:w="1136"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sz w:val="20"/>
                <w:szCs w:val="20"/>
              </w:rPr>
              <w:t>3</w:t>
            </w:r>
          </w:p>
        </w:tc>
        <w:tc>
          <w:tcPr>
            <w:tcW w:w="1190"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仿宋_GB2312" w:hAnsi="仿宋_GB2312"/>
                <w:sz w:val="20"/>
                <w:szCs w:val="20"/>
              </w:rPr>
            </w:pPr>
          </w:p>
        </w:tc>
      </w:tr>
      <w:tr w:rsidR="000C0FB9">
        <w:trPr>
          <w:trHeight w:val="369"/>
          <w:jc w:val="center"/>
        </w:trPr>
        <w:tc>
          <w:tcPr>
            <w:tcW w:w="2780"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78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119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921"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1037"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1136"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c>
          <w:tcPr>
            <w:tcW w:w="1190"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0</w:t>
            </w:r>
          </w:p>
        </w:tc>
      </w:tr>
      <w:tr w:rsidR="000C0FB9">
        <w:trPr>
          <w:trHeight w:val="369"/>
          <w:jc w:val="center"/>
        </w:trPr>
        <w:tc>
          <w:tcPr>
            <w:tcW w:w="1180" w:type="dxa"/>
            <w:tcBorders>
              <w:top w:val="nil"/>
              <w:left w:val="single" w:sz="4" w:space="0" w:color="auto"/>
              <w:bottom w:val="single" w:sz="4" w:space="0" w:color="auto"/>
              <w:right w:val="single" w:sz="4" w:space="0" w:color="auto"/>
            </w:tcBorders>
            <w:vAlign w:val="center"/>
          </w:tcPr>
          <w:p w:rsidR="000C0FB9" w:rsidRDefault="000C0FB9">
            <w:pPr>
              <w:widowControl/>
              <w:ind w:firstLineChars="0" w:firstLine="0"/>
              <w:jc w:val="center"/>
              <w:rPr>
                <w:rFonts w:ascii="仿宋_GB2312" w:hAnsi="仿宋_GB2312"/>
                <w:sz w:val="20"/>
                <w:szCs w:val="20"/>
              </w:rPr>
            </w:pPr>
          </w:p>
        </w:tc>
        <w:tc>
          <w:tcPr>
            <w:tcW w:w="1600"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780"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91"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921"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037"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36"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190" w:type="dxa"/>
            <w:tcBorders>
              <w:top w:val="nil"/>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540"/>
          <w:jc w:val="center"/>
        </w:trPr>
        <w:tc>
          <w:tcPr>
            <w:tcW w:w="8845" w:type="dxa"/>
            <w:gridSpan w:val="7"/>
            <w:tcBorders>
              <w:top w:val="nil"/>
              <w:left w:val="nil"/>
              <w:bottom w:val="nil"/>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 xml:space="preserve">1. </w:t>
            </w:r>
            <w:r>
              <w:rPr>
                <w:rFonts w:ascii="宋体" w:eastAsia="宋体" w:hAnsi="宋体" w:cs="宋体" w:hint="eastAsia"/>
                <w:sz w:val="20"/>
                <w:szCs w:val="20"/>
              </w:rPr>
              <w:t>本表反映部门本年度按功能分类政府性基金预算财政拨款收支及结转和结余情况。</w:t>
            </w:r>
            <w:r>
              <w:rPr>
                <w:rFonts w:ascii="仿宋_GB2312" w:hAnsi="仿宋_GB2312"/>
                <w:sz w:val="20"/>
                <w:szCs w:val="20"/>
              </w:rPr>
              <w:br/>
              <w:t xml:space="preserve">   2. “</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c>
          <w:tcPr>
            <w:tcW w:w="1190"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540"/>
          <w:jc w:val="center"/>
        </w:trPr>
        <w:tc>
          <w:tcPr>
            <w:tcW w:w="8845" w:type="dxa"/>
            <w:gridSpan w:val="7"/>
            <w:tcBorders>
              <w:top w:val="nil"/>
              <w:left w:val="nil"/>
              <w:bottom w:val="nil"/>
              <w:right w:val="nil"/>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b/>
                <w:bCs/>
                <w:sz w:val="20"/>
                <w:szCs w:val="20"/>
              </w:rPr>
              <w:t>注：本部门无政府性基金，故此表为空。</w:t>
            </w:r>
          </w:p>
        </w:tc>
        <w:tc>
          <w:tcPr>
            <w:tcW w:w="1190" w:type="dxa"/>
            <w:tcBorders>
              <w:top w:val="nil"/>
              <w:left w:val="nil"/>
              <w:bottom w:val="nil"/>
              <w:right w:val="nil"/>
            </w:tcBorders>
            <w:vAlign w:val="center"/>
          </w:tcPr>
          <w:p w:rsidR="000C0FB9" w:rsidRDefault="000C0FB9">
            <w:pPr>
              <w:widowControl/>
              <w:ind w:firstLineChars="0" w:firstLine="0"/>
              <w:jc w:val="left"/>
              <w:rPr>
                <w:rFonts w:ascii="仿宋_GB2312" w:hAnsi="仿宋_GB2312"/>
                <w:sz w:val="20"/>
                <w:szCs w:val="20"/>
              </w:rPr>
            </w:pPr>
          </w:p>
        </w:tc>
      </w:tr>
    </w:tbl>
    <w:p w:rsidR="000C0FB9" w:rsidRDefault="000C0FB9">
      <w:pPr>
        <w:spacing w:line="40" w:lineRule="exact"/>
        <w:ind w:firstLine="640"/>
      </w:pPr>
    </w:p>
    <w:tbl>
      <w:tblPr>
        <w:tblW w:w="8647" w:type="dxa"/>
        <w:jc w:val="center"/>
        <w:tblLayout w:type="fixed"/>
        <w:tblLook w:val="04A0"/>
      </w:tblPr>
      <w:tblGrid>
        <w:gridCol w:w="1818"/>
        <w:gridCol w:w="2646"/>
        <w:gridCol w:w="4183"/>
      </w:tblGrid>
      <w:tr w:rsidR="000C0FB9">
        <w:trPr>
          <w:trHeight w:val="566"/>
          <w:jc w:val="center"/>
        </w:trPr>
        <w:tc>
          <w:tcPr>
            <w:tcW w:w="8647" w:type="dxa"/>
            <w:gridSpan w:val="3"/>
            <w:tcBorders>
              <w:top w:val="nil"/>
              <w:left w:val="nil"/>
              <w:bottom w:val="nil"/>
              <w:right w:val="nil"/>
            </w:tcBorders>
            <w:vAlign w:val="center"/>
          </w:tcPr>
          <w:p w:rsidR="000C0FB9" w:rsidRDefault="009E755C">
            <w:pPr>
              <w:widowControl/>
              <w:spacing w:line="570" w:lineRule="exact"/>
              <w:ind w:firstLineChars="0" w:firstLine="0"/>
              <w:jc w:val="center"/>
              <w:rPr>
                <w:rFonts w:ascii="方正小标宋简体" w:hAnsi="方正小标宋简体"/>
              </w:rPr>
            </w:pPr>
            <w:bookmarkStart w:id="7" w:name="RANGE!A1:C16"/>
            <w:r>
              <w:rPr>
                <w:rFonts w:ascii="方正小标宋简体" w:hAnsi="方正小标宋简体"/>
              </w:rPr>
              <w:lastRenderedPageBreak/>
              <w:t>机关运行经费支出决算表</w:t>
            </w:r>
            <w:bookmarkEnd w:id="7"/>
          </w:p>
        </w:tc>
      </w:tr>
      <w:tr w:rsidR="000C0FB9">
        <w:trPr>
          <w:trHeight w:val="319"/>
          <w:jc w:val="center"/>
        </w:trPr>
        <w:tc>
          <w:tcPr>
            <w:tcW w:w="1818"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36"/>
                <w:szCs w:val="36"/>
              </w:rPr>
            </w:pPr>
          </w:p>
        </w:tc>
        <w:tc>
          <w:tcPr>
            <w:tcW w:w="2646" w:type="dxa"/>
            <w:tcBorders>
              <w:top w:val="nil"/>
              <w:left w:val="nil"/>
              <w:bottom w:val="nil"/>
              <w:right w:val="nil"/>
            </w:tcBorders>
            <w:vAlign w:val="center"/>
          </w:tcPr>
          <w:p w:rsidR="000C0FB9" w:rsidRDefault="000C0FB9">
            <w:pPr>
              <w:widowControl/>
              <w:spacing w:line="300" w:lineRule="exact"/>
              <w:ind w:firstLineChars="0" w:firstLine="0"/>
              <w:jc w:val="center"/>
              <w:rPr>
                <w:rFonts w:ascii="仿宋_GB2312" w:hAnsi="仿宋_GB2312"/>
                <w:sz w:val="20"/>
                <w:szCs w:val="20"/>
              </w:rPr>
            </w:pPr>
          </w:p>
        </w:tc>
        <w:tc>
          <w:tcPr>
            <w:tcW w:w="4183" w:type="dxa"/>
            <w:tcBorders>
              <w:top w:val="nil"/>
              <w:left w:val="nil"/>
              <w:bottom w:val="nil"/>
              <w:right w:val="nil"/>
            </w:tcBorders>
            <w:vAlign w:val="center"/>
          </w:tcPr>
          <w:p w:rsidR="000C0FB9" w:rsidRDefault="009E755C">
            <w:pPr>
              <w:widowControl/>
              <w:spacing w:line="30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11</w:t>
            </w:r>
            <w:r>
              <w:rPr>
                <w:rFonts w:ascii="黑体" w:eastAsia="黑体" w:hAnsi="黑体" w:hint="eastAsia"/>
                <w:sz w:val="20"/>
                <w:szCs w:val="20"/>
              </w:rPr>
              <w:t>表</w:t>
            </w:r>
          </w:p>
        </w:tc>
      </w:tr>
      <w:tr w:rsidR="000C0FB9">
        <w:trPr>
          <w:trHeight w:val="319"/>
          <w:jc w:val="center"/>
        </w:trPr>
        <w:tc>
          <w:tcPr>
            <w:tcW w:w="4464" w:type="dxa"/>
            <w:gridSpan w:val="2"/>
            <w:tcBorders>
              <w:top w:val="nil"/>
              <w:left w:val="nil"/>
              <w:bottom w:val="single" w:sz="4" w:space="0" w:color="auto"/>
              <w:right w:val="nil"/>
            </w:tcBorders>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仿宋_GB2312" w:eastAsia="宋体" w:hAnsi="仿宋_GB2312" w:hint="eastAsia"/>
                <w:sz w:val="20"/>
                <w:szCs w:val="20"/>
              </w:rPr>
              <w:t>常州市环境保护局</w:t>
            </w:r>
          </w:p>
        </w:tc>
        <w:tc>
          <w:tcPr>
            <w:tcW w:w="4183" w:type="dxa"/>
            <w:tcBorders>
              <w:top w:val="nil"/>
              <w:left w:val="nil"/>
              <w:bottom w:val="nil"/>
              <w:right w:val="nil"/>
            </w:tcBorders>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金额单位：万元</w:t>
            </w:r>
          </w:p>
        </w:tc>
      </w:tr>
      <w:tr w:rsidR="000C0FB9">
        <w:trPr>
          <w:trHeight w:val="319"/>
          <w:jc w:val="center"/>
        </w:trPr>
        <w:tc>
          <w:tcPr>
            <w:tcW w:w="4464"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项目</w:t>
            </w:r>
          </w:p>
        </w:tc>
        <w:tc>
          <w:tcPr>
            <w:tcW w:w="4183" w:type="dxa"/>
            <w:vMerge w:val="restart"/>
            <w:tcBorders>
              <w:top w:val="single" w:sz="4" w:space="0" w:color="auto"/>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机关运行经费支出决算</w:t>
            </w:r>
          </w:p>
        </w:tc>
      </w:tr>
      <w:tr w:rsidR="000C0FB9">
        <w:trPr>
          <w:trHeight w:val="405"/>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科目编码</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科目名称</w:t>
            </w:r>
          </w:p>
        </w:tc>
        <w:tc>
          <w:tcPr>
            <w:tcW w:w="4183" w:type="dxa"/>
            <w:tcBorders>
              <w:top w:val="single" w:sz="4" w:space="0" w:color="auto"/>
              <w:left w:val="nil"/>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r>
      <w:tr w:rsidR="000C0FB9">
        <w:trPr>
          <w:trHeight w:val="319"/>
          <w:jc w:val="center"/>
        </w:trPr>
        <w:tc>
          <w:tcPr>
            <w:tcW w:w="4464" w:type="dxa"/>
            <w:gridSpan w:val="2"/>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212.18</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商品和服务支出</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212.18</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30201</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办公费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36.96</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30202</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印刷费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3.49</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30203</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咨询费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30204</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手续费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0.01</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30205</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水费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30206</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电费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4.36</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w:t>
            </w:r>
            <w:r>
              <w:rPr>
                <w:rFonts w:ascii="仿宋_GB2312" w:hAnsi="仿宋_GB2312" w:hint="eastAsia"/>
                <w:sz w:val="20"/>
                <w:szCs w:val="20"/>
              </w:rPr>
              <w:t>7</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hint="eastAsia"/>
                <w:sz w:val="20"/>
                <w:szCs w:val="20"/>
              </w:rPr>
              <w:t>邮电费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10.21</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仿宋_GB2312" w:hAnsi="仿宋_GB2312"/>
                <w:sz w:val="20"/>
                <w:szCs w:val="20"/>
              </w:rPr>
              <w:t>3020</w:t>
            </w:r>
            <w:r>
              <w:rPr>
                <w:rFonts w:ascii="仿宋_GB2312" w:hAnsi="仿宋_GB2312" w:hint="eastAsia"/>
                <w:sz w:val="20"/>
                <w:szCs w:val="20"/>
              </w:rPr>
              <w:t>8</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取暖费</w:t>
            </w:r>
            <w:r>
              <w:rPr>
                <w:rFonts w:ascii="宋体" w:eastAsia="宋体" w:hAnsi="宋体" w:cs="宋体" w:hint="eastAsia"/>
                <w:sz w:val="20"/>
                <w:szCs w:val="20"/>
              </w:rPr>
              <w:t xml:space="preserve">　</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3020</w:t>
            </w:r>
            <w:r>
              <w:rPr>
                <w:rFonts w:ascii="仿宋_GB2312" w:hAnsi="仿宋_GB2312" w:hint="eastAsia"/>
                <w:sz w:val="20"/>
                <w:szCs w:val="20"/>
              </w:rPr>
              <w:t>9</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物业管理费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11</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差旅费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57.3</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12</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因公出国（境）费用</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13</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维修（护）费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14.27</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14</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租赁费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15</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会议费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9.13</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仿宋_GB2312" w:hAnsi="仿宋_GB2312"/>
                <w:sz w:val="20"/>
                <w:szCs w:val="20"/>
              </w:rPr>
              <w:t>302</w:t>
            </w:r>
            <w:r>
              <w:rPr>
                <w:rFonts w:ascii="仿宋_GB2312" w:hAnsi="仿宋_GB2312" w:hint="eastAsia"/>
                <w:sz w:val="20"/>
                <w:szCs w:val="20"/>
              </w:rPr>
              <w:t>16</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培训费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4.01</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仿宋_GB2312" w:hAnsi="仿宋_GB2312"/>
                <w:sz w:val="20"/>
                <w:szCs w:val="20"/>
              </w:rPr>
              <w:t>302</w:t>
            </w:r>
            <w:r>
              <w:rPr>
                <w:rFonts w:ascii="仿宋_GB2312" w:hAnsi="仿宋_GB2312" w:hint="eastAsia"/>
                <w:sz w:val="20"/>
                <w:szCs w:val="20"/>
              </w:rPr>
              <w:t>17</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公务接待费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4.03</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仿宋_GB2312" w:hAnsi="仿宋_GB2312"/>
                <w:sz w:val="20"/>
                <w:szCs w:val="20"/>
              </w:rPr>
              <w:t>302</w:t>
            </w:r>
            <w:r>
              <w:rPr>
                <w:rFonts w:ascii="仿宋_GB2312" w:hAnsi="仿宋_GB2312" w:hint="eastAsia"/>
                <w:sz w:val="20"/>
                <w:szCs w:val="20"/>
              </w:rPr>
              <w:t>18</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专用材料费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24</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被装购置费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25</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专用燃料费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26</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劳务费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2.51</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30227</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委托业务费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294"/>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30228</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工会经费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20.22</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30229</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福利费</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3.53</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30231</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公务用车运行维护费</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30239</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其他交通费用</w:t>
            </w:r>
          </w:p>
        </w:tc>
        <w:tc>
          <w:tcPr>
            <w:tcW w:w="4183"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42.14</w:t>
            </w: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30240</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税金及附加费用</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30299</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其他商品和服务支出</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307</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债务利息及费用支出</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310</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资本性支出</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312</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对企业补助</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319"/>
          <w:jc w:val="center"/>
        </w:trPr>
        <w:tc>
          <w:tcPr>
            <w:tcW w:w="1818" w:type="dxa"/>
            <w:tcBorders>
              <w:top w:val="nil"/>
              <w:left w:val="single" w:sz="4" w:space="0" w:color="auto"/>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lastRenderedPageBreak/>
              <w:t>399</w:t>
            </w:r>
          </w:p>
        </w:tc>
        <w:tc>
          <w:tcPr>
            <w:tcW w:w="2646" w:type="dxa"/>
            <w:tcBorders>
              <w:top w:val="nil"/>
              <w:left w:val="nil"/>
              <w:bottom w:val="single" w:sz="4" w:space="0" w:color="auto"/>
              <w:right w:val="single" w:sz="4" w:space="0" w:color="auto"/>
            </w:tcBorders>
            <w:vAlign w:val="center"/>
          </w:tcPr>
          <w:p w:rsidR="000C0FB9" w:rsidRDefault="009E755C">
            <w:pPr>
              <w:widowControl/>
              <w:ind w:firstLineChars="0" w:firstLine="0"/>
              <w:jc w:val="left"/>
              <w:rPr>
                <w:rFonts w:ascii="宋体" w:eastAsia="宋体" w:hAnsi="宋体" w:cs="宋体"/>
                <w:sz w:val="20"/>
                <w:szCs w:val="20"/>
              </w:rPr>
            </w:pPr>
            <w:r>
              <w:rPr>
                <w:rFonts w:ascii="宋体" w:eastAsia="宋体" w:hAnsi="宋体" w:cs="宋体" w:hint="eastAsia"/>
                <w:sz w:val="20"/>
                <w:szCs w:val="20"/>
              </w:rPr>
              <w:t>其他支出</w:t>
            </w:r>
          </w:p>
        </w:tc>
        <w:tc>
          <w:tcPr>
            <w:tcW w:w="4183" w:type="dxa"/>
            <w:tcBorders>
              <w:top w:val="nil"/>
              <w:left w:val="nil"/>
              <w:bottom w:val="single" w:sz="4" w:space="0" w:color="auto"/>
              <w:right w:val="single" w:sz="4" w:space="0" w:color="auto"/>
            </w:tcBorders>
            <w:vAlign w:val="center"/>
          </w:tcPr>
          <w:p w:rsidR="000C0FB9" w:rsidRDefault="000C0FB9">
            <w:pPr>
              <w:widowControl/>
              <w:ind w:firstLineChars="0" w:firstLine="0"/>
              <w:jc w:val="center"/>
              <w:rPr>
                <w:rFonts w:asciiTheme="minorEastAsia" w:eastAsiaTheme="minorEastAsia" w:hAnsiTheme="minorEastAsia" w:cstheme="minorEastAsia"/>
                <w:sz w:val="20"/>
                <w:szCs w:val="20"/>
              </w:rPr>
            </w:pPr>
          </w:p>
        </w:tc>
      </w:tr>
      <w:tr w:rsidR="000C0FB9">
        <w:trPr>
          <w:trHeight w:val="1350"/>
          <w:jc w:val="center"/>
        </w:trPr>
        <w:tc>
          <w:tcPr>
            <w:tcW w:w="8647" w:type="dxa"/>
            <w:gridSpan w:val="3"/>
            <w:tcBorders>
              <w:top w:val="nil"/>
              <w:left w:val="nil"/>
              <w:bottom w:val="nil"/>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1.“</w:t>
            </w:r>
            <w:r>
              <w:rPr>
                <w:rFonts w:ascii="宋体" w:eastAsia="宋体" w:hAnsi="宋体" w:cs="宋体" w:hint="eastAsia"/>
                <w:sz w:val="20"/>
                <w:szCs w:val="20"/>
              </w:rPr>
              <w:t>机关运行经费</w:t>
            </w:r>
            <w:r>
              <w:rPr>
                <w:rFonts w:ascii="仿宋_GB2312" w:hAnsi="仿宋_GB2312"/>
                <w:sz w:val="20"/>
                <w:szCs w:val="20"/>
              </w:rPr>
              <w:t>”</w:t>
            </w:r>
            <w:r>
              <w:rPr>
                <w:rFonts w:ascii="仿宋_GB2312" w:hAnsi="仿宋_GB2312"/>
              </w:rPr>
              <w:t> </w:t>
            </w:r>
            <w:r>
              <w:rPr>
                <w:rFonts w:ascii="宋体" w:eastAsia="宋体" w:hAnsi="宋体" w:cs="宋体" w:hint="eastAsia"/>
                <w:sz w:val="20"/>
                <w:szCs w:val="20"/>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0C0FB9" w:rsidRDefault="009E755C">
            <w:pPr>
              <w:widowControl/>
              <w:ind w:firstLine="400"/>
              <w:jc w:val="left"/>
              <w:rPr>
                <w:rFonts w:ascii="仿宋_GB2312" w:hAnsi="仿宋_GB2312"/>
                <w:sz w:val="20"/>
                <w:szCs w:val="20"/>
              </w:rPr>
            </w:pPr>
            <w:r>
              <w:rPr>
                <w:rFonts w:ascii="仿宋_GB2312" w:hAnsi="仿宋_GB2312"/>
                <w:sz w:val="20"/>
                <w:szCs w:val="20"/>
              </w:rPr>
              <w:t>2.“</w:t>
            </w:r>
            <w:r>
              <w:rPr>
                <w:rFonts w:ascii="宋体" w:eastAsia="宋体" w:hAnsi="宋体" w:cs="宋体" w:hint="eastAsia"/>
                <w:sz w:val="20"/>
                <w:szCs w:val="20"/>
              </w:rPr>
              <w:t>科目编码</w:t>
            </w:r>
            <w:r>
              <w:rPr>
                <w:rFonts w:ascii="仿宋_GB2312" w:hAnsi="仿宋_GB2312"/>
                <w:sz w:val="20"/>
                <w:szCs w:val="20"/>
              </w:rPr>
              <w:t>”</w:t>
            </w:r>
            <w:r>
              <w:rPr>
                <w:rFonts w:ascii="宋体" w:eastAsia="宋体" w:hAnsi="宋体" w:cs="宋体" w:hint="eastAsia"/>
                <w:sz w:val="20"/>
                <w:szCs w:val="20"/>
              </w:rPr>
              <w:t>和</w:t>
            </w:r>
            <w:r>
              <w:rPr>
                <w:rFonts w:ascii="仿宋_GB2312" w:hAnsi="仿宋_GB2312"/>
                <w:sz w:val="20"/>
                <w:szCs w:val="20"/>
              </w:rPr>
              <w:t>“</w:t>
            </w:r>
            <w:r>
              <w:rPr>
                <w:rFonts w:ascii="宋体" w:eastAsia="宋体" w:hAnsi="宋体" w:cs="宋体" w:hint="eastAsia"/>
                <w:sz w:val="20"/>
                <w:szCs w:val="20"/>
              </w:rPr>
              <w:t>科目名称</w:t>
            </w:r>
            <w:r>
              <w:rPr>
                <w:rFonts w:ascii="仿宋_GB2312" w:hAnsi="仿宋_GB2312"/>
                <w:sz w:val="20"/>
                <w:szCs w:val="20"/>
              </w:rPr>
              <w:t>”</w:t>
            </w:r>
            <w:r>
              <w:rPr>
                <w:rFonts w:ascii="宋体" w:eastAsia="宋体" w:hAnsi="宋体" w:cs="宋体" w:hint="eastAsia"/>
                <w:sz w:val="20"/>
                <w:szCs w:val="20"/>
              </w:rPr>
              <w:t>均为必填项。</w:t>
            </w:r>
          </w:p>
        </w:tc>
      </w:tr>
    </w:tbl>
    <w:p w:rsidR="000C0FB9" w:rsidRDefault="000C0FB9">
      <w:pPr>
        <w:ind w:firstLineChars="0" w:firstLine="0"/>
        <w:rPr>
          <w:rFonts w:ascii="仿宋_GB2312" w:hAnsi="仿宋_GB2312"/>
        </w:rPr>
      </w:pPr>
    </w:p>
    <w:p w:rsidR="000C0FB9" w:rsidRDefault="000C0FB9">
      <w:pPr>
        <w:ind w:firstLineChars="0" w:firstLine="0"/>
        <w:rPr>
          <w:rFonts w:ascii="仿宋_GB2312" w:hAnsi="仿宋_GB2312"/>
        </w:rPr>
      </w:pPr>
    </w:p>
    <w:p w:rsidR="000C0FB9" w:rsidRDefault="000C0FB9">
      <w:pPr>
        <w:ind w:firstLineChars="0" w:firstLine="0"/>
        <w:rPr>
          <w:rFonts w:ascii="仿宋_GB2312" w:hAnsi="仿宋_GB2312"/>
        </w:rPr>
      </w:pPr>
    </w:p>
    <w:p w:rsidR="000C0FB9" w:rsidRDefault="000C0FB9">
      <w:pPr>
        <w:ind w:firstLineChars="0" w:firstLine="0"/>
        <w:rPr>
          <w:rFonts w:ascii="仿宋_GB2312" w:hAnsi="仿宋_GB2312"/>
        </w:rPr>
      </w:pPr>
    </w:p>
    <w:p w:rsidR="000C0FB9" w:rsidRDefault="000C0FB9">
      <w:pPr>
        <w:ind w:firstLineChars="0" w:firstLine="0"/>
        <w:rPr>
          <w:rFonts w:ascii="仿宋_GB2312" w:hAnsi="仿宋_GB2312"/>
        </w:rPr>
      </w:pPr>
    </w:p>
    <w:p w:rsidR="000C0FB9" w:rsidRDefault="000C0FB9">
      <w:pPr>
        <w:ind w:firstLineChars="0" w:firstLine="0"/>
        <w:rPr>
          <w:rFonts w:ascii="仿宋_GB2312" w:hAnsi="仿宋_GB2312"/>
        </w:rPr>
      </w:pPr>
    </w:p>
    <w:p w:rsidR="000C0FB9" w:rsidRDefault="000C0FB9">
      <w:pPr>
        <w:ind w:firstLineChars="0" w:firstLine="0"/>
        <w:rPr>
          <w:rFonts w:ascii="仿宋_GB2312" w:hAnsi="仿宋_GB2312"/>
        </w:rPr>
      </w:pPr>
    </w:p>
    <w:tbl>
      <w:tblPr>
        <w:tblW w:w="8767" w:type="dxa"/>
        <w:jc w:val="center"/>
        <w:tblLayout w:type="fixed"/>
        <w:tblLook w:val="04A0"/>
      </w:tblPr>
      <w:tblGrid>
        <w:gridCol w:w="3122"/>
        <w:gridCol w:w="1794"/>
        <w:gridCol w:w="1956"/>
        <w:gridCol w:w="1895"/>
      </w:tblGrid>
      <w:tr w:rsidR="000C0FB9">
        <w:trPr>
          <w:trHeight w:val="547"/>
          <w:jc w:val="center"/>
        </w:trPr>
        <w:tc>
          <w:tcPr>
            <w:tcW w:w="8767" w:type="dxa"/>
            <w:gridSpan w:val="4"/>
            <w:tcBorders>
              <w:top w:val="nil"/>
              <w:left w:val="nil"/>
              <w:bottom w:val="nil"/>
              <w:right w:val="nil"/>
            </w:tcBorders>
            <w:noWrap/>
            <w:vAlign w:val="center"/>
          </w:tcPr>
          <w:p w:rsidR="000C0FB9" w:rsidRDefault="009E755C">
            <w:pPr>
              <w:widowControl/>
              <w:spacing w:line="570" w:lineRule="exact"/>
              <w:ind w:firstLineChars="0" w:firstLine="0"/>
              <w:jc w:val="center"/>
              <w:rPr>
                <w:rFonts w:ascii="方正小标宋简体" w:hAnsi="方正小标宋简体"/>
              </w:rPr>
            </w:pPr>
            <w:r>
              <w:rPr>
                <w:rFonts w:ascii="方正小标宋简体" w:hAnsi="方正小标宋简体"/>
              </w:rPr>
              <w:t>政府采购支出决算表</w:t>
            </w:r>
          </w:p>
        </w:tc>
      </w:tr>
      <w:tr w:rsidR="000C0FB9">
        <w:trPr>
          <w:trHeight w:val="454"/>
          <w:jc w:val="center"/>
        </w:trPr>
        <w:tc>
          <w:tcPr>
            <w:tcW w:w="3122" w:type="dxa"/>
            <w:tcBorders>
              <w:top w:val="nil"/>
              <w:left w:val="nil"/>
              <w:bottom w:val="nil"/>
              <w:right w:val="nil"/>
            </w:tcBorders>
            <w:noWrap/>
            <w:vAlign w:val="center"/>
          </w:tcPr>
          <w:p w:rsidR="000C0FB9" w:rsidRDefault="000C0FB9">
            <w:pPr>
              <w:widowControl/>
              <w:spacing w:line="300" w:lineRule="exact"/>
              <w:ind w:firstLineChars="0" w:firstLine="0"/>
              <w:jc w:val="center"/>
              <w:rPr>
                <w:rFonts w:ascii="仿宋_GB2312" w:hAnsi="仿宋_GB2312"/>
                <w:sz w:val="36"/>
                <w:szCs w:val="36"/>
              </w:rPr>
            </w:pPr>
          </w:p>
        </w:tc>
        <w:tc>
          <w:tcPr>
            <w:tcW w:w="1794" w:type="dxa"/>
            <w:tcBorders>
              <w:top w:val="nil"/>
              <w:left w:val="nil"/>
              <w:bottom w:val="nil"/>
              <w:right w:val="nil"/>
            </w:tcBorders>
            <w:noWrap/>
            <w:vAlign w:val="center"/>
          </w:tcPr>
          <w:p w:rsidR="000C0FB9" w:rsidRDefault="000C0FB9">
            <w:pPr>
              <w:widowControl/>
              <w:spacing w:line="300" w:lineRule="exact"/>
              <w:ind w:firstLineChars="0" w:firstLine="0"/>
              <w:jc w:val="center"/>
              <w:rPr>
                <w:rFonts w:ascii="仿宋_GB2312" w:hAnsi="仿宋_GB2312"/>
                <w:sz w:val="20"/>
                <w:szCs w:val="20"/>
              </w:rPr>
            </w:pPr>
          </w:p>
        </w:tc>
        <w:tc>
          <w:tcPr>
            <w:tcW w:w="1956" w:type="dxa"/>
            <w:tcBorders>
              <w:top w:val="nil"/>
              <w:left w:val="nil"/>
              <w:bottom w:val="nil"/>
              <w:right w:val="nil"/>
            </w:tcBorders>
            <w:noWrap/>
            <w:vAlign w:val="center"/>
          </w:tcPr>
          <w:p w:rsidR="000C0FB9" w:rsidRDefault="000C0FB9">
            <w:pPr>
              <w:widowControl/>
              <w:spacing w:line="300" w:lineRule="exact"/>
              <w:ind w:firstLineChars="0" w:firstLine="0"/>
              <w:jc w:val="left"/>
              <w:rPr>
                <w:rFonts w:ascii="仿宋_GB2312" w:hAnsi="仿宋_GB2312"/>
                <w:sz w:val="20"/>
                <w:szCs w:val="20"/>
              </w:rPr>
            </w:pPr>
          </w:p>
        </w:tc>
        <w:tc>
          <w:tcPr>
            <w:tcW w:w="1895" w:type="dxa"/>
            <w:tcBorders>
              <w:top w:val="nil"/>
              <w:left w:val="nil"/>
              <w:bottom w:val="nil"/>
              <w:right w:val="nil"/>
            </w:tcBorders>
            <w:noWrap/>
            <w:vAlign w:val="center"/>
          </w:tcPr>
          <w:p w:rsidR="000C0FB9" w:rsidRDefault="009E755C">
            <w:pPr>
              <w:widowControl/>
              <w:spacing w:line="300" w:lineRule="exact"/>
              <w:ind w:firstLineChars="0" w:firstLine="0"/>
              <w:jc w:val="right"/>
              <w:rPr>
                <w:rFonts w:ascii="黑体" w:eastAsia="黑体" w:hAnsi="黑体"/>
                <w:sz w:val="20"/>
                <w:szCs w:val="20"/>
              </w:rPr>
            </w:pPr>
            <w:r>
              <w:rPr>
                <w:rFonts w:ascii="黑体" w:eastAsia="黑体" w:hAnsi="黑体" w:hint="eastAsia"/>
                <w:sz w:val="20"/>
                <w:szCs w:val="20"/>
              </w:rPr>
              <w:t>公开</w:t>
            </w:r>
            <w:r>
              <w:rPr>
                <w:rFonts w:ascii="黑体" w:eastAsia="黑体" w:hAnsi="黑体" w:hint="eastAsia"/>
                <w:sz w:val="20"/>
                <w:szCs w:val="20"/>
              </w:rPr>
              <w:t>12</w:t>
            </w:r>
            <w:r>
              <w:rPr>
                <w:rFonts w:ascii="黑体" w:eastAsia="黑体" w:hAnsi="黑体" w:hint="eastAsia"/>
                <w:sz w:val="20"/>
                <w:szCs w:val="20"/>
              </w:rPr>
              <w:t>表</w:t>
            </w:r>
          </w:p>
        </w:tc>
      </w:tr>
      <w:tr w:rsidR="000C0FB9">
        <w:trPr>
          <w:trHeight w:val="454"/>
          <w:jc w:val="center"/>
        </w:trPr>
        <w:tc>
          <w:tcPr>
            <w:tcW w:w="3122" w:type="dxa"/>
            <w:tcBorders>
              <w:top w:val="nil"/>
              <w:left w:val="nil"/>
              <w:bottom w:val="nil"/>
              <w:right w:val="nil"/>
            </w:tcBorders>
            <w:noWrap/>
            <w:vAlign w:val="center"/>
          </w:tcPr>
          <w:p w:rsidR="000C0FB9" w:rsidRDefault="009E755C">
            <w:pPr>
              <w:widowControl/>
              <w:ind w:firstLineChars="0" w:firstLine="0"/>
              <w:jc w:val="left"/>
              <w:rPr>
                <w:rFonts w:ascii="仿宋_GB2312" w:eastAsia="宋体" w:hAnsi="仿宋_GB2312" w:hint="eastAsia"/>
                <w:sz w:val="20"/>
                <w:szCs w:val="20"/>
              </w:rPr>
            </w:pPr>
            <w:r>
              <w:rPr>
                <w:rFonts w:ascii="宋体" w:eastAsia="宋体" w:hAnsi="宋体" w:cs="宋体" w:hint="eastAsia"/>
                <w:sz w:val="20"/>
                <w:szCs w:val="20"/>
              </w:rPr>
              <w:t>部门名称：</w:t>
            </w:r>
            <w:r>
              <w:rPr>
                <w:rFonts w:ascii="宋体" w:eastAsia="宋体" w:hAnsi="宋体" w:cs="宋体" w:hint="eastAsia"/>
                <w:sz w:val="20"/>
                <w:szCs w:val="20"/>
              </w:rPr>
              <w:t>常州市环境保护局</w:t>
            </w:r>
          </w:p>
        </w:tc>
        <w:tc>
          <w:tcPr>
            <w:tcW w:w="1794"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956" w:type="dxa"/>
            <w:tcBorders>
              <w:top w:val="nil"/>
              <w:left w:val="nil"/>
              <w:bottom w:val="nil"/>
              <w:right w:val="nil"/>
            </w:tcBorders>
            <w:noWrap/>
            <w:vAlign w:val="center"/>
          </w:tcPr>
          <w:p w:rsidR="000C0FB9" w:rsidRDefault="000C0FB9">
            <w:pPr>
              <w:widowControl/>
              <w:ind w:firstLineChars="0" w:firstLine="0"/>
              <w:jc w:val="left"/>
              <w:rPr>
                <w:rFonts w:ascii="仿宋_GB2312" w:hAnsi="仿宋_GB2312"/>
                <w:sz w:val="20"/>
                <w:szCs w:val="20"/>
              </w:rPr>
            </w:pPr>
          </w:p>
        </w:tc>
        <w:tc>
          <w:tcPr>
            <w:tcW w:w="1895" w:type="dxa"/>
            <w:tcBorders>
              <w:top w:val="nil"/>
              <w:left w:val="nil"/>
              <w:bottom w:val="nil"/>
              <w:right w:val="nil"/>
            </w:tcBorders>
            <w:noWrap/>
            <w:vAlign w:val="center"/>
          </w:tcPr>
          <w:p w:rsidR="000C0FB9" w:rsidRDefault="009E755C">
            <w:pPr>
              <w:widowControl/>
              <w:ind w:firstLineChars="0" w:firstLine="0"/>
              <w:jc w:val="right"/>
              <w:rPr>
                <w:rFonts w:ascii="仿宋_GB2312" w:hAnsi="仿宋_GB2312"/>
                <w:sz w:val="20"/>
                <w:szCs w:val="20"/>
              </w:rPr>
            </w:pPr>
            <w:r>
              <w:rPr>
                <w:rFonts w:ascii="宋体" w:eastAsia="宋体" w:hAnsi="宋体" w:cs="宋体" w:hint="eastAsia"/>
                <w:sz w:val="20"/>
                <w:szCs w:val="20"/>
              </w:rPr>
              <w:t>单位：万元</w:t>
            </w:r>
          </w:p>
        </w:tc>
      </w:tr>
      <w:tr w:rsidR="000C0FB9">
        <w:trPr>
          <w:trHeight w:val="454"/>
          <w:jc w:val="center"/>
        </w:trPr>
        <w:tc>
          <w:tcPr>
            <w:tcW w:w="3122" w:type="dxa"/>
            <w:vMerge w:val="restart"/>
            <w:tcBorders>
              <w:top w:val="single" w:sz="4" w:space="0" w:color="auto"/>
              <w:left w:val="single" w:sz="4" w:space="0" w:color="auto"/>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采购品目大类</w:t>
            </w:r>
          </w:p>
        </w:tc>
        <w:tc>
          <w:tcPr>
            <w:tcW w:w="5645" w:type="dxa"/>
            <w:gridSpan w:val="3"/>
            <w:tcBorders>
              <w:top w:val="single" w:sz="4" w:space="0" w:color="auto"/>
              <w:left w:val="nil"/>
              <w:bottom w:val="single" w:sz="4" w:space="0" w:color="auto"/>
              <w:right w:val="single" w:sz="4" w:space="0" w:color="000000"/>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采购决算</w:t>
            </w:r>
          </w:p>
        </w:tc>
      </w:tr>
      <w:tr w:rsidR="000C0FB9">
        <w:trPr>
          <w:trHeight w:val="454"/>
          <w:jc w:val="center"/>
        </w:trPr>
        <w:tc>
          <w:tcPr>
            <w:tcW w:w="3122" w:type="dxa"/>
            <w:vMerge/>
            <w:tcBorders>
              <w:top w:val="single" w:sz="4" w:space="0" w:color="auto"/>
              <w:left w:val="single" w:sz="4" w:space="0" w:color="auto"/>
              <w:bottom w:val="single" w:sz="4" w:space="0" w:color="auto"/>
              <w:right w:val="single" w:sz="4" w:space="0" w:color="auto"/>
            </w:tcBorders>
            <w:vAlign w:val="center"/>
          </w:tcPr>
          <w:p w:rsidR="000C0FB9" w:rsidRDefault="000C0FB9">
            <w:pPr>
              <w:widowControl/>
              <w:ind w:firstLineChars="0" w:firstLine="0"/>
              <w:jc w:val="left"/>
              <w:rPr>
                <w:rFonts w:ascii="仿宋_GB2312" w:hAnsi="仿宋_GB2312"/>
                <w:sz w:val="20"/>
                <w:szCs w:val="20"/>
              </w:rPr>
            </w:pPr>
          </w:p>
        </w:tc>
        <w:tc>
          <w:tcPr>
            <w:tcW w:w="1794"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总计</w:t>
            </w:r>
          </w:p>
        </w:tc>
        <w:tc>
          <w:tcPr>
            <w:tcW w:w="1956"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财政性资金</w:t>
            </w:r>
          </w:p>
        </w:tc>
        <w:tc>
          <w:tcPr>
            <w:tcW w:w="1895" w:type="dxa"/>
            <w:tcBorders>
              <w:top w:val="nil"/>
              <w:left w:val="nil"/>
              <w:bottom w:val="single" w:sz="4" w:space="0" w:color="auto"/>
              <w:right w:val="single" w:sz="4" w:space="0" w:color="auto"/>
            </w:tcBorders>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其他资金</w:t>
            </w:r>
          </w:p>
        </w:tc>
      </w:tr>
      <w:tr w:rsidR="000C0FB9">
        <w:trPr>
          <w:trHeight w:val="454"/>
          <w:jc w:val="center"/>
        </w:trPr>
        <w:tc>
          <w:tcPr>
            <w:tcW w:w="3122"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宋体" w:eastAsia="宋体" w:hAnsi="宋体" w:cs="宋体" w:hint="eastAsia"/>
                <w:sz w:val="20"/>
                <w:szCs w:val="20"/>
              </w:rPr>
              <w:t>合计</w:t>
            </w:r>
          </w:p>
        </w:tc>
        <w:tc>
          <w:tcPr>
            <w:tcW w:w="1794"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1303.64</w:t>
            </w:r>
          </w:p>
        </w:tc>
        <w:tc>
          <w:tcPr>
            <w:tcW w:w="1956" w:type="dxa"/>
            <w:tcBorders>
              <w:top w:val="nil"/>
              <w:left w:val="nil"/>
              <w:bottom w:val="single" w:sz="4" w:space="0" w:color="auto"/>
              <w:right w:val="single" w:sz="4" w:space="0" w:color="auto"/>
            </w:tcBorders>
            <w:noWrap/>
            <w:vAlign w:val="center"/>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1303.64</w:t>
            </w:r>
          </w:p>
        </w:tc>
        <w:tc>
          <w:tcPr>
            <w:tcW w:w="1895" w:type="dxa"/>
            <w:tcBorders>
              <w:top w:val="nil"/>
              <w:left w:val="nil"/>
              <w:bottom w:val="single" w:sz="4" w:space="0" w:color="auto"/>
              <w:right w:val="single" w:sz="4" w:space="0" w:color="auto"/>
            </w:tcBorders>
            <w:noWrap/>
            <w:vAlign w:val="center"/>
          </w:tcPr>
          <w:p w:rsidR="000C0FB9" w:rsidRDefault="000C0FB9">
            <w:pPr>
              <w:widowControl/>
              <w:ind w:firstLineChars="0" w:firstLine="0"/>
              <w:jc w:val="right"/>
              <w:rPr>
                <w:rFonts w:ascii="仿宋_GB2312" w:hAnsi="仿宋_GB2312"/>
                <w:sz w:val="20"/>
                <w:szCs w:val="20"/>
              </w:rPr>
            </w:pPr>
          </w:p>
        </w:tc>
      </w:tr>
      <w:tr w:rsidR="000C0FB9">
        <w:trPr>
          <w:trHeight w:val="454"/>
          <w:jc w:val="center"/>
        </w:trPr>
        <w:tc>
          <w:tcPr>
            <w:tcW w:w="3122"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一、货物</w:t>
            </w:r>
          </w:p>
        </w:tc>
        <w:tc>
          <w:tcPr>
            <w:tcW w:w="1794" w:type="dxa"/>
            <w:tcBorders>
              <w:top w:val="nil"/>
              <w:left w:val="nil"/>
              <w:bottom w:val="single" w:sz="4" w:space="0" w:color="auto"/>
              <w:right w:val="single" w:sz="4" w:space="0" w:color="auto"/>
            </w:tcBorders>
            <w:noWrap/>
            <w:vAlign w:val="bottom"/>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123.96</w:t>
            </w:r>
          </w:p>
        </w:tc>
        <w:tc>
          <w:tcPr>
            <w:tcW w:w="1956" w:type="dxa"/>
            <w:tcBorders>
              <w:top w:val="nil"/>
              <w:left w:val="nil"/>
              <w:bottom w:val="single" w:sz="4" w:space="0" w:color="auto"/>
              <w:right w:val="single" w:sz="4" w:space="0" w:color="auto"/>
            </w:tcBorders>
            <w:noWrap/>
            <w:vAlign w:val="bottom"/>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123.96</w:t>
            </w:r>
          </w:p>
        </w:tc>
        <w:tc>
          <w:tcPr>
            <w:tcW w:w="1895" w:type="dxa"/>
            <w:tcBorders>
              <w:top w:val="nil"/>
              <w:left w:val="nil"/>
              <w:bottom w:val="single" w:sz="4" w:space="0" w:color="auto"/>
              <w:right w:val="single" w:sz="4" w:space="0" w:color="auto"/>
            </w:tcBorders>
            <w:noWrap/>
            <w:vAlign w:val="bottom"/>
          </w:tcPr>
          <w:p w:rsidR="000C0FB9" w:rsidRDefault="000C0FB9">
            <w:pPr>
              <w:widowControl/>
              <w:ind w:firstLineChars="0" w:firstLine="0"/>
              <w:jc w:val="left"/>
              <w:rPr>
                <w:rFonts w:ascii="仿宋_GB2312" w:hAnsi="仿宋_GB2312"/>
                <w:sz w:val="20"/>
                <w:szCs w:val="20"/>
              </w:rPr>
            </w:pPr>
          </w:p>
        </w:tc>
      </w:tr>
      <w:tr w:rsidR="000C0FB9">
        <w:trPr>
          <w:trHeight w:val="454"/>
          <w:jc w:val="center"/>
        </w:trPr>
        <w:tc>
          <w:tcPr>
            <w:tcW w:w="3122"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二、工程</w:t>
            </w:r>
          </w:p>
        </w:tc>
        <w:tc>
          <w:tcPr>
            <w:tcW w:w="1794" w:type="dxa"/>
            <w:tcBorders>
              <w:top w:val="nil"/>
              <w:left w:val="nil"/>
              <w:bottom w:val="single" w:sz="4" w:space="0" w:color="auto"/>
              <w:right w:val="single" w:sz="4" w:space="0" w:color="auto"/>
            </w:tcBorders>
            <w:noWrap/>
            <w:vAlign w:val="bottom"/>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107.39</w:t>
            </w:r>
          </w:p>
        </w:tc>
        <w:tc>
          <w:tcPr>
            <w:tcW w:w="1956" w:type="dxa"/>
            <w:tcBorders>
              <w:top w:val="nil"/>
              <w:left w:val="nil"/>
              <w:bottom w:val="single" w:sz="4" w:space="0" w:color="auto"/>
              <w:right w:val="single" w:sz="4" w:space="0" w:color="auto"/>
            </w:tcBorders>
            <w:noWrap/>
            <w:vAlign w:val="bottom"/>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107.39</w:t>
            </w:r>
          </w:p>
        </w:tc>
        <w:tc>
          <w:tcPr>
            <w:tcW w:w="1895" w:type="dxa"/>
            <w:tcBorders>
              <w:top w:val="nil"/>
              <w:left w:val="nil"/>
              <w:bottom w:val="single" w:sz="4" w:space="0" w:color="auto"/>
              <w:right w:val="single" w:sz="4" w:space="0" w:color="auto"/>
            </w:tcBorders>
            <w:noWrap/>
            <w:vAlign w:val="bottom"/>
          </w:tcPr>
          <w:p w:rsidR="000C0FB9" w:rsidRDefault="000C0FB9">
            <w:pPr>
              <w:widowControl/>
              <w:ind w:firstLineChars="0" w:firstLine="0"/>
              <w:jc w:val="left"/>
              <w:rPr>
                <w:rFonts w:ascii="仿宋_GB2312" w:hAnsi="仿宋_GB2312"/>
                <w:sz w:val="20"/>
                <w:szCs w:val="20"/>
              </w:rPr>
            </w:pPr>
          </w:p>
        </w:tc>
      </w:tr>
      <w:tr w:rsidR="000C0FB9">
        <w:trPr>
          <w:trHeight w:val="454"/>
          <w:jc w:val="center"/>
        </w:trPr>
        <w:tc>
          <w:tcPr>
            <w:tcW w:w="3122" w:type="dxa"/>
            <w:tcBorders>
              <w:top w:val="nil"/>
              <w:left w:val="single" w:sz="4" w:space="0" w:color="auto"/>
              <w:bottom w:val="single" w:sz="4" w:space="0" w:color="auto"/>
              <w:right w:val="single" w:sz="4" w:space="0" w:color="auto"/>
            </w:tcBorders>
            <w:noWrap/>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三、服务</w:t>
            </w:r>
          </w:p>
        </w:tc>
        <w:tc>
          <w:tcPr>
            <w:tcW w:w="1794" w:type="dxa"/>
            <w:tcBorders>
              <w:top w:val="nil"/>
              <w:left w:val="nil"/>
              <w:bottom w:val="single" w:sz="4" w:space="0" w:color="auto"/>
              <w:right w:val="single" w:sz="4" w:space="0" w:color="auto"/>
            </w:tcBorders>
            <w:noWrap/>
            <w:vAlign w:val="bottom"/>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1072.29</w:t>
            </w:r>
          </w:p>
        </w:tc>
        <w:tc>
          <w:tcPr>
            <w:tcW w:w="1956" w:type="dxa"/>
            <w:tcBorders>
              <w:top w:val="nil"/>
              <w:left w:val="nil"/>
              <w:bottom w:val="single" w:sz="4" w:space="0" w:color="auto"/>
              <w:right w:val="single" w:sz="4" w:space="0" w:color="auto"/>
            </w:tcBorders>
            <w:noWrap/>
            <w:vAlign w:val="bottom"/>
          </w:tcPr>
          <w:p w:rsidR="000C0FB9" w:rsidRDefault="009E755C">
            <w:pPr>
              <w:widowControl/>
              <w:ind w:firstLineChars="0" w:firstLine="0"/>
              <w:jc w:val="center"/>
              <w:rPr>
                <w:rFonts w:ascii="仿宋_GB2312" w:hAnsi="仿宋_GB2312"/>
                <w:sz w:val="20"/>
                <w:szCs w:val="20"/>
              </w:rPr>
            </w:pPr>
            <w:r>
              <w:rPr>
                <w:rFonts w:ascii="仿宋_GB2312" w:hAnsi="仿宋_GB2312" w:hint="eastAsia"/>
                <w:sz w:val="20"/>
                <w:szCs w:val="20"/>
              </w:rPr>
              <w:t>1072.29</w:t>
            </w:r>
          </w:p>
        </w:tc>
        <w:tc>
          <w:tcPr>
            <w:tcW w:w="1895" w:type="dxa"/>
            <w:tcBorders>
              <w:top w:val="nil"/>
              <w:left w:val="nil"/>
              <w:bottom w:val="single" w:sz="4" w:space="0" w:color="auto"/>
              <w:right w:val="single" w:sz="4" w:space="0" w:color="auto"/>
            </w:tcBorders>
            <w:noWrap/>
            <w:vAlign w:val="bottom"/>
          </w:tcPr>
          <w:p w:rsidR="000C0FB9" w:rsidRDefault="000C0FB9">
            <w:pPr>
              <w:widowControl/>
              <w:ind w:firstLineChars="0" w:firstLine="0"/>
              <w:jc w:val="left"/>
              <w:rPr>
                <w:rFonts w:ascii="仿宋_GB2312" w:hAnsi="仿宋_GB2312"/>
                <w:sz w:val="20"/>
                <w:szCs w:val="20"/>
              </w:rPr>
            </w:pPr>
          </w:p>
        </w:tc>
      </w:tr>
      <w:tr w:rsidR="000C0FB9">
        <w:trPr>
          <w:trHeight w:val="610"/>
          <w:jc w:val="center"/>
        </w:trPr>
        <w:tc>
          <w:tcPr>
            <w:tcW w:w="8767" w:type="dxa"/>
            <w:gridSpan w:val="4"/>
            <w:tcBorders>
              <w:top w:val="single" w:sz="4" w:space="0" w:color="auto"/>
              <w:left w:val="nil"/>
              <w:bottom w:val="nil"/>
              <w:right w:val="nil"/>
            </w:tcBorders>
            <w:vAlign w:val="center"/>
          </w:tcPr>
          <w:p w:rsidR="000C0FB9" w:rsidRDefault="009E755C">
            <w:pPr>
              <w:widowControl/>
              <w:ind w:firstLineChars="0" w:firstLine="0"/>
              <w:jc w:val="left"/>
              <w:rPr>
                <w:rFonts w:ascii="仿宋_GB2312" w:hAnsi="仿宋_GB2312"/>
                <w:sz w:val="20"/>
                <w:szCs w:val="20"/>
              </w:rPr>
            </w:pPr>
            <w:r>
              <w:rPr>
                <w:rFonts w:ascii="宋体" w:eastAsia="宋体" w:hAnsi="宋体" w:cs="宋体" w:hint="eastAsia"/>
                <w:sz w:val="20"/>
                <w:szCs w:val="20"/>
              </w:rPr>
              <w:t>注：</w:t>
            </w:r>
            <w:r>
              <w:rPr>
                <w:rFonts w:ascii="仿宋_GB2312" w:hAnsi="仿宋_GB2312"/>
                <w:sz w:val="20"/>
                <w:szCs w:val="20"/>
              </w:rPr>
              <w:t>“</w:t>
            </w:r>
            <w:r>
              <w:rPr>
                <w:rFonts w:ascii="宋体" w:eastAsia="宋体" w:hAnsi="宋体" w:cs="宋体" w:hint="eastAsia"/>
                <w:sz w:val="20"/>
                <w:szCs w:val="20"/>
              </w:rPr>
              <w:t>财政性资金</w:t>
            </w:r>
            <w:r>
              <w:rPr>
                <w:rFonts w:ascii="仿宋_GB2312" w:hAnsi="仿宋_GB2312"/>
                <w:sz w:val="20"/>
                <w:szCs w:val="20"/>
              </w:rPr>
              <w:t>”</w:t>
            </w:r>
            <w:r>
              <w:rPr>
                <w:rFonts w:ascii="宋体" w:eastAsia="宋体" w:hAnsi="宋体" w:cs="宋体" w:hint="eastAsia"/>
                <w:sz w:val="20"/>
                <w:szCs w:val="20"/>
              </w:rPr>
              <w:t>指纳入财政预算管理的资金，具体包括一般公共预算财政拨款、政府性基金预算财政拨款、财政专户管理事业收入和其他收入等。</w:t>
            </w:r>
          </w:p>
        </w:tc>
      </w:tr>
    </w:tbl>
    <w:p w:rsidR="000C0FB9" w:rsidRDefault="000C0FB9">
      <w:pPr>
        <w:widowControl/>
        <w:ind w:firstLineChars="0" w:firstLine="0"/>
        <w:jc w:val="left"/>
        <w:rPr>
          <w:rFonts w:ascii="黑体" w:eastAsia="黑体" w:hAnsi="黑体" w:cs="宋体"/>
        </w:rPr>
        <w:sectPr w:rsidR="000C0FB9">
          <w:pgSz w:w="11906" w:h="16838"/>
          <w:pgMar w:top="2098" w:right="1531" w:bottom="1985" w:left="1531" w:header="720" w:footer="720" w:gutter="0"/>
          <w:cols w:space="720"/>
          <w:docGrid w:type="lines" w:linePitch="312"/>
        </w:sectPr>
      </w:pPr>
    </w:p>
    <w:p w:rsidR="000C0FB9" w:rsidRDefault="009E755C">
      <w:pPr>
        <w:spacing w:line="570" w:lineRule="exact"/>
        <w:ind w:firstLineChars="0" w:firstLine="0"/>
        <w:jc w:val="center"/>
        <w:rPr>
          <w:rFonts w:ascii="黑体" w:eastAsia="黑体" w:hAnsi="黑体"/>
        </w:rPr>
      </w:pPr>
      <w:r>
        <w:rPr>
          <w:rFonts w:ascii="黑体" w:eastAsia="黑体" w:hAnsi="黑体" w:hint="eastAsia"/>
        </w:rPr>
        <w:lastRenderedPageBreak/>
        <w:t>第三部分</w:t>
      </w:r>
      <w:r>
        <w:rPr>
          <w:rFonts w:ascii="黑体" w:eastAsia="黑体" w:hAnsi="黑体" w:hint="eastAsia"/>
        </w:rPr>
        <w:t xml:space="preserve">  2018</w:t>
      </w:r>
      <w:r>
        <w:rPr>
          <w:rFonts w:ascii="黑体" w:eastAsia="黑体" w:hAnsi="黑体" w:hint="eastAsia"/>
        </w:rPr>
        <w:t>年度决算情况说明</w:t>
      </w:r>
    </w:p>
    <w:p w:rsidR="000C0FB9" w:rsidRDefault="000C0FB9">
      <w:pPr>
        <w:spacing w:line="570" w:lineRule="exact"/>
        <w:ind w:firstLine="640"/>
        <w:rPr>
          <w:rFonts w:ascii="仿宋_GB2312" w:hAnsi="仿宋_GB2312"/>
        </w:rPr>
      </w:pPr>
    </w:p>
    <w:p w:rsidR="000C0FB9" w:rsidRDefault="009E755C">
      <w:pPr>
        <w:spacing w:line="570" w:lineRule="exact"/>
        <w:ind w:firstLine="640"/>
        <w:rPr>
          <w:rFonts w:ascii="黑体" w:eastAsia="黑体" w:hAnsi="黑体"/>
        </w:rPr>
      </w:pPr>
      <w:r>
        <w:rPr>
          <w:rFonts w:ascii="黑体" w:eastAsia="黑体" w:hAnsi="黑体" w:hint="eastAsia"/>
        </w:rPr>
        <w:t>一、收入支出总体情况说明</w:t>
      </w:r>
    </w:p>
    <w:p w:rsidR="000C0FB9" w:rsidRDefault="009E755C">
      <w:pPr>
        <w:spacing w:line="570" w:lineRule="exact"/>
        <w:ind w:firstLine="640"/>
        <w:rPr>
          <w:rFonts w:ascii="仿宋_GB2312" w:hAnsi="仿宋_GB2312"/>
          <w:color w:val="000000" w:themeColor="text1"/>
        </w:rPr>
      </w:pPr>
      <w:r>
        <w:rPr>
          <w:rFonts w:ascii="仿宋_GB2312" w:hAnsi="仿宋_GB2312" w:hint="eastAsia"/>
        </w:rPr>
        <w:t>常州市环境保护局</w:t>
      </w:r>
      <w:r>
        <w:rPr>
          <w:rFonts w:ascii="仿宋_GB2312" w:hAnsi="仿宋_GB2312"/>
        </w:rPr>
        <w:t>2018</w:t>
      </w:r>
      <w:r>
        <w:rPr>
          <w:rFonts w:ascii="仿宋_GB2312" w:hAnsi="仿宋_GB2312"/>
        </w:rPr>
        <w:t>年度收入</w:t>
      </w:r>
      <w:r>
        <w:rPr>
          <w:rFonts w:ascii="仿宋_GB2312" w:hAnsi="仿宋_GB2312" w:hint="eastAsia"/>
        </w:rPr>
        <w:t>、支出总计</w:t>
      </w:r>
      <w:r>
        <w:rPr>
          <w:rFonts w:ascii="仿宋_GB2312" w:hAnsi="仿宋_GB2312" w:hint="eastAsia"/>
        </w:rPr>
        <w:t>13706.98</w:t>
      </w:r>
      <w:r>
        <w:rPr>
          <w:rFonts w:ascii="仿宋_GB2312" w:hAnsi="仿宋_GB2312" w:hint="eastAsia"/>
        </w:rPr>
        <w:t>万元</w:t>
      </w:r>
      <w:r>
        <w:rPr>
          <w:rFonts w:ascii="仿宋_GB2312" w:hAnsi="仿宋_GB2312"/>
          <w:color w:val="000000" w:themeColor="text1"/>
        </w:rPr>
        <w:t>，与上年相比收</w:t>
      </w:r>
      <w:r>
        <w:rPr>
          <w:rFonts w:ascii="仿宋_GB2312" w:hAnsi="仿宋_GB2312" w:hint="eastAsia"/>
          <w:color w:val="000000" w:themeColor="text1"/>
        </w:rPr>
        <w:t>、支各减少</w:t>
      </w:r>
      <w:r>
        <w:rPr>
          <w:rFonts w:ascii="仿宋_GB2312" w:hAnsi="仿宋_GB2312" w:hint="eastAsia"/>
          <w:color w:val="000000" w:themeColor="text1"/>
        </w:rPr>
        <w:t>492.02</w:t>
      </w:r>
      <w:r>
        <w:rPr>
          <w:rFonts w:ascii="仿宋_GB2312" w:hAnsi="仿宋_GB2312" w:hint="eastAsia"/>
          <w:color w:val="000000" w:themeColor="text1"/>
        </w:rPr>
        <w:t>万元，减少</w:t>
      </w:r>
      <w:r>
        <w:rPr>
          <w:rFonts w:ascii="仿宋_GB2312" w:hAnsi="仿宋_GB2312" w:hint="eastAsia"/>
          <w:color w:val="000000" w:themeColor="text1"/>
        </w:rPr>
        <w:t>3.47%</w:t>
      </w:r>
      <w:r>
        <w:rPr>
          <w:rFonts w:ascii="仿宋_GB2312" w:hAnsi="仿宋_GB2312" w:hint="eastAsia"/>
          <w:color w:val="000000" w:themeColor="text1"/>
        </w:rPr>
        <w:t>。</w:t>
      </w:r>
      <w:r>
        <w:rPr>
          <w:rFonts w:ascii="仿宋_GB2312" w:hAnsi="仿宋_GB2312"/>
          <w:color w:val="000000" w:themeColor="text1"/>
        </w:rPr>
        <w:t>其中：</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（一）收入总计</w:t>
      </w:r>
      <w:r>
        <w:rPr>
          <w:rFonts w:ascii="仿宋_GB2312" w:hAnsi="仿宋_GB2312" w:hint="eastAsia"/>
          <w:color w:val="000000" w:themeColor="text1"/>
        </w:rPr>
        <w:t>13706.98</w:t>
      </w:r>
      <w:r>
        <w:rPr>
          <w:rFonts w:ascii="仿宋_GB2312" w:hAnsi="仿宋_GB2312"/>
          <w:color w:val="000000" w:themeColor="text1"/>
        </w:rPr>
        <w:t>万元。包括：</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1</w:t>
      </w:r>
      <w:r>
        <w:rPr>
          <w:rFonts w:ascii="仿宋_GB2312" w:hAnsi="仿宋_GB2312"/>
          <w:color w:val="000000" w:themeColor="text1"/>
        </w:rPr>
        <w:t>．财政拨款收入</w:t>
      </w:r>
      <w:r>
        <w:rPr>
          <w:rFonts w:ascii="仿宋_GB2312" w:hAnsi="仿宋_GB2312" w:hint="eastAsia"/>
          <w:color w:val="000000" w:themeColor="text1"/>
        </w:rPr>
        <w:t>10401.95</w:t>
      </w:r>
      <w:r>
        <w:rPr>
          <w:rFonts w:ascii="仿宋_GB2312" w:hAnsi="仿宋_GB2312"/>
          <w:color w:val="000000" w:themeColor="text1"/>
        </w:rPr>
        <w:t>万元，为当年从财政取得的一般公共预算拨款和政府性基金预算拨款，与上年相比增加</w:t>
      </w:r>
      <w:r>
        <w:rPr>
          <w:rFonts w:ascii="仿宋_GB2312" w:hAnsi="仿宋_GB2312" w:hint="eastAsia"/>
          <w:color w:val="000000" w:themeColor="text1"/>
        </w:rPr>
        <w:t>1794.57</w:t>
      </w:r>
      <w:r>
        <w:rPr>
          <w:rFonts w:ascii="仿宋_GB2312" w:hAnsi="仿宋_GB2312"/>
          <w:color w:val="000000" w:themeColor="text1"/>
        </w:rPr>
        <w:t>万元，增长</w:t>
      </w:r>
      <w:r>
        <w:rPr>
          <w:rFonts w:ascii="仿宋_GB2312" w:hAnsi="仿宋_GB2312" w:hint="eastAsia"/>
          <w:color w:val="000000" w:themeColor="text1"/>
        </w:rPr>
        <w:t>20.8</w:t>
      </w:r>
      <w:r>
        <w:rPr>
          <w:rFonts w:ascii="仿宋_GB2312" w:hAnsi="仿宋_GB2312"/>
          <w:color w:val="000000" w:themeColor="text1"/>
        </w:rPr>
        <w:t>%</w:t>
      </w:r>
      <w:r>
        <w:rPr>
          <w:rFonts w:ascii="仿宋_GB2312" w:hAnsi="仿宋_GB2312"/>
          <w:color w:val="000000" w:themeColor="text1"/>
        </w:rPr>
        <w:t>。主要原因是</w:t>
      </w:r>
      <w:r>
        <w:rPr>
          <w:rFonts w:ascii="仿宋_GB2312" w:hAnsi="仿宋_GB2312" w:hint="eastAsia"/>
          <w:color w:val="000000" w:themeColor="text1"/>
        </w:rPr>
        <w:t>1</w:t>
      </w:r>
      <w:r>
        <w:rPr>
          <w:rFonts w:ascii="仿宋_GB2312" w:hAnsi="仿宋_GB2312" w:hint="eastAsia"/>
          <w:color w:val="000000" w:themeColor="text1"/>
        </w:rPr>
        <w:t>、经常性项目的政策性追加；</w:t>
      </w:r>
      <w:r>
        <w:rPr>
          <w:rFonts w:ascii="仿宋_GB2312" w:hAnsi="仿宋_GB2312" w:hint="eastAsia"/>
          <w:color w:val="000000" w:themeColor="text1"/>
        </w:rPr>
        <w:t>2</w:t>
      </w:r>
      <w:r>
        <w:rPr>
          <w:rFonts w:ascii="仿宋_GB2312" w:hAnsi="仿宋_GB2312" w:hint="eastAsia"/>
          <w:color w:val="000000" w:themeColor="text1"/>
        </w:rPr>
        <w:t>、环保专项资金增加</w:t>
      </w:r>
      <w:r>
        <w:rPr>
          <w:rFonts w:ascii="仿宋_GB2312" w:hAnsi="仿宋_GB2312"/>
          <w:color w:val="000000" w:themeColor="text1"/>
        </w:rPr>
        <w:t>。</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2</w:t>
      </w:r>
      <w:r>
        <w:rPr>
          <w:rFonts w:ascii="仿宋_GB2312" w:hAnsi="仿宋_GB2312"/>
          <w:color w:val="000000" w:themeColor="text1"/>
        </w:rPr>
        <w:t>．上级补助收入</w:t>
      </w:r>
      <w:r>
        <w:rPr>
          <w:rFonts w:ascii="仿宋_GB2312" w:hAnsi="仿宋_GB2312" w:hint="eastAsia"/>
          <w:color w:val="000000" w:themeColor="text1"/>
        </w:rPr>
        <w:t>636.03</w:t>
      </w:r>
      <w:r>
        <w:rPr>
          <w:rFonts w:ascii="仿宋_GB2312" w:hAnsi="仿宋_GB2312"/>
          <w:color w:val="000000" w:themeColor="text1"/>
        </w:rPr>
        <w:t>万元，为</w:t>
      </w:r>
      <w:r>
        <w:rPr>
          <w:rFonts w:ascii="仿宋_GB2312" w:hAnsi="仿宋_GB2312" w:hint="eastAsia"/>
          <w:color w:val="000000" w:themeColor="text1"/>
        </w:rPr>
        <w:t>常州市环境监测中心</w:t>
      </w:r>
      <w:r>
        <w:rPr>
          <w:rFonts w:ascii="仿宋_GB2312" w:hAnsi="仿宋_GB2312"/>
          <w:color w:val="000000" w:themeColor="text1"/>
        </w:rPr>
        <w:t>收到上级单位拨入的非财政补助资金。与上年相比增加</w:t>
      </w:r>
      <w:r>
        <w:rPr>
          <w:rFonts w:ascii="仿宋_GB2312" w:hAnsi="仿宋_GB2312" w:hint="eastAsia"/>
          <w:color w:val="000000" w:themeColor="text1"/>
        </w:rPr>
        <w:t>85.35</w:t>
      </w:r>
      <w:r>
        <w:rPr>
          <w:rFonts w:ascii="仿宋_GB2312" w:hAnsi="仿宋_GB2312"/>
          <w:color w:val="000000" w:themeColor="text1"/>
        </w:rPr>
        <w:t>万元，增长</w:t>
      </w:r>
      <w:r>
        <w:rPr>
          <w:rFonts w:ascii="仿宋_GB2312" w:hAnsi="仿宋_GB2312" w:hint="eastAsia"/>
          <w:color w:val="000000" w:themeColor="text1"/>
        </w:rPr>
        <w:t>15.5</w:t>
      </w:r>
      <w:r>
        <w:rPr>
          <w:rFonts w:ascii="仿宋_GB2312" w:hAnsi="仿宋_GB2312"/>
          <w:color w:val="000000" w:themeColor="text1"/>
        </w:rPr>
        <w:t>%</w:t>
      </w:r>
      <w:r>
        <w:rPr>
          <w:rFonts w:ascii="仿宋_GB2312" w:hAnsi="仿宋_GB2312"/>
          <w:color w:val="000000" w:themeColor="text1"/>
        </w:rPr>
        <w:t>。主要原因是</w:t>
      </w:r>
      <w:r>
        <w:rPr>
          <w:rFonts w:ascii="仿宋_GB2312" w:hAnsi="仿宋_GB2312" w:hint="eastAsia"/>
          <w:color w:val="000000" w:themeColor="text1"/>
        </w:rPr>
        <w:t>常州市环境监测中心拨入的上级补助资金增加</w:t>
      </w:r>
      <w:r>
        <w:rPr>
          <w:rFonts w:ascii="仿宋_GB2312" w:hAnsi="仿宋_GB2312"/>
          <w:color w:val="000000" w:themeColor="text1"/>
        </w:rPr>
        <w:t>。</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3</w:t>
      </w:r>
      <w:r>
        <w:rPr>
          <w:rFonts w:ascii="仿宋_GB2312" w:hAnsi="仿宋_GB2312"/>
          <w:color w:val="000000" w:themeColor="text1"/>
        </w:rPr>
        <w:t>．事业收入</w:t>
      </w:r>
      <w:r>
        <w:rPr>
          <w:rFonts w:ascii="仿宋_GB2312" w:hAnsi="仿宋_GB2312" w:hint="eastAsia"/>
          <w:color w:val="000000" w:themeColor="text1"/>
        </w:rPr>
        <w:t>77.93</w:t>
      </w:r>
      <w:r>
        <w:rPr>
          <w:rFonts w:ascii="仿宋_GB2312" w:hAnsi="仿宋_GB2312"/>
          <w:color w:val="000000" w:themeColor="text1"/>
        </w:rPr>
        <w:t>万元，为</w:t>
      </w:r>
      <w:r>
        <w:rPr>
          <w:rFonts w:ascii="仿宋_GB2312" w:hAnsi="仿宋_GB2312" w:hint="eastAsia"/>
          <w:color w:val="000000" w:themeColor="text1"/>
        </w:rPr>
        <w:t>常州市环境科学研究院</w:t>
      </w:r>
      <w:r>
        <w:rPr>
          <w:rFonts w:ascii="仿宋_GB2312" w:hAnsi="仿宋_GB2312"/>
          <w:color w:val="000000" w:themeColor="text1"/>
        </w:rPr>
        <w:t>开展</w:t>
      </w:r>
      <w:r>
        <w:rPr>
          <w:rFonts w:ascii="仿宋_GB2312" w:hAnsi="仿宋_GB2312" w:hint="eastAsia"/>
          <w:color w:val="000000" w:themeColor="text1"/>
        </w:rPr>
        <w:t>国家课题</w:t>
      </w:r>
      <w:r>
        <w:rPr>
          <w:rFonts w:ascii="仿宋_GB2312" w:hAnsi="仿宋_GB2312"/>
          <w:color w:val="000000" w:themeColor="text1"/>
        </w:rPr>
        <w:t>及其辅助活动取得的收入。与</w:t>
      </w:r>
      <w:r>
        <w:rPr>
          <w:rFonts w:ascii="仿宋_GB2312" w:hAnsi="仿宋_GB2312"/>
          <w:color w:val="000000" w:themeColor="text1"/>
        </w:rPr>
        <w:t>上年相比增加</w:t>
      </w:r>
      <w:r>
        <w:rPr>
          <w:rFonts w:ascii="仿宋_GB2312" w:hAnsi="仿宋_GB2312" w:hint="eastAsia"/>
          <w:color w:val="000000" w:themeColor="text1"/>
        </w:rPr>
        <w:t>77.93</w:t>
      </w:r>
      <w:r>
        <w:rPr>
          <w:rFonts w:ascii="仿宋_GB2312" w:hAnsi="仿宋_GB2312"/>
          <w:color w:val="000000" w:themeColor="text1"/>
        </w:rPr>
        <w:t>万元，增长</w:t>
      </w:r>
      <w:r>
        <w:rPr>
          <w:rFonts w:ascii="仿宋_GB2312" w:hAnsi="仿宋_GB2312" w:hint="eastAsia"/>
          <w:color w:val="000000" w:themeColor="text1"/>
        </w:rPr>
        <w:t>100</w:t>
      </w:r>
      <w:r>
        <w:rPr>
          <w:rFonts w:ascii="仿宋_GB2312" w:hAnsi="仿宋_GB2312"/>
          <w:color w:val="000000" w:themeColor="text1"/>
        </w:rPr>
        <w:t>%</w:t>
      </w:r>
      <w:r>
        <w:rPr>
          <w:rFonts w:ascii="仿宋_GB2312" w:hAnsi="仿宋_GB2312"/>
          <w:color w:val="000000" w:themeColor="text1"/>
        </w:rPr>
        <w:t>。主要原因是</w:t>
      </w:r>
      <w:r>
        <w:rPr>
          <w:rFonts w:ascii="仿宋_GB2312" w:hAnsi="仿宋_GB2312" w:hint="eastAsia"/>
          <w:color w:val="000000" w:themeColor="text1"/>
        </w:rPr>
        <w:t>常州市环境科学研究院当年拨入国家课题专项资金</w:t>
      </w:r>
      <w:r>
        <w:rPr>
          <w:rFonts w:ascii="仿宋_GB2312" w:hAnsi="仿宋_GB2312"/>
          <w:color w:val="000000" w:themeColor="text1"/>
        </w:rPr>
        <w:t>。</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4</w:t>
      </w:r>
      <w:r>
        <w:rPr>
          <w:rFonts w:ascii="仿宋_GB2312" w:hAnsi="仿宋_GB2312"/>
          <w:color w:val="000000" w:themeColor="text1"/>
        </w:rPr>
        <w:t>．经营收入</w:t>
      </w:r>
      <w:r>
        <w:rPr>
          <w:rFonts w:ascii="仿宋_GB2312" w:hAnsi="仿宋_GB2312" w:hint="eastAsia"/>
          <w:color w:val="000000" w:themeColor="text1"/>
        </w:rPr>
        <w:t>373.61</w:t>
      </w:r>
      <w:r>
        <w:rPr>
          <w:rFonts w:ascii="仿宋_GB2312" w:hAnsi="仿宋_GB2312"/>
          <w:color w:val="000000" w:themeColor="text1"/>
        </w:rPr>
        <w:t>万元，为</w:t>
      </w:r>
      <w:r>
        <w:rPr>
          <w:rFonts w:ascii="仿宋_GB2312" w:hAnsi="仿宋_GB2312" w:hint="eastAsia"/>
          <w:color w:val="000000" w:themeColor="text1"/>
        </w:rPr>
        <w:t>常州市环境科学研究院等单位</w:t>
      </w:r>
      <w:r>
        <w:rPr>
          <w:rFonts w:ascii="仿宋_GB2312" w:hAnsi="仿宋_GB2312"/>
          <w:color w:val="000000" w:themeColor="text1"/>
        </w:rPr>
        <w:t>在专业业务活动及其辅助活动之外开展非独立核算经营活动取得的收入。与上年相比增加</w:t>
      </w:r>
      <w:r>
        <w:rPr>
          <w:rFonts w:ascii="仿宋_GB2312" w:hAnsi="仿宋_GB2312" w:hint="eastAsia"/>
          <w:color w:val="000000" w:themeColor="text1"/>
        </w:rPr>
        <w:t>184.06</w:t>
      </w:r>
      <w:r>
        <w:rPr>
          <w:rFonts w:ascii="仿宋_GB2312" w:hAnsi="仿宋_GB2312"/>
          <w:color w:val="000000" w:themeColor="text1"/>
        </w:rPr>
        <w:t>万元，增长</w:t>
      </w:r>
      <w:r>
        <w:rPr>
          <w:rFonts w:ascii="仿宋_GB2312" w:hAnsi="仿宋_GB2312" w:hint="eastAsia"/>
          <w:color w:val="000000" w:themeColor="text1"/>
        </w:rPr>
        <w:t>97.1</w:t>
      </w:r>
      <w:r>
        <w:rPr>
          <w:rFonts w:ascii="仿宋_GB2312" w:hAnsi="仿宋_GB2312"/>
          <w:color w:val="000000" w:themeColor="text1"/>
        </w:rPr>
        <w:t>%</w:t>
      </w:r>
      <w:r>
        <w:rPr>
          <w:rFonts w:ascii="仿宋_GB2312" w:hAnsi="仿宋_GB2312"/>
          <w:color w:val="000000" w:themeColor="text1"/>
        </w:rPr>
        <w:t>。主要原因是</w:t>
      </w:r>
      <w:r>
        <w:rPr>
          <w:rFonts w:ascii="仿宋_GB2312" w:hAnsi="仿宋_GB2312" w:hint="eastAsia"/>
          <w:color w:val="000000" w:themeColor="text1"/>
        </w:rPr>
        <w:t>常州市环境科学研究当年经营收入增加</w:t>
      </w:r>
      <w:r>
        <w:rPr>
          <w:rFonts w:ascii="仿宋_GB2312" w:hAnsi="仿宋_GB2312"/>
          <w:color w:val="000000" w:themeColor="text1"/>
        </w:rPr>
        <w:t>。</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5</w:t>
      </w:r>
      <w:r>
        <w:rPr>
          <w:rFonts w:ascii="仿宋_GB2312" w:hAnsi="仿宋_GB2312"/>
          <w:color w:val="000000" w:themeColor="text1"/>
        </w:rPr>
        <w:t>．附属单位上缴收</w:t>
      </w:r>
      <w:r>
        <w:rPr>
          <w:rFonts w:ascii="仿宋_GB2312" w:hAnsi="仿宋_GB2312" w:hint="eastAsia"/>
          <w:color w:val="000000" w:themeColor="text1"/>
        </w:rPr>
        <w:t>入</w:t>
      </w:r>
      <w:r>
        <w:rPr>
          <w:rFonts w:ascii="仿宋_GB2312" w:hAnsi="仿宋_GB2312" w:hint="eastAsia"/>
          <w:color w:val="000000" w:themeColor="text1"/>
        </w:rPr>
        <w:t>0</w:t>
      </w:r>
      <w:r>
        <w:rPr>
          <w:rFonts w:ascii="仿宋_GB2312" w:hAnsi="仿宋_GB2312"/>
          <w:color w:val="000000" w:themeColor="text1"/>
        </w:rPr>
        <w:t>万元，与上年相比</w:t>
      </w:r>
      <w:r>
        <w:rPr>
          <w:rFonts w:ascii="仿宋_GB2312" w:hAnsi="仿宋_GB2312" w:hint="eastAsia"/>
          <w:color w:val="000000" w:themeColor="text1"/>
        </w:rPr>
        <w:t>无增减</w:t>
      </w:r>
      <w:r>
        <w:rPr>
          <w:rFonts w:ascii="仿宋_GB2312" w:hAnsi="仿宋_GB2312"/>
          <w:color w:val="000000" w:themeColor="text1"/>
        </w:rPr>
        <w:t>，增</w:t>
      </w:r>
      <w:r>
        <w:rPr>
          <w:rFonts w:ascii="仿宋_GB2312" w:hAnsi="仿宋_GB2312"/>
          <w:color w:val="000000" w:themeColor="text1"/>
        </w:rPr>
        <w:lastRenderedPageBreak/>
        <w:t>长</w:t>
      </w:r>
      <w:r>
        <w:rPr>
          <w:rFonts w:ascii="仿宋_GB2312" w:hAnsi="仿宋_GB2312" w:hint="eastAsia"/>
          <w:color w:val="000000" w:themeColor="text1"/>
        </w:rPr>
        <w:t>0</w:t>
      </w:r>
      <w:r>
        <w:rPr>
          <w:rFonts w:ascii="仿宋_GB2312" w:hAnsi="仿宋_GB2312"/>
          <w:color w:val="000000" w:themeColor="text1"/>
        </w:rPr>
        <w:t>%</w:t>
      </w:r>
      <w:r>
        <w:rPr>
          <w:rFonts w:ascii="仿宋_GB2312" w:hAnsi="仿宋_GB2312"/>
          <w:color w:val="000000" w:themeColor="text1"/>
        </w:rPr>
        <w:t>。主要原因是</w:t>
      </w:r>
      <w:r>
        <w:rPr>
          <w:rFonts w:ascii="仿宋_GB2312" w:hAnsi="仿宋_GB2312" w:hint="eastAsia"/>
          <w:color w:val="000000" w:themeColor="text1"/>
        </w:rPr>
        <w:t>本部门无附属单位上缴收入</w:t>
      </w:r>
      <w:r>
        <w:rPr>
          <w:rFonts w:ascii="仿宋_GB2312" w:hAnsi="仿宋_GB2312"/>
          <w:color w:val="000000" w:themeColor="text1"/>
        </w:rPr>
        <w:t>。</w:t>
      </w:r>
    </w:p>
    <w:p w:rsidR="000C0FB9" w:rsidRDefault="009E755C">
      <w:pPr>
        <w:spacing w:line="570" w:lineRule="exact"/>
        <w:ind w:firstLine="640"/>
        <w:rPr>
          <w:rFonts w:ascii="仿宋_GB2312" w:hAnsi="仿宋_GB2312"/>
          <w:color w:val="000000" w:themeColor="text1"/>
        </w:rPr>
      </w:pPr>
      <w:r>
        <w:rPr>
          <w:rFonts w:ascii="仿宋_GB2312" w:hAnsi="仿宋_GB2312"/>
          <w:color w:val="000000" w:themeColor="text1"/>
        </w:rPr>
        <w:t>6</w:t>
      </w:r>
      <w:r>
        <w:rPr>
          <w:rFonts w:ascii="仿宋_GB2312" w:hAnsi="仿宋_GB2312"/>
          <w:color w:val="000000" w:themeColor="text1"/>
        </w:rPr>
        <w:t>．其他收入</w:t>
      </w:r>
      <w:r>
        <w:rPr>
          <w:rFonts w:ascii="仿宋_GB2312" w:hAnsi="仿宋_GB2312" w:hint="eastAsia"/>
          <w:color w:val="000000" w:themeColor="text1"/>
        </w:rPr>
        <w:t>540.49</w:t>
      </w:r>
      <w:r>
        <w:rPr>
          <w:rFonts w:ascii="仿宋_GB2312" w:hAnsi="仿宋_GB2312"/>
          <w:color w:val="000000" w:themeColor="text1"/>
        </w:rPr>
        <w:t>万元，为单位取得的除上述收入以外的各项收入，主要为</w:t>
      </w:r>
      <w:r>
        <w:rPr>
          <w:rFonts w:ascii="仿宋_GB2312" w:hAnsi="仿宋_GB2312" w:hint="eastAsia"/>
          <w:color w:val="000000" w:themeColor="text1"/>
        </w:rPr>
        <w:t>常州市环境科学研究院</w:t>
      </w:r>
      <w:r>
        <w:rPr>
          <w:rFonts w:ascii="仿宋_GB2312" w:hAnsi="仿宋_GB2312"/>
          <w:color w:val="000000" w:themeColor="text1"/>
        </w:rPr>
        <w:t>的</w:t>
      </w:r>
      <w:r>
        <w:rPr>
          <w:rFonts w:ascii="仿宋_GB2312" w:hAnsi="仿宋_GB2312" w:hint="eastAsia"/>
          <w:color w:val="000000" w:themeColor="text1"/>
        </w:rPr>
        <w:t>历年结余</w:t>
      </w:r>
      <w:r>
        <w:rPr>
          <w:rFonts w:ascii="仿宋_GB2312" w:hAnsi="仿宋_GB2312"/>
          <w:color w:val="000000" w:themeColor="text1"/>
        </w:rPr>
        <w:t>。与上年相比增加</w:t>
      </w:r>
      <w:r>
        <w:rPr>
          <w:rFonts w:ascii="仿宋_GB2312" w:hAnsi="仿宋_GB2312" w:hint="eastAsia"/>
          <w:color w:val="000000" w:themeColor="text1"/>
        </w:rPr>
        <w:t>194.49</w:t>
      </w:r>
      <w:r>
        <w:rPr>
          <w:rFonts w:ascii="仿宋_GB2312" w:hAnsi="仿宋_GB2312"/>
          <w:color w:val="000000" w:themeColor="text1"/>
        </w:rPr>
        <w:t>万元，增长</w:t>
      </w:r>
      <w:r>
        <w:rPr>
          <w:rFonts w:ascii="仿宋_GB2312" w:hAnsi="仿宋_GB2312" w:hint="eastAsia"/>
          <w:color w:val="000000" w:themeColor="text1"/>
        </w:rPr>
        <w:t>55.3</w:t>
      </w:r>
      <w:r>
        <w:rPr>
          <w:rFonts w:ascii="仿宋_GB2312" w:hAnsi="仿宋_GB2312"/>
          <w:color w:val="000000" w:themeColor="text1"/>
        </w:rPr>
        <w:t>%</w:t>
      </w:r>
      <w:r>
        <w:rPr>
          <w:rFonts w:ascii="仿宋_GB2312" w:hAnsi="仿宋_GB2312"/>
          <w:color w:val="000000" w:themeColor="text1"/>
        </w:rPr>
        <w:t>。主要原因是</w:t>
      </w:r>
      <w:r>
        <w:rPr>
          <w:rFonts w:ascii="仿宋_GB2312" w:hAnsi="仿宋_GB2312" w:hint="eastAsia"/>
          <w:color w:val="000000" w:themeColor="text1"/>
        </w:rPr>
        <w:t>常州市环境科学研究当年拨入历年结余增加</w:t>
      </w:r>
      <w:r>
        <w:rPr>
          <w:rFonts w:ascii="仿宋_GB2312" w:hAnsi="仿宋_GB2312"/>
          <w:color w:val="000000" w:themeColor="text1"/>
        </w:rPr>
        <w:t>。</w:t>
      </w:r>
    </w:p>
    <w:p w:rsidR="000C0FB9" w:rsidRDefault="009E755C">
      <w:pPr>
        <w:spacing w:line="570" w:lineRule="exact"/>
        <w:ind w:firstLine="640"/>
        <w:rPr>
          <w:rFonts w:ascii="仿宋_GB2312" w:hAnsi="仿宋_GB2312"/>
        </w:rPr>
      </w:pPr>
      <w:r>
        <w:rPr>
          <w:rFonts w:ascii="仿宋_GB2312" w:hAnsi="仿宋_GB2312"/>
        </w:rPr>
        <w:t>7</w:t>
      </w:r>
      <w:r>
        <w:rPr>
          <w:rFonts w:ascii="仿宋_GB2312" w:hAnsi="仿宋_GB2312"/>
        </w:rPr>
        <w:t>．用事业基金弥补收支差额</w:t>
      </w:r>
      <w:r>
        <w:rPr>
          <w:rFonts w:ascii="仿宋_GB2312" w:hAnsi="仿宋_GB2312" w:hint="eastAsia"/>
        </w:rPr>
        <w:t>0</w:t>
      </w:r>
      <w:r>
        <w:rPr>
          <w:rFonts w:ascii="仿宋_GB2312" w:hAnsi="仿宋_GB2312"/>
        </w:rPr>
        <w:t>万元，为事业单位用事业基金弥补当年收支差额的数额。</w:t>
      </w:r>
      <w:r>
        <w:rPr>
          <w:rFonts w:ascii="仿宋_GB2312" w:hAnsi="仿宋_GB2312" w:hint="eastAsia"/>
        </w:rPr>
        <w:t>与上年相比无增减，主要为本部门无</w:t>
      </w:r>
      <w:r>
        <w:rPr>
          <w:rFonts w:ascii="仿宋_GB2312" w:hAnsi="仿宋_GB2312"/>
        </w:rPr>
        <w:t>用事业基金弥补收支差额。</w:t>
      </w:r>
    </w:p>
    <w:p w:rsidR="000C0FB9" w:rsidRDefault="009E755C">
      <w:pPr>
        <w:spacing w:line="570" w:lineRule="exact"/>
        <w:ind w:firstLine="640"/>
        <w:rPr>
          <w:rFonts w:ascii="仿宋_GB2312" w:hAnsi="仿宋_GB2312"/>
          <w:color w:val="000000" w:themeColor="text1"/>
        </w:rPr>
      </w:pPr>
      <w:r>
        <w:rPr>
          <w:rFonts w:ascii="仿宋_GB2312" w:hAnsi="仿宋_GB2312"/>
        </w:rPr>
        <w:t>8</w:t>
      </w:r>
      <w:r>
        <w:rPr>
          <w:rFonts w:ascii="仿宋_GB2312" w:hAnsi="仿宋_GB2312"/>
        </w:rPr>
        <w:t>．年初结转和结余</w:t>
      </w:r>
      <w:r>
        <w:rPr>
          <w:rFonts w:ascii="仿宋_GB2312" w:hAnsi="仿宋_GB2312" w:hint="eastAsia"/>
        </w:rPr>
        <w:t>1676.97</w:t>
      </w:r>
      <w:r>
        <w:rPr>
          <w:rFonts w:ascii="仿宋_GB2312" w:hAnsi="仿宋_GB2312"/>
        </w:rPr>
        <w:t>万元，主要为</w:t>
      </w:r>
      <w:r>
        <w:rPr>
          <w:rFonts w:ascii="仿宋_GB2312" w:hAnsi="仿宋_GB2312" w:hint="eastAsia"/>
        </w:rPr>
        <w:t>常州市环境保护局、常州市环境执法局、常州市环境监测中心等单位</w:t>
      </w:r>
      <w:r>
        <w:rPr>
          <w:rFonts w:ascii="仿宋_GB2312" w:hAnsi="仿宋_GB2312"/>
          <w:color w:val="000000" w:themeColor="text1"/>
        </w:rPr>
        <w:t>上年结转本年使用的</w:t>
      </w:r>
      <w:r>
        <w:rPr>
          <w:rFonts w:ascii="仿宋_GB2312" w:hAnsi="仿宋_GB2312" w:hint="eastAsia"/>
          <w:color w:val="000000" w:themeColor="text1"/>
        </w:rPr>
        <w:t>历年结余、环保专项</w:t>
      </w:r>
      <w:r>
        <w:rPr>
          <w:rFonts w:ascii="仿宋_GB2312" w:hAnsi="仿宋_GB2312"/>
          <w:color w:val="000000" w:themeColor="text1"/>
        </w:rPr>
        <w:t>等资金</w:t>
      </w:r>
      <w:r>
        <w:rPr>
          <w:rFonts w:ascii="仿宋_GB2312" w:hAnsi="仿宋_GB2312"/>
          <w:color w:val="000000" w:themeColor="text1"/>
        </w:rPr>
        <w:t>。</w:t>
      </w:r>
    </w:p>
    <w:p w:rsidR="000C0FB9" w:rsidRDefault="009E755C">
      <w:pPr>
        <w:spacing w:line="570" w:lineRule="exact"/>
        <w:ind w:firstLine="640"/>
        <w:rPr>
          <w:rFonts w:ascii="仿宋_GB2312" w:hAnsi="仿宋_GB2312"/>
        </w:rPr>
      </w:pPr>
      <w:r>
        <w:rPr>
          <w:rFonts w:ascii="仿宋_GB2312" w:hAnsi="仿宋_GB2312"/>
        </w:rPr>
        <w:t>（二）支出总计</w:t>
      </w:r>
      <w:r>
        <w:rPr>
          <w:rFonts w:ascii="仿宋_GB2312" w:hAnsi="仿宋_GB2312" w:hint="eastAsia"/>
        </w:rPr>
        <w:t>13706.98</w:t>
      </w:r>
      <w:r>
        <w:rPr>
          <w:rFonts w:ascii="仿宋_GB2312" w:hAnsi="仿宋_GB2312"/>
        </w:rPr>
        <w:t>万元。包括：</w:t>
      </w:r>
    </w:p>
    <w:p w:rsidR="000C0FB9" w:rsidRDefault="009E755C">
      <w:pPr>
        <w:spacing w:line="550" w:lineRule="exact"/>
        <w:ind w:firstLine="640"/>
        <w:rPr>
          <w:rFonts w:ascii="仿宋_GB2312" w:hAnsi="仿宋_GB2312"/>
        </w:rPr>
      </w:pPr>
      <w:r>
        <w:rPr>
          <w:i/>
        </w:rPr>
        <w:t>（按照</w:t>
      </w:r>
      <w:r>
        <w:rPr>
          <w:i/>
        </w:rPr>
        <w:t>“</w:t>
      </w:r>
      <w:r>
        <w:rPr>
          <w:i/>
        </w:rPr>
        <w:t>公开</w:t>
      </w:r>
      <w:r>
        <w:rPr>
          <w:i/>
        </w:rPr>
        <w:t>01</w:t>
      </w:r>
      <w:r>
        <w:rPr>
          <w:i/>
        </w:rPr>
        <w:t>表</w:t>
      </w:r>
      <w:r>
        <w:rPr>
          <w:i/>
        </w:rPr>
        <w:t xml:space="preserve"> </w:t>
      </w:r>
      <w:r>
        <w:rPr>
          <w:i/>
        </w:rPr>
        <w:t>收入支出决算总表</w:t>
      </w:r>
      <w:r>
        <w:rPr>
          <w:i/>
        </w:rPr>
        <w:t>”</w:t>
      </w:r>
      <w:r>
        <w:rPr>
          <w:i/>
        </w:rPr>
        <w:t>中的功能分类明细项，并结合本部门具</w:t>
      </w:r>
      <w:r>
        <w:rPr>
          <w:i/>
        </w:rPr>
        <w:t>体实际予以解释。）</w:t>
      </w:r>
    </w:p>
    <w:p w:rsidR="000C0FB9" w:rsidRDefault="009E755C">
      <w:pPr>
        <w:spacing w:line="570" w:lineRule="exact"/>
        <w:ind w:firstLine="640"/>
        <w:rPr>
          <w:rFonts w:ascii="仿宋_GB2312" w:hAnsi="仿宋_GB2312"/>
        </w:rPr>
      </w:pPr>
      <w:r>
        <w:rPr>
          <w:rFonts w:ascii="仿宋_GB2312" w:hAnsi="仿宋_GB2312"/>
        </w:rPr>
        <w:t>1</w:t>
      </w:r>
      <w:r>
        <w:rPr>
          <w:rFonts w:ascii="仿宋_GB2312" w:hAnsi="仿宋_GB2312"/>
        </w:rPr>
        <w:t>．一般公共服务（类）支出</w:t>
      </w:r>
      <w:r>
        <w:rPr>
          <w:rFonts w:ascii="仿宋_GB2312" w:hAnsi="仿宋_GB2312" w:hint="eastAsia"/>
        </w:rPr>
        <w:t>0</w:t>
      </w:r>
      <w:r>
        <w:rPr>
          <w:rFonts w:ascii="仿宋_GB2312" w:hAnsi="仿宋_GB2312"/>
        </w:rPr>
        <w:t>万元，与上年相比</w:t>
      </w:r>
      <w:r>
        <w:rPr>
          <w:rFonts w:ascii="仿宋_GB2312" w:hAnsi="仿宋_GB2312" w:hint="eastAsia"/>
        </w:rPr>
        <w:t>无增减</w:t>
      </w:r>
      <w:r>
        <w:rPr>
          <w:rFonts w:ascii="仿宋_GB2312" w:hAnsi="仿宋_GB2312"/>
        </w:rPr>
        <w:t>，增长</w:t>
      </w:r>
      <w:r>
        <w:rPr>
          <w:rFonts w:ascii="仿宋_GB2312" w:hAnsi="仿宋_GB2312" w:hint="eastAsia"/>
        </w:rPr>
        <w:t>0</w:t>
      </w:r>
      <w:r>
        <w:rPr>
          <w:rFonts w:ascii="仿宋_GB2312" w:hAnsi="仿宋_GB2312"/>
        </w:rPr>
        <w:t>%</w:t>
      </w:r>
      <w:r>
        <w:rPr>
          <w:rFonts w:ascii="仿宋_GB2312" w:hAnsi="仿宋_GB2312"/>
        </w:rPr>
        <w:t>。主要原因是</w:t>
      </w:r>
      <w:r>
        <w:rPr>
          <w:rFonts w:ascii="仿宋_GB2312" w:hAnsi="仿宋_GB2312" w:hint="eastAsia"/>
        </w:rPr>
        <w:t>本部门无</w:t>
      </w:r>
      <w:r>
        <w:rPr>
          <w:rFonts w:ascii="仿宋_GB2312" w:hAnsi="仿宋_GB2312"/>
        </w:rPr>
        <w:t>一般公共服务（类）支出。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snapToGrid w:val="0"/>
          <w:color w:val="000000" w:themeColor="text1"/>
          <w:spacing w:val="-4"/>
          <w:kern w:val="0"/>
        </w:rPr>
        <w:t>2</w:t>
      </w:r>
      <w:r>
        <w:rPr>
          <w:rFonts w:ascii="仿宋_GB2312" w:hAnsi="仿宋" w:hint="eastAsia"/>
          <w:snapToGrid w:val="0"/>
          <w:color w:val="000000" w:themeColor="text1"/>
          <w:spacing w:val="-4"/>
          <w:kern w:val="0"/>
        </w:rPr>
        <w:t>．外交（类）支出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。主要原因是本部门无外交（类）支出。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3. </w:t>
      </w:r>
      <w:r>
        <w:rPr>
          <w:rFonts w:ascii="仿宋_GB2312" w:hAnsi="仿宋" w:hint="eastAsia"/>
          <w:snapToGrid w:val="0"/>
          <w:color w:val="000000" w:themeColor="text1"/>
          <w:spacing w:val="-4"/>
          <w:kern w:val="0"/>
        </w:rPr>
        <w:t>国防（类）支出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。主要原因是本部门无国防（类）支出。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4.</w:t>
      </w:r>
      <w:r>
        <w:rPr>
          <w:rFonts w:ascii="仿宋_GB2312" w:hAnsi="仿宋" w:hint="eastAsia"/>
          <w:snapToGrid w:val="0"/>
          <w:color w:val="000000" w:themeColor="text1"/>
          <w:spacing w:val="-4"/>
          <w:kern w:val="0"/>
        </w:rPr>
        <w:t>公共安全（类）支出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。主要原因是本部门无公共安全（类）支出。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5. </w:t>
      </w:r>
      <w:r>
        <w:rPr>
          <w:rFonts w:ascii="仿宋_GB2312" w:hAnsi="仿宋" w:hint="eastAsia"/>
          <w:snapToGrid w:val="0"/>
          <w:color w:val="000000" w:themeColor="text1"/>
          <w:spacing w:val="-4"/>
          <w:kern w:val="0"/>
        </w:rPr>
        <w:t>教育（类）支出</w:t>
      </w:r>
      <w:r>
        <w:rPr>
          <w:rFonts w:ascii="仿宋_GB2312" w:hAnsi="仿宋" w:hint="eastAsia"/>
          <w:snapToGrid w:val="0"/>
          <w:color w:val="000000" w:themeColor="text1"/>
          <w:spacing w:val="-4"/>
          <w:kern w:val="0"/>
        </w:rPr>
        <w:t>2</w:t>
      </w:r>
      <w:r>
        <w:rPr>
          <w:rFonts w:ascii="仿宋_GB2312" w:hAnsi="仿宋" w:hint="eastAsia"/>
          <w:snapToGrid w:val="0"/>
          <w:color w:val="000000" w:themeColor="text1"/>
          <w:spacing w:val="-4"/>
          <w:kern w:val="0"/>
        </w:rPr>
        <w:t>万元，</w:t>
      </w:r>
      <w:r>
        <w:rPr>
          <w:rFonts w:ascii="仿宋_GB2312" w:hAnsi="仿宋" w:hint="eastAsia"/>
          <w:snapToGrid w:val="0"/>
          <w:color w:val="000000" w:themeColor="text1"/>
          <w:spacing w:val="-4"/>
          <w:kern w:val="0"/>
        </w:rPr>
        <w:t>主要用于常州市环境监测中心人才奖励费。</w:t>
      </w:r>
      <w:r>
        <w:rPr>
          <w:rFonts w:ascii="仿宋_GB2312" w:hAnsi="仿宋" w:hint="eastAsia"/>
          <w:snapToGrid w:val="0"/>
          <w:color w:val="000000" w:themeColor="text1"/>
          <w:spacing w:val="-4"/>
          <w:kern w:val="0"/>
        </w:rPr>
        <w:t>与上年相比</w:t>
      </w:r>
      <w:r>
        <w:rPr>
          <w:rFonts w:ascii="仿宋_GB2312" w:hAnsi="仿宋" w:hint="eastAsia"/>
          <w:snapToGrid w:val="0"/>
          <w:color w:val="000000" w:themeColor="text1"/>
          <w:spacing w:val="-4"/>
          <w:kern w:val="0"/>
        </w:rPr>
        <w:t>增加</w:t>
      </w:r>
      <w:r>
        <w:rPr>
          <w:rFonts w:ascii="仿宋_GB2312" w:hAnsi="仿宋" w:hint="eastAsia"/>
          <w:snapToGrid w:val="0"/>
          <w:color w:val="000000" w:themeColor="text1"/>
          <w:spacing w:val="-4"/>
          <w:kern w:val="0"/>
        </w:rPr>
        <w:t>2</w:t>
      </w:r>
      <w:r>
        <w:rPr>
          <w:rFonts w:ascii="仿宋_GB2312" w:hAnsi="仿宋" w:hint="eastAsia"/>
          <w:snapToGrid w:val="0"/>
          <w:color w:val="000000" w:themeColor="text1"/>
          <w:spacing w:val="-4"/>
          <w:kern w:val="0"/>
        </w:rPr>
        <w:t>万元</w:t>
      </w:r>
      <w:r>
        <w:rPr>
          <w:rFonts w:ascii="仿宋_GB2312" w:hAnsi="仿宋" w:hint="eastAsia"/>
          <w:snapToGrid w:val="0"/>
          <w:color w:val="000000" w:themeColor="text1"/>
          <w:spacing w:val="-4"/>
          <w:kern w:val="0"/>
        </w:rPr>
        <w:t>，增</w:t>
      </w:r>
      <w:r>
        <w:rPr>
          <w:rFonts w:ascii="仿宋_GB2312" w:hAnsi="仿宋" w:hint="eastAsia"/>
          <w:snapToGrid w:val="0"/>
          <w:color w:val="000000" w:themeColor="text1"/>
          <w:spacing w:val="-4"/>
          <w:kern w:val="0"/>
        </w:rPr>
        <w:t>长</w:t>
      </w:r>
      <w:r>
        <w:rPr>
          <w:rFonts w:ascii="仿宋_GB2312" w:hAnsi="仿宋" w:hint="eastAsia"/>
          <w:snapToGrid w:val="0"/>
          <w:color w:val="000000" w:themeColor="text1"/>
          <w:spacing w:val="-4"/>
          <w:kern w:val="0"/>
        </w:rPr>
        <w:t>100</w:t>
      </w:r>
      <w:r>
        <w:rPr>
          <w:rFonts w:ascii="仿宋_GB2312" w:hAnsi="仿宋" w:hint="eastAsia"/>
          <w:snapToGrid w:val="0"/>
          <w:color w:val="000000" w:themeColor="text1"/>
          <w:spacing w:val="-4"/>
          <w:kern w:val="0"/>
        </w:rPr>
        <w:t>%</w:t>
      </w:r>
      <w:r>
        <w:rPr>
          <w:rFonts w:ascii="仿宋_GB2312" w:hAnsi="仿宋" w:hint="eastAsia"/>
          <w:snapToGrid w:val="0"/>
          <w:color w:val="000000" w:themeColor="text1"/>
          <w:spacing w:val="-4"/>
          <w:kern w:val="0"/>
        </w:rPr>
        <w:t>。主要原因是</w:t>
      </w:r>
      <w:r>
        <w:rPr>
          <w:rFonts w:ascii="仿宋_GB2312" w:hAnsi="仿宋" w:hint="eastAsia"/>
          <w:snapToGrid w:val="0"/>
          <w:color w:val="000000" w:themeColor="text1"/>
          <w:spacing w:val="-4"/>
          <w:kern w:val="0"/>
        </w:rPr>
        <w:lastRenderedPageBreak/>
        <w:t>常州市环境监测中心当年追加突出人才奖励费</w:t>
      </w:r>
      <w:r>
        <w:rPr>
          <w:rFonts w:ascii="仿宋_GB2312" w:hAnsi="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6.</w:t>
      </w:r>
      <w:r>
        <w:rPr>
          <w:rFonts w:ascii="仿宋_GB2312" w:hAnsi="仿宋" w:hint="eastAsia"/>
          <w:snapToGrid w:val="0"/>
          <w:color w:val="000000" w:themeColor="text1"/>
          <w:spacing w:val="-4"/>
          <w:kern w:val="0"/>
        </w:rPr>
        <w:t>科学技术与支出</w:t>
      </w:r>
      <w:r>
        <w:rPr>
          <w:rFonts w:ascii="仿宋_GB2312" w:hAnsi="仿宋" w:hint="eastAsia"/>
          <w:snapToGrid w:val="0"/>
          <w:color w:val="000000" w:themeColor="text1"/>
          <w:spacing w:val="-4"/>
          <w:kern w:val="0"/>
        </w:rPr>
        <w:t>23.52</w:t>
      </w:r>
      <w:r>
        <w:rPr>
          <w:rFonts w:ascii="仿宋_GB2312" w:hAnsi="仿宋" w:hint="eastAsia"/>
          <w:snapToGrid w:val="0"/>
          <w:color w:val="000000" w:themeColor="text1"/>
          <w:spacing w:val="-4"/>
          <w:kern w:val="0"/>
        </w:rPr>
        <w:t>万元</w:t>
      </w:r>
      <w:r>
        <w:rPr>
          <w:rFonts w:ascii="仿宋_GB2312" w:hAnsi="仿宋" w:hint="eastAsia"/>
          <w:snapToGrid w:val="0"/>
          <w:color w:val="000000" w:themeColor="text1"/>
          <w:spacing w:val="-4"/>
          <w:kern w:val="0"/>
        </w:rPr>
        <w:t>，主要用于常州市环境监测中心、常州市环境科学研究院课题费</w:t>
      </w:r>
      <w:r>
        <w:rPr>
          <w:rFonts w:ascii="仿宋_GB2312" w:hAnsi="仿宋" w:hint="eastAsia"/>
          <w:snapToGrid w:val="0"/>
          <w:color w:val="000000" w:themeColor="text1"/>
          <w:spacing w:val="-4"/>
          <w:kern w:val="0"/>
        </w:rPr>
        <w:t>。</w:t>
      </w:r>
      <w:r>
        <w:rPr>
          <w:rFonts w:ascii="仿宋_GB2312" w:hAnsi="仿宋" w:hint="eastAsia"/>
          <w:snapToGrid w:val="0"/>
          <w:color w:val="000000" w:themeColor="text1"/>
          <w:spacing w:val="-4"/>
          <w:kern w:val="0"/>
        </w:rPr>
        <w:t>与上年相比</w:t>
      </w:r>
      <w:r>
        <w:rPr>
          <w:rFonts w:ascii="仿宋_GB2312" w:hAnsi="仿宋" w:hint="eastAsia"/>
          <w:snapToGrid w:val="0"/>
          <w:color w:val="000000" w:themeColor="text1"/>
          <w:spacing w:val="-4"/>
          <w:kern w:val="0"/>
        </w:rPr>
        <w:t>增加</w:t>
      </w:r>
      <w:r>
        <w:rPr>
          <w:rFonts w:ascii="仿宋_GB2312" w:hAnsi="仿宋" w:hint="eastAsia"/>
          <w:snapToGrid w:val="0"/>
          <w:color w:val="000000" w:themeColor="text1"/>
          <w:spacing w:val="-4"/>
          <w:kern w:val="0"/>
        </w:rPr>
        <w:t>23.52</w:t>
      </w:r>
      <w:r>
        <w:rPr>
          <w:rFonts w:ascii="仿宋_GB2312" w:hAnsi="仿宋" w:hint="eastAsia"/>
          <w:snapToGrid w:val="0"/>
          <w:color w:val="000000" w:themeColor="text1"/>
          <w:spacing w:val="-4"/>
          <w:kern w:val="0"/>
        </w:rPr>
        <w:t>万元，</w:t>
      </w:r>
      <w:r>
        <w:rPr>
          <w:rFonts w:ascii="仿宋_GB2312" w:hAnsi="仿宋" w:hint="eastAsia"/>
          <w:snapToGrid w:val="0"/>
          <w:color w:val="000000" w:themeColor="text1"/>
          <w:spacing w:val="-4"/>
          <w:kern w:val="0"/>
        </w:rPr>
        <w:t>增加</w:t>
      </w:r>
      <w:r>
        <w:rPr>
          <w:rFonts w:ascii="仿宋_GB2312" w:hAnsi="仿宋" w:hint="eastAsia"/>
          <w:snapToGrid w:val="0"/>
          <w:color w:val="000000" w:themeColor="text1"/>
          <w:spacing w:val="-4"/>
          <w:kern w:val="0"/>
        </w:rPr>
        <w:t>100</w:t>
      </w:r>
      <w:r>
        <w:rPr>
          <w:rFonts w:ascii="仿宋_GB2312" w:hAnsi="仿宋"/>
          <w:snapToGrid w:val="0"/>
          <w:color w:val="000000" w:themeColor="text1"/>
          <w:spacing w:val="-4"/>
          <w:kern w:val="0"/>
        </w:rPr>
        <w:t>%</w:t>
      </w:r>
      <w:r>
        <w:rPr>
          <w:rFonts w:ascii="仿宋_GB2312" w:hAnsi="仿宋" w:hint="eastAsia"/>
          <w:snapToGrid w:val="0"/>
          <w:color w:val="000000" w:themeColor="text1"/>
          <w:spacing w:val="-4"/>
          <w:kern w:val="0"/>
        </w:rPr>
        <w:t>。主要原因</w:t>
      </w:r>
      <w:r>
        <w:rPr>
          <w:rFonts w:ascii="仿宋_GB2312" w:hAnsi="仿宋" w:hint="eastAsia"/>
          <w:snapToGrid w:val="0"/>
          <w:color w:val="000000" w:themeColor="text1"/>
          <w:spacing w:val="-4"/>
          <w:kern w:val="0"/>
        </w:rPr>
        <w:t>为市环境监测中心、市环境科学研究院追加当年课题费</w:t>
      </w:r>
      <w:r>
        <w:rPr>
          <w:rFonts w:ascii="仿宋_GB2312" w:hAnsi="仿宋" w:hint="eastAsia"/>
          <w:snapToGrid w:val="0"/>
          <w:color w:val="000000" w:themeColor="text1"/>
          <w:spacing w:val="-4"/>
          <w:kern w:val="0"/>
        </w:rPr>
        <w:t>23.52</w:t>
      </w:r>
      <w:r>
        <w:rPr>
          <w:rFonts w:ascii="仿宋_GB2312" w:hAnsi="仿宋" w:hint="eastAsia"/>
          <w:snapToGrid w:val="0"/>
          <w:color w:val="000000" w:themeColor="text1"/>
          <w:spacing w:val="-4"/>
          <w:kern w:val="0"/>
        </w:rPr>
        <w:t>万元</w:t>
      </w:r>
      <w:r>
        <w:rPr>
          <w:rFonts w:ascii="仿宋_GB2312" w:hAnsi="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7. </w:t>
      </w:r>
      <w:r>
        <w:rPr>
          <w:rFonts w:ascii="仿宋_GB2312" w:hAnsi="仿宋" w:hint="eastAsia"/>
          <w:snapToGrid w:val="0"/>
          <w:color w:val="000000" w:themeColor="text1"/>
          <w:spacing w:val="-4"/>
          <w:kern w:val="0"/>
        </w:rPr>
        <w:t>文化体育与传媒（类）支出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。主要原因是本部门无文化体育与传媒（类）支出。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C00000"/>
          <w:spacing w:val="-4"/>
          <w:kern w:val="0"/>
          <w:sz w:val="28"/>
          <w:szCs w:val="28"/>
        </w:rPr>
      </w:pPr>
      <w:r>
        <w:rPr>
          <w:rFonts w:ascii="仿宋_GB2312" w:hAnsi="仿宋" w:hint="eastAsia"/>
          <w:snapToGrid w:val="0"/>
          <w:color w:val="000000" w:themeColor="text1"/>
          <w:spacing w:val="-4"/>
          <w:kern w:val="0"/>
        </w:rPr>
        <w:t>8.</w:t>
      </w:r>
      <w:r>
        <w:rPr>
          <w:rFonts w:ascii="仿宋_GB2312" w:hAnsi="仿宋" w:hint="eastAsia"/>
          <w:snapToGrid w:val="0"/>
          <w:color w:val="000000" w:themeColor="text1"/>
          <w:spacing w:val="-4"/>
          <w:kern w:val="0"/>
        </w:rPr>
        <w:t>社会保障和就业支出</w:t>
      </w:r>
      <w:r>
        <w:rPr>
          <w:rFonts w:ascii="仿宋_GB2312" w:hAnsi="仿宋" w:hint="eastAsia"/>
          <w:snapToGrid w:val="0"/>
          <w:color w:val="000000" w:themeColor="text1"/>
          <w:spacing w:val="-4"/>
          <w:kern w:val="0"/>
        </w:rPr>
        <w:t>18.47</w:t>
      </w:r>
      <w:r>
        <w:rPr>
          <w:rFonts w:ascii="仿宋_GB2312" w:hAnsi="仿宋" w:hint="eastAsia"/>
          <w:snapToGrid w:val="0"/>
          <w:color w:val="000000" w:themeColor="text1"/>
          <w:spacing w:val="-4"/>
          <w:kern w:val="0"/>
        </w:rPr>
        <w:t>万元，主要用于</w:t>
      </w:r>
      <w:r>
        <w:rPr>
          <w:rFonts w:ascii="仿宋_GB2312" w:hAnsi="仿宋" w:hint="eastAsia"/>
          <w:color w:val="000000" w:themeColor="text1"/>
        </w:rPr>
        <w:t>离退休人员支出</w:t>
      </w:r>
      <w:r>
        <w:rPr>
          <w:rFonts w:ascii="仿宋_GB2312" w:hAnsi="仿宋" w:hint="eastAsia"/>
          <w:snapToGrid w:val="0"/>
          <w:color w:val="000000" w:themeColor="text1"/>
          <w:spacing w:val="-4"/>
          <w:kern w:val="0"/>
        </w:rPr>
        <w:t>。与上年相比</w:t>
      </w:r>
      <w:r>
        <w:rPr>
          <w:rFonts w:ascii="仿宋_GB2312" w:hAnsi="仿宋" w:hint="eastAsia"/>
          <w:snapToGrid w:val="0"/>
          <w:color w:val="000000" w:themeColor="text1"/>
          <w:spacing w:val="-4"/>
          <w:kern w:val="0"/>
        </w:rPr>
        <w:t>减少</w:t>
      </w:r>
      <w:r>
        <w:rPr>
          <w:rFonts w:ascii="仿宋_GB2312" w:hAnsi="仿宋" w:hint="eastAsia"/>
          <w:snapToGrid w:val="0"/>
          <w:color w:val="000000" w:themeColor="text1"/>
          <w:spacing w:val="-4"/>
          <w:kern w:val="0"/>
        </w:rPr>
        <w:t>429.26</w:t>
      </w:r>
      <w:r>
        <w:rPr>
          <w:rFonts w:ascii="仿宋_GB2312" w:hAnsi="仿宋" w:hint="eastAsia"/>
          <w:snapToGrid w:val="0"/>
          <w:color w:val="000000" w:themeColor="text1"/>
          <w:spacing w:val="-4"/>
          <w:kern w:val="0"/>
        </w:rPr>
        <w:t>万元，</w:t>
      </w:r>
      <w:r>
        <w:rPr>
          <w:rFonts w:ascii="仿宋_GB2312" w:hAnsi="仿宋" w:hint="eastAsia"/>
          <w:snapToGrid w:val="0"/>
          <w:color w:val="000000" w:themeColor="text1"/>
          <w:spacing w:val="-4"/>
          <w:kern w:val="0"/>
        </w:rPr>
        <w:t>减少</w:t>
      </w:r>
      <w:r>
        <w:rPr>
          <w:rFonts w:ascii="仿宋_GB2312" w:hAnsi="仿宋" w:hint="eastAsia"/>
          <w:snapToGrid w:val="0"/>
          <w:color w:val="000000" w:themeColor="text1"/>
          <w:spacing w:val="-4"/>
          <w:kern w:val="0"/>
        </w:rPr>
        <w:t>95.9</w:t>
      </w:r>
      <w:r>
        <w:rPr>
          <w:rFonts w:ascii="仿宋_GB2312" w:hAnsi="仿宋"/>
          <w:snapToGrid w:val="0"/>
          <w:color w:val="000000" w:themeColor="text1"/>
          <w:spacing w:val="-4"/>
          <w:kern w:val="0"/>
        </w:rPr>
        <w:t>%</w:t>
      </w:r>
      <w:r>
        <w:rPr>
          <w:rFonts w:ascii="仿宋_GB2312" w:hAnsi="仿宋" w:hint="eastAsia"/>
          <w:snapToGrid w:val="0"/>
          <w:color w:val="000000" w:themeColor="text1"/>
          <w:spacing w:val="-4"/>
          <w:kern w:val="0"/>
        </w:rPr>
        <w:t>。主要原因是</w:t>
      </w:r>
      <w:r>
        <w:rPr>
          <w:rFonts w:ascii="仿宋_GB2312" w:hAnsi="仿宋" w:hint="eastAsia"/>
          <w:snapToGrid w:val="0"/>
          <w:color w:val="000000" w:themeColor="text1"/>
          <w:spacing w:val="-4"/>
          <w:kern w:val="0"/>
        </w:rPr>
        <w:t>退休费发放途径改变，退休费预算减少</w:t>
      </w:r>
      <w:r>
        <w:rPr>
          <w:rFonts w:ascii="仿宋_GB2312" w:hAnsi="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9</w:t>
      </w:r>
      <w:r>
        <w:rPr>
          <w:rFonts w:ascii="仿宋_GB2312" w:hAnsi="仿宋" w:hint="eastAsia"/>
          <w:snapToGrid w:val="0"/>
          <w:color w:val="000000" w:themeColor="text1"/>
          <w:spacing w:val="-4"/>
          <w:kern w:val="0"/>
        </w:rPr>
        <w:t>．医疗卫生与计划生育支出</w:t>
      </w:r>
      <w:r>
        <w:rPr>
          <w:rFonts w:ascii="仿宋_GB2312" w:hAnsi="仿宋" w:hint="eastAsia"/>
          <w:snapToGrid w:val="0"/>
          <w:color w:val="000000" w:themeColor="text1"/>
          <w:spacing w:val="-4"/>
          <w:kern w:val="0"/>
        </w:rPr>
        <w:t>177.97</w:t>
      </w:r>
      <w:r>
        <w:rPr>
          <w:rFonts w:ascii="仿宋_GB2312" w:hAnsi="仿宋" w:hint="eastAsia"/>
          <w:snapToGrid w:val="0"/>
          <w:color w:val="000000" w:themeColor="text1"/>
          <w:spacing w:val="-4"/>
          <w:kern w:val="0"/>
        </w:rPr>
        <w:t>万元，</w:t>
      </w:r>
      <w:r>
        <w:rPr>
          <w:rFonts w:ascii="仿宋_GB2312" w:hAnsi="仿宋" w:hint="eastAsia"/>
          <w:color w:val="000000" w:themeColor="text1"/>
        </w:rPr>
        <w:t>主要用于医疗保险</w:t>
      </w:r>
      <w:r>
        <w:rPr>
          <w:rFonts w:ascii="仿宋_GB2312" w:hAnsi="仿宋" w:hint="eastAsia"/>
          <w:snapToGrid w:val="0"/>
          <w:color w:val="000000" w:themeColor="text1"/>
          <w:spacing w:val="-4"/>
          <w:kern w:val="0"/>
        </w:rPr>
        <w:t>。与上年相比增加</w:t>
      </w:r>
      <w:r>
        <w:rPr>
          <w:rFonts w:ascii="仿宋_GB2312" w:hAnsi="仿宋" w:hint="eastAsia"/>
          <w:snapToGrid w:val="0"/>
          <w:color w:val="000000" w:themeColor="text1"/>
          <w:spacing w:val="-4"/>
          <w:kern w:val="0"/>
        </w:rPr>
        <w:t>9.8</w:t>
      </w:r>
      <w:r>
        <w:rPr>
          <w:rFonts w:ascii="仿宋_GB2312" w:hAnsi="仿宋" w:hint="eastAsia"/>
          <w:snapToGrid w:val="0"/>
          <w:color w:val="000000" w:themeColor="text1"/>
          <w:spacing w:val="-4"/>
          <w:kern w:val="0"/>
        </w:rPr>
        <w:t>万元，增长</w:t>
      </w:r>
      <w:r>
        <w:rPr>
          <w:rFonts w:ascii="仿宋_GB2312" w:hAnsi="仿宋" w:hint="eastAsia"/>
          <w:snapToGrid w:val="0"/>
          <w:color w:val="000000" w:themeColor="text1"/>
          <w:spacing w:val="-4"/>
          <w:kern w:val="0"/>
        </w:rPr>
        <w:t>5.8</w:t>
      </w:r>
      <w:r>
        <w:rPr>
          <w:rFonts w:ascii="仿宋_GB2312" w:hAnsi="仿宋"/>
          <w:snapToGrid w:val="0"/>
          <w:color w:val="000000" w:themeColor="text1"/>
          <w:spacing w:val="-4"/>
          <w:kern w:val="0"/>
        </w:rPr>
        <w:t>%</w:t>
      </w:r>
      <w:r>
        <w:rPr>
          <w:rFonts w:ascii="仿宋_GB2312" w:hAnsi="仿宋" w:hint="eastAsia"/>
          <w:snapToGrid w:val="0"/>
          <w:color w:val="000000" w:themeColor="text1"/>
          <w:spacing w:val="-4"/>
          <w:kern w:val="0"/>
        </w:rPr>
        <w:t>。</w:t>
      </w:r>
      <w:r>
        <w:rPr>
          <w:rFonts w:ascii="仿宋_GB2312" w:hAnsi="仿宋" w:hint="eastAsia"/>
          <w:snapToGrid w:val="0"/>
          <w:color w:val="000000" w:themeColor="text1"/>
          <w:spacing w:val="-4"/>
          <w:kern w:val="0"/>
        </w:rPr>
        <w:t>主要原因是社保经费政策性追加调整</w:t>
      </w:r>
      <w:r>
        <w:rPr>
          <w:rFonts w:ascii="仿宋_GB2312" w:hAnsi="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10</w:t>
      </w:r>
      <w:r>
        <w:rPr>
          <w:rFonts w:ascii="仿宋_GB2312" w:hAnsi="仿宋" w:hint="eastAsia"/>
          <w:snapToGrid w:val="0"/>
          <w:color w:val="000000" w:themeColor="text1"/>
          <w:spacing w:val="-4"/>
          <w:kern w:val="0"/>
        </w:rPr>
        <w:t>．节能环保支出</w:t>
      </w:r>
      <w:r>
        <w:rPr>
          <w:rFonts w:ascii="仿宋_GB2312" w:hAnsi="仿宋" w:hint="eastAsia"/>
          <w:snapToGrid w:val="0"/>
          <w:color w:val="000000" w:themeColor="text1"/>
          <w:spacing w:val="-4"/>
          <w:kern w:val="0"/>
        </w:rPr>
        <w:t>10654.27</w:t>
      </w:r>
      <w:r>
        <w:rPr>
          <w:rFonts w:ascii="仿宋_GB2312" w:hAnsi="仿宋" w:hint="eastAsia"/>
          <w:snapToGrid w:val="0"/>
          <w:color w:val="000000" w:themeColor="text1"/>
          <w:spacing w:val="-4"/>
          <w:kern w:val="0"/>
        </w:rPr>
        <w:t>万元，</w:t>
      </w:r>
      <w:r>
        <w:rPr>
          <w:rFonts w:ascii="仿宋_GB2312" w:hAnsi="仿宋" w:hint="eastAsia"/>
          <w:color w:val="000000" w:themeColor="text1"/>
        </w:rPr>
        <w:t>主要用于环境保护管理事务、环境监测监察、污染减排、治理大气、水体、噪声、固体废弃物、放射性物质等方面的支出</w:t>
      </w:r>
      <w:r>
        <w:rPr>
          <w:rFonts w:ascii="仿宋_GB2312" w:hAnsi="仿宋" w:hint="eastAsia"/>
          <w:snapToGrid w:val="0"/>
          <w:color w:val="000000" w:themeColor="text1"/>
          <w:spacing w:val="-4"/>
          <w:kern w:val="0"/>
        </w:rPr>
        <w:t>。与上年相比增加</w:t>
      </w:r>
      <w:r>
        <w:rPr>
          <w:rFonts w:ascii="仿宋_GB2312" w:hAnsi="仿宋" w:hint="eastAsia"/>
          <w:snapToGrid w:val="0"/>
          <w:color w:val="000000" w:themeColor="text1"/>
          <w:spacing w:val="-4"/>
          <w:kern w:val="0"/>
        </w:rPr>
        <w:t>1677.77</w:t>
      </w:r>
      <w:r>
        <w:rPr>
          <w:rFonts w:ascii="仿宋_GB2312" w:hAnsi="仿宋" w:hint="eastAsia"/>
          <w:snapToGrid w:val="0"/>
          <w:color w:val="000000" w:themeColor="text1"/>
          <w:spacing w:val="-4"/>
          <w:kern w:val="0"/>
        </w:rPr>
        <w:t>万元，增加</w:t>
      </w:r>
      <w:r>
        <w:rPr>
          <w:rFonts w:ascii="仿宋_GB2312" w:hAnsi="仿宋" w:hint="eastAsia"/>
          <w:snapToGrid w:val="0"/>
          <w:color w:val="000000" w:themeColor="text1"/>
          <w:spacing w:val="-4"/>
          <w:kern w:val="0"/>
        </w:rPr>
        <w:t>1</w:t>
      </w:r>
      <w:r>
        <w:rPr>
          <w:rFonts w:ascii="仿宋_GB2312" w:hAnsi="仿宋" w:hint="eastAsia"/>
          <w:snapToGrid w:val="0"/>
          <w:color w:val="000000" w:themeColor="text1"/>
          <w:spacing w:val="-4"/>
          <w:kern w:val="0"/>
        </w:rPr>
        <w:t>8.</w:t>
      </w:r>
      <w:r>
        <w:rPr>
          <w:rFonts w:ascii="仿宋_GB2312" w:hAnsi="仿宋" w:hint="eastAsia"/>
          <w:snapToGrid w:val="0"/>
          <w:color w:val="000000" w:themeColor="text1"/>
          <w:spacing w:val="-4"/>
          <w:kern w:val="0"/>
        </w:rPr>
        <w:t>7</w:t>
      </w:r>
      <w:r>
        <w:rPr>
          <w:rFonts w:ascii="仿宋_GB2312" w:hAnsi="仿宋"/>
          <w:snapToGrid w:val="0"/>
          <w:color w:val="000000" w:themeColor="text1"/>
          <w:spacing w:val="-4"/>
          <w:kern w:val="0"/>
        </w:rPr>
        <w:t>%</w:t>
      </w:r>
      <w:r>
        <w:rPr>
          <w:rFonts w:ascii="仿宋_GB2312" w:hAnsi="仿宋" w:hint="eastAsia"/>
          <w:snapToGrid w:val="0"/>
          <w:color w:val="000000" w:themeColor="text1"/>
          <w:spacing w:val="-4"/>
          <w:kern w:val="0"/>
        </w:rPr>
        <w:t>。主要原因是</w:t>
      </w:r>
      <w:r>
        <w:rPr>
          <w:rFonts w:ascii="华文仿宋" w:eastAsia="华文仿宋" w:hAnsi="华文仿宋" w:cs="华文仿宋" w:hint="eastAsia"/>
          <w:snapToGrid w:val="0"/>
          <w:color w:val="000000" w:themeColor="text1"/>
          <w:spacing w:val="-4"/>
          <w:kern w:val="0"/>
        </w:rPr>
        <w:t>1</w:t>
      </w:r>
      <w:r>
        <w:rPr>
          <w:rFonts w:ascii="华文仿宋" w:eastAsia="华文仿宋" w:hAnsi="华文仿宋" w:cs="华文仿宋" w:hint="eastAsia"/>
          <w:snapToGrid w:val="0"/>
          <w:color w:val="000000" w:themeColor="text1"/>
          <w:spacing w:val="-4"/>
          <w:kern w:val="0"/>
        </w:rPr>
        <w:t>、正常性经费的政策性追加，</w:t>
      </w:r>
      <w:r>
        <w:rPr>
          <w:rFonts w:ascii="华文仿宋" w:eastAsia="华文仿宋" w:hAnsi="华文仿宋" w:cs="华文仿宋" w:hint="eastAsia"/>
          <w:snapToGrid w:val="0"/>
          <w:color w:val="000000" w:themeColor="text1"/>
          <w:spacing w:val="-4"/>
          <w:kern w:val="0"/>
        </w:rPr>
        <w:t>2</w:t>
      </w:r>
      <w:r>
        <w:rPr>
          <w:rFonts w:ascii="华文仿宋" w:eastAsia="华文仿宋" w:hAnsi="华文仿宋" w:cs="华文仿宋" w:hint="eastAsia"/>
          <w:snapToGrid w:val="0"/>
          <w:color w:val="000000" w:themeColor="text1"/>
          <w:spacing w:val="-4"/>
          <w:kern w:val="0"/>
        </w:rPr>
        <w:t>、环保专项资金</w:t>
      </w:r>
      <w:r>
        <w:rPr>
          <w:rFonts w:ascii="华文仿宋" w:eastAsia="华文仿宋" w:hAnsi="华文仿宋" w:cs="华文仿宋" w:hint="eastAsia"/>
          <w:snapToGrid w:val="0"/>
          <w:color w:val="000000" w:themeColor="text1"/>
          <w:spacing w:val="-4"/>
          <w:kern w:val="0"/>
        </w:rPr>
        <w:t>增加</w:t>
      </w:r>
      <w:r>
        <w:rPr>
          <w:rFonts w:ascii="仿宋_GB2312" w:hAnsi="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仿宋_GB2312" w:hAnsi="仿宋"/>
          <w:snapToGrid w:val="0"/>
          <w:color w:val="C00000"/>
          <w:spacing w:val="-4"/>
          <w:kern w:val="0"/>
          <w:sz w:val="28"/>
          <w:szCs w:val="28"/>
        </w:rPr>
      </w:pPr>
      <w:r>
        <w:rPr>
          <w:rFonts w:ascii="仿宋_GB2312" w:hAnsi="仿宋" w:hint="eastAsia"/>
          <w:snapToGrid w:val="0"/>
          <w:color w:val="000000" w:themeColor="text1"/>
          <w:spacing w:val="-4"/>
          <w:kern w:val="0"/>
        </w:rPr>
        <w:t>11.</w:t>
      </w:r>
      <w:r>
        <w:rPr>
          <w:rFonts w:ascii="仿宋_GB2312" w:hAnsi="仿宋" w:hint="eastAsia"/>
          <w:snapToGrid w:val="0"/>
          <w:color w:val="000000" w:themeColor="text1"/>
          <w:spacing w:val="-4"/>
          <w:kern w:val="0"/>
        </w:rPr>
        <w:t>城乡社区支出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万元，主要用于城市长效管理奖励。与上年相比减少</w:t>
      </w:r>
      <w:r>
        <w:rPr>
          <w:rFonts w:ascii="仿宋_GB2312" w:hAnsi="仿宋" w:hint="eastAsia"/>
          <w:snapToGrid w:val="0"/>
          <w:color w:val="000000" w:themeColor="text1"/>
          <w:spacing w:val="-4"/>
          <w:kern w:val="0"/>
        </w:rPr>
        <w:t>2.18</w:t>
      </w:r>
      <w:r>
        <w:rPr>
          <w:rFonts w:ascii="仿宋_GB2312" w:hAnsi="仿宋" w:hint="eastAsia"/>
          <w:snapToGrid w:val="0"/>
          <w:color w:val="000000" w:themeColor="text1"/>
          <w:spacing w:val="-4"/>
          <w:kern w:val="0"/>
        </w:rPr>
        <w:t>万元，减少</w:t>
      </w:r>
      <w:r>
        <w:rPr>
          <w:rFonts w:ascii="仿宋_GB2312" w:hAnsi="仿宋" w:hint="eastAsia"/>
          <w:snapToGrid w:val="0"/>
          <w:color w:val="000000" w:themeColor="text1"/>
          <w:spacing w:val="-4"/>
          <w:kern w:val="0"/>
        </w:rPr>
        <w:t>100</w:t>
      </w:r>
      <w:r>
        <w:rPr>
          <w:rFonts w:ascii="仿宋_GB2312" w:hAnsi="仿宋" w:hint="eastAsia"/>
          <w:snapToGrid w:val="0"/>
          <w:color w:val="000000" w:themeColor="text1"/>
          <w:spacing w:val="-4"/>
          <w:kern w:val="0"/>
        </w:rPr>
        <w:t>%</w:t>
      </w:r>
      <w:r>
        <w:rPr>
          <w:rFonts w:ascii="仿宋_GB2312" w:hAnsi="仿宋" w:hint="eastAsia"/>
          <w:snapToGrid w:val="0"/>
          <w:color w:val="000000" w:themeColor="text1"/>
          <w:spacing w:val="-4"/>
          <w:kern w:val="0"/>
        </w:rPr>
        <w:t>。主要原因为</w:t>
      </w:r>
      <w:r>
        <w:rPr>
          <w:rFonts w:ascii="仿宋_GB2312" w:hAnsi="仿宋" w:hint="eastAsia"/>
          <w:snapToGrid w:val="0"/>
          <w:color w:val="000000" w:themeColor="text1"/>
          <w:spacing w:val="-4"/>
          <w:kern w:val="0"/>
        </w:rPr>
        <w:t>本年度无</w:t>
      </w:r>
      <w:r>
        <w:rPr>
          <w:rFonts w:ascii="仿宋_GB2312" w:hAnsi="仿宋" w:hint="eastAsia"/>
          <w:snapToGrid w:val="0"/>
          <w:color w:val="000000" w:themeColor="text1"/>
          <w:spacing w:val="-4"/>
          <w:kern w:val="0"/>
        </w:rPr>
        <w:t>城市长效管理奖励资金。</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12. </w:t>
      </w:r>
      <w:r>
        <w:rPr>
          <w:rFonts w:ascii="仿宋_GB2312" w:hAnsi="仿宋" w:hint="eastAsia"/>
          <w:snapToGrid w:val="0"/>
          <w:color w:val="000000" w:themeColor="text1"/>
          <w:spacing w:val="-4"/>
          <w:kern w:val="0"/>
        </w:rPr>
        <w:t>农林水（类）支出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。主要原因是本部门无农林水（类）支出。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13. </w:t>
      </w:r>
      <w:r>
        <w:rPr>
          <w:rFonts w:ascii="仿宋_GB2312" w:hAnsi="仿宋" w:hint="eastAsia"/>
          <w:snapToGrid w:val="0"/>
          <w:color w:val="000000" w:themeColor="text1"/>
          <w:spacing w:val="-4"/>
          <w:kern w:val="0"/>
        </w:rPr>
        <w:t>交通运输（类）支出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w:t>
      </w:r>
      <w:r>
        <w:rPr>
          <w:rFonts w:ascii="仿宋_GB2312" w:hAnsi="仿宋" w:hint="eastAsia"/>
          <w:snapToGrid w:val="0"/>
          <w:color w:val="000000" w:themeColor="text1"/>
          <w:spacing w:val="-4"/>
          <w:kern w:val="0"/>
        </w:rPr>
        <w:lastRenderedPageBreak/>
        <w:t>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。主要原因是本部门无交通运输（类）支出。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14. </w:t>
      </w:r>
      <w:r>
        <w:rPr>
          <w:rFonts w:ascii="仿宋_GB2312" w:hAnsi="仿宋" w:hint="eastAsia"/>
          <w:snapToGrid w:val="0"/>
          <w:color w:val="000000" w:themeColor="text1"/>
          <w:spacing w:val="-4"/>
          <w:kern w:val="0"/>
        </w:rPr>
        <w:t>资源勘探信息等（类）支出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。主要原因是本部门无资源勘探信息等（类）支出。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15. </w:t>
      </w:r>
      <w:r>
        <w:rPr>
          <w:rFonts w:ascii="仿宋_GB2312" w:hAnsi="仿宋" w:hint="eastAsia"/>
          <w:snapToGrid w:val="0"/>
          <w:color w:val="000000" w:themeColor="text1"/>
          <w:spacing w:val="-4"/>
          <w:kern w:val="0"/>
        </w:rPr>
        <w:t>商业服务业等（类）支出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。主要原因是本部门无商业服务业等（类）支出。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16. </w:t>
      </w:r>
      <w:r>
        <w:rPr>
          <w:rFonts w:ascii="仿宋_GB2312" w:hAnsi="仿宋" w:hint="eastAsia"/>
          <w:snapToGrid w:val="0"/>
          <w:color w:val="000000" w:themeColor="text1"/>
          <w:spacing w:val="-4"/>
          <w:kern w:val="0"/>
        </w:rPr>
        <w:t>金融（类）支出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w:t>
      </w:r>
      <w:r>
        <w:rPr>
          <w:rFonts w:ascii="仿宋_GB2312" w:hAnsi="仿宋" w:hint="eastAsia"/>
          <w:snapToGrid w:val="0"/>
          <w:color w:val="000000" w:themeColor="text1"/>
          <w:spacing w:val="-4"/>
          <w:kern w:val="0"/>
        </w:rPr>
        <w:t>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。主要原因是本部门无金融（类）支出。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17. </w:t>
      </w:r>
      <w:r>
        <w:rPr>
          <w:rFonts w:ascii="仿宋_GB2312" w:hAnsi="仿宋" w:hint="eastAsia"/>
          <w:snapToGrid w:val="0"/>
          <w:color w:val="000000" w:themeColor="text1"/>
          <w:spacing w:val="-4"/>
          <w:kern w:val="0"/>
        </w:rPr>
        <w:t>援助其他地区（类）支出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。主要原因是本部门无援助其他地区（类）支出。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18. </w:t>
      </w:r>
      <w:r>
        <w:rPr>
          <w:rFonts w:ascii="仿宋_GB2312" w:hAnsi="仿宋" w:hint="eastAsia"/>
          <w:snapToGrid w:val="0"/>
          <w:color w:val="000000" w:themeColor="text1"/>
          <w:spacing w:val="-4"/>
          <w:kern w:val="0"/>
        </w:rPr>
        <w:t>国土海洋气象等（类）支出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。主要原因是本部门无国土海洋气象等（类）支出。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19</w:t>
      </w:r>
      <w:r>
        <w:rPr>
          <w:rFonts w:ascii="仿宋_GB2312" w:hAnsi="仿宋" w:hint="eastAsia"/>
          <w:snapToGrid w:val="0"/>
          <w:color w:val="000000" w:themeColor="text1"/>
          <w:spacing w:val="-4"/>
          <w:kern w:val="0"/>
        </w:rPr>
        <w:t>．住房保障支出</w:t>
      </w:r>
      <w:r>
        <w:rPr>
          <w:rFonts w:ascii="仿宋_GB2312" w:hAnsi="仿宋" w:hint="eastAsia"/>
          <w:snapToGrid w:val="0"/>
          <w:color w:val="000000" w:themeColor="text1"/>
          <w:spacing w:val="-4"/>
          <w:kern w:val="0"/>
        </w:rPr>
        <w:t>971.66</w:t>
      </w:r>
      <w:r>
        <w:rPr>
          <w:rFonts w:ascii="仿宋_GB2312" w:hAnsi="仿宋" w:hint="eastAsia"/>
          <w:snapToGrid w:val="0"/>
          <w:color w:val="000000" w:themeColor="text1"/>
          <w:spacing w:val="-4"/>
          <w:kern w:val="0"/>
        </w:rPr>
        <w:t>万元，</w:t>
      </w:r>
      <w:r>
        <w:rPr>
          <w:rFonts w:ascii="仿宋_GB2312" w:hAnsi="仿宋" w:hint="eastAsia"/>
          <w:color w:val="000000" w:themeColor="text1"/>
        </w:rPr>
        <w:t>主要用于职工的住房公积金、购房补贴、提租补贴等支出</w:t>
      </w:r>
      <w:r>
        <w:rPr>
          <w:rFonts w:ascii="仿宋_GB2312" w:hAnsi="仿宋" w:hint="eastAsia"/>
          <w:snapToGrid w:val="0"/>
          <w:color w:val="000000" w:themeColor="text1"/>
          <w:spacing w:val="-4"/>
          <w:kern w:val="0"/>
        </w:rPr>
        <w:t>。与上年相比增加</w:t>
      </w:r>
      <w:r>
        <w:rPr>
          <w:rFonts w:ascii="仿宋_GB2312" w:hAnsi="仿宋" w:hint="eastAsia"/>
          <w:snapToGrid w:val="0"/>
          <w:color w:val="000000" w:themeColor="text1"/>
          <w:spacing w:val="-4"/>
          <w:kern w:val="0"/>
        </w:rPr>
        <w:t>309.31</w:t>
      </w:r>
      <w:r>
        <w:rPr>
          <w:rFonts w:ascii="仿宋_GB2312" w:hAnsi="仿宋" w:hint="eastAsia"/>
          <w:snapToGrid w:val="0"/>
          <w:color w:val="000000" w:themeColor="text1"/>
          <w:spacing w:val="-4"/>
          <w:kern w:val="0"/>
        </w:rPr>
        <w:t>万元，增长</w:t>
      </w:r>
      <w:r>
        <w:rPr>
          <w:rFonts w:ascii="仿宋_GB2312" w:hAnsi="仿宋" w:hint="eastAsia"/>
          <w:snapToGrid w:val="0"/>
          <w:color w:val="000000" w:themeColor="text1"/>
          <w:spacing w:val="-4"/>
          <w:kern w:val="0"/>
        </w:rPr>
        <w:t>46.7</w:t>
      </w:r>
      <w:r>
        <w:rPr>
          <w:rFonts w:ascii="仿宋_GB2312" w:hAnsi="仿宋"/>
          <w:snapToGrid w:val="0"/>
          <w:color w:val="000000" w:themeColor="text1"/>
          <w:spacing w:val="-4"/>
          <w:kern w:val="0"/>
        </w:rPr>
        <w:t>%</w:t>
      </w:r>
      <w:r>
        <w:rPr>
          <w:rFonts w:ascii="仿宋_GB2312" w:hAnsi="仿宋" w:hint="eastAsia"/>
          <w:snapToGrid w:val="0"/>
          <w:color w:val="000000" w:themeColor="text1"/>
          <w:spacing w:val="-4"/>
          <w:kern w:val="0"/>
        </w:rPr>
        <w:t>。主要原因是</w:t>
      </w:r>
      <w:r>
        <w:rPr>
          <w:rFonts w:ascii="仿宋_GB2312" w:hAnsi="仿宋" w:hint="eastAsia"/>
          <w:snapToGrid w:val="0"/>
          <w:color w:val="000000" w:themeColor="text1"/>
          <w:spacing w:val="-4"/>
          <w:kern w:val="0"/>
        </w:rPr>
        <w:t>住房保障支出</w:t>
      </w:r>
      <w:r>
        <w:rPr>
          <w:rFonts w:ascii="仿宋_GB2312" w:hAnsi="仿宋" w:hint="eastAsia"/>
          <w:snapToGrid w:val="0"/>
          <w:color w:val="000000" w:themeColor="text1"/>
          <w:spacing w:val="-4"/>
          <w:kern w:val="0"/>
        </w:rPr>
        <w:t>政策性追加。</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20. </w:t>
      </w:r>
      <w:r>
        <w:rPr>
          <w:rFonts w:ascii="仿宋_GB2312" w:hAnsi="仿宋" w:hint="eastAsia"/>
          <w:snapToGrid w:val="0"/>
          <w:color w:val="000000" w:themeColor="text1"/>
          <w:spacing w:val="-4"/>
          <w:kern w:val="0"/>
        </w:rPr>
        <w:t>粮油物资储备（类）支出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。主要原因是本部门无粮油物资储备（类）支出。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21. </w:t>
      </w:r>
      <w:r>
        <w:rPr>
          <w:rFonts w:ascii="仿宋_GB2312" w:hAnsi="仿宋" w:hint="eastAsia"/>
          <w:snapToGrid w:val="0"/>
          <w:color w:val="000000" w:themeColor="text1"/>
          <w:spacing w:val="-4"/>
          <w:kern w:val="0"/>
        </w:rPr>
        <w:t>其他（类）支出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万元，与上年相比减少</w:t>
      </w:r>
      <w:r>
        <w:rPr>
          <w:rFonts w:ascii="仿宋_GB2312" w:hAnsi="仿宋" w:hint="eastAsia"/>
          <w:snapToGrid w:val="0"/>
          <w:color w:val="000000" w:themeColor="text1"/>
          <w:spacing w:val="-4"/>
          <w:kern w:val="0"/>
        </w:rPr>
        <w:t>14.1</w:t>
      </w:r>
      <w:r>
        <w:rPr>
          <w:rFonts w:ascii="仿宋_GB2312" w:hAnsi="仿宋" w:hint="eastAsia"/>
          <w:snapToGrid w:val="0"/>
          <w:color w:val="000000" w:themeColor="text1"/>
          <w:spacing w:val="-4"/>
          <w:kern w:val="0"/>
        </w:rPr>
        <w:t>万元，减少</w:t>
      </w:r>
      <w:r>
        <w:rPr>
          <w:rFonts w:ascii="仿宋_GB2312" w:hAnsi="仿宋" w:hint="eastAsia"/>
          <w:snapToGrid w:val="0"/>
          <w:color w:val="000000" w:themeColor="text1"/>
          <w:spacing w:val="-4"/>
          <w:kern w:val="0"/>
        </w:rPr>
        <w:t>100%</w:t>
      </w:r>
      <w:r>
        <w:rPr>
          <w:rFonts w:ascii="仿宋_GB2312" w:hAnsi="仿宋" w:hint="eastAsia"/>
          <w:snapToGrid w:val="0"/>
          <w:color w:val="000000" w:themeColor="text1"/>
          <w:spacing w:val="-4"/>
          <w:kern w:val="0"/>
        </w:rPr>
        <w:t>。主要原因是</w:t>
      </w:r>
      <w:r>
        <w:rPr>
          <w:rFonts w:ascii="仿宋_GB2312" w:hAnsi="仿宋" w:hint="eastAsia"/>
          <w:snapToGrid w:val="0"/>
          <w:color w:val="000000" w:themeColor="text1"/>
          <w:spacing w:val="-4"/>
          <w:kern w:val="0"/>
        </w:rPr>
        <w:t>201</w:t>
      </w:r>
      <w:r>
        <w:rPr>
          <w:rFonts w:ascii="仿宋_GB2312" w:hAnsi="仿宋" w:hint="eastAsia"/>
          <w:snapToGrid w:val="0"/>
          <w:color w:val="000000" w:themeColor="text1"/>
          <w:spacing w:val="-4"/>
          <w:kern w:val="0"/>
        </w:rPr>
        <w:t>8</w:t>
      </w:r>
      <w:r>
        <w:rPr>
          <w:rFonts w:ascii="仿宋_GB2312" w:hAnsi="仿宋" w:hint="eastAsia"/>
          <w:snapToGrid w:val="0"/>
          <w:color w:val="000000" w:themeColor="text1"/>
          <w:spacing w:val="-4"/>
          <w:kern w:val="0"/>
        </w:rPr>
        <w:t>年度无</w:t>
      </w:r>
      <w:r>
        <w:rPr>
          <w:rFonts w:ascii="仿宋_GB2312" w:hAnsi="仿宋" w:hint="eastAsia"/>
          <w:snapToGrid w:val="0"/>
          <w:color w:val="000000" w:themeColor="text1"/>
          <w:spacing w:val="-4"/>
          <w:kern w:val="0"/>
        </w:rPr>
        <w:t>相关</w:t>
      </w:r>
      <w:r>
        <w:rPr>
          <w:rFonts w:ascii="仿宋_GB2312" w:hAnsi="仿宋" w:hint="eastAsia"/>
          <w:snapToGrid w:val="0"/>
          <w:color w:val="000000" w:themeColor="text1"/>
          <w:spacing w:val="-4"/>
          <w:kern w:val="0"/>
        </w:rPr>
        <w:t>专项资金</w:t>
      </w:r>
      <w:r>
        <w:rPr>
          <w:rFonts w:ascii="仿宋_GB2312" w:hAnsi="仿宋" w:hint="eastAsia"/>
          <w:snapToGrid w:val="0"/>
          <w:color w:val="000000" w:themeColor="text1"/>
          <w:spacing w:val="-4"/>
          <w:kern w:val="0"/>
        </w:rPr>
        <w:t>拨入</w:t>
      </w:r>
      <w:r>
        <w:rPr>
          <w:rFonts w:ascii="仿宋_GB2312" w:hAnsi="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22. </w:t>
      </w:r>
      <w:r>
        <w:rPr>
          <w:rFonts w:ascii="仿宋_GB2312" w:hAnsi="仿宋" w:hint="eastAsia"/>
          <w:snapToGrid w:val="0"/>
          <w:color w:val="000000" w:themeColor="text1"/>
          <w:spacing w:val="-4"/>
          <w:kern w:val="0"/>
        </w:rPr>
        <w:t>债务还本（类）支出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。主要原因是本部门无债务还本（类）支出。</w:t>
      </w:r>
    </w:p>
    <w:p w:rsidR="000C0FB9" w:rsidRDefault="009E755C" w:rsidP="007337CC">
      <w:pPr>
        <w:autoSpaceDE w:val="0"/>
        <w:autoSpaceDN w:val="0"/>
        <w:adjustRightInd w:val="0"/>
        <w:snapToGrid w:val="0"/>
        <w:spacing w:line="570" w:lineRule="exact"/>
        <w:ind w:firstLine="624"/>
        <w:rPr>
          <w:rFonts w:ascii="仿宋_GB2312" w:hAnsi="仿宋"/>
          <w:snapToGrid w:val="0"/>
          <w:color w:val="000000" w:themeColor="text1"/>
          <w:spacing w:val="-4"/>
          <w:kern w:val="0"/>
        </w:rPr>
      </w:pPr>
      <w:r>
        <w:rPr>
          <w:rFonts w:ascii="仿宋_GB2312" w:hAnsi="仿宋" w:hint="eastAsia"/>
          <w:snapToGrid w:val="0"/>
          <w:color w:val="000000" w:themeColor="text1"/>
          <w:spacing w:val="-4"/>
          <w:kern w:val="0"/>
        </w:rPr>
        <w:t xml:space="preserve">23. </w:t>
      </w:r>
      <w:r>
        <w:rPr>
          <w:rFonts w:ascii="仿宋_GB2312" w:hAnsi="仿宋" w:hint="eastAsia"/>
          <w:snapToGrid w:val="0"/>
          <w:color w:val="000000" w:themeColor="text1"/>
          <w:spacing w:val="-4"/>
          <w:kern w:val="0"/>
        </w:rPr>
        <w:t>债务付息（类）支出</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万元，与上年相比无增减，增减</w:t>
      </w:r>
      <w:r>
        <w:rPr>
          <w:rFonts w:ascii="仿宋_GB2312" w:hAnsi="仿宋" w:hint="eastAsia"/>
          <w:snapToGrid w:val="0"/>
          <w:color w:val="000000" w:themeColor="text1"/>
          <w:spacing w:val="-4"/>
          <w:kern w:val="0"/>
        </w:rPr>
        <w:t>0%</w:t>
      </w:r>
      <w:r>
        <w:rPr>
          <w:rFonts w:ascii="仿宋_GB2312" w:hAnsi="仿宋" w:hint="eastAsia"/>
          <w:snapToGrid w:val="0"/>
          <w:color w:val="000000" w:themeColor="text1"/>
          <w:spacing w:val="-4"/>
          <w:kern w:val="0"/>
        </w:rPr>
        <w:t>。主要原因是本部门无债务付息（类）支出。</w:t>
      </w:r>
    </w:p>
    <w:p w:rsidR="000C0FB9" w:rsidRDefault="009E755C">
      <w:pPr>
        <w:spacing w:line="570" w:lineRule="exact"/>
        <w:ind w:firstLine="640"/>
        <w:rPr>
          <w:rFonts w:ascii="仿宋_GB2312" w:hAnsi="仿宋_GB2312"/>
          <w:color w:val="000000" w:themeColor="text1"/>
        </w:rPr>
      </w:pPr>
      <w:r>
        <w:rPr>
          <w:rFonts w:ascii="仿宋_GB2312" w:hint="eastAsia"/>
          <w:color w:val="000000" w:themeColor="text1"/>
        </w:rPr>
        <w:t>24</w:t>
      </w:r>
      <w:r>
        <w:rPr>
          <w:rFonts w:ascii="仿宋_GB2312" w:hint="eastAsia"/>
          <w:color w:val="000000" w:themeColor="text1"/>
        </w:rPr>
        <w:t>．结余分配</w:t>
      </w:r>
      <w:r>
        <w:rPr>
          <w:rFonts w:ascii="仿宋_GB2312" w:hint="eastAsia"/>
          <w:color w:val="000000" w:themeColor="text1"/>
        </w:rPr>
        <w:t>3.2</w:t>
      </w:r>
      <w:r>
        <w:rPr>
          <w:rFonts w:ascii="仿宋_GB2312" w:hint="eastAsia"/>
          <w:color w:val="000000" w:themeColor="text1"/>
        </w:rPr>
        <w:t>万元，</w:t>
      </w:r>
      <w:r>
        <w:rPr>
          <w:rFonts w:ascii="仿宋_GB2312" w:hAnsi="仿宋_GB2312"/>
        </w:rPr>
        <w:t>为单位当年结余的分配情况，主要是</w:t>
      </w:r>
      <w:r>
        <w:rPr>
          <w:rFonts w:ascii="仿宋_GB2312" w:hAnsi="仿宋_GB2312" w:hint="eastAsia"/>
        </w:rPr>
        <w:t>常州市环境监测中心</w:t>
      </w:r>
      <w:r>
        <w:rPr>
          <w:rFonts w:ascii="仿宋_GB2312" w:hAnsi="仿宋_GB2312"/>
        </w:rPr>
        <w:t>对非财政补助结</w:t>
      </w:r>
      <w:r>
        <w:rPr>
          <w:rFonts w:ascii="仿宋_GB2312" w:hAnsi="仿宋_GB2312"/>
        </w:rPr>
        <w:t>余按规定计算</w:t>
      </w:r>
      <w:r>
        <w:rPr>
          <w:rFonts w:ascii="仿宋_GB2312" w:hAnsi="仿宋_GB2312"/>
        </w:rPr>
        <w:lastRenderedPageBreak/>
        <w:t>转入事业基金。与上年相比增加</w:t>
      </w:r>
      <w:r>
        <w:rPr>
          <w:rFonts w:ascii="仿宋_GB2312" w:hAnsi="仿宋_GB2312" w:hint="eastAsia"/>
        </w:rPr>
        <w:t>3.2</w:t>
      </w:r>
      <w:r>
        <w:rPr>
          <w:rFonts w:ascii="仿宋_GB2312" w:hAnsi="仿宋_GB2312"/>
        </w:rPr>
        <w:t>万元，增长</w:t>
      </w:r>
      <w:r>
        <w:rPr>
          <w:rFonts w:ascii="仿宋_GB2312" w:hAnsi="仿宋_GB2312" w:hint="eastAsia"/>
        </w:rPr>
        <w:t>100</w:t>
      </w:r>
      <w:r>
        <w:rPr>
          <w:rFonts w:ascii="仿宋_GB2312" w:hAnsi="仿宋_GB2312"/>
        </w:rPr>
        <w:t>%</w:t>
      </w:r>
      <w:r>
        <w:rPr>
          <w:rFonts w:ascii="仿宋_GB2312" w:hAnsi="仿宋_GB2312"/>
        </w:rPr>
        <w:t>。</w:t>
      </w:r>
      <w:r>
        <w:rPr>
          <w:rFonts w:ascii="仿宋_GB2312" w:hAnsi="仿宋_GB2312"/>
          <w:color w:val="000000" w:themeColor="text1"/>
        </w:rPr>
        <w:t>主要原因是</w:t>
      </w:r>
      <w:r>
        <w:rPr>
          <w:rFonts w:ascii="仿宋_GB2312" w:hAnsi="仿宋_GB2312" w:hint="eastAsia"/>
          <w:color w:val="000000" w:themeColor="text1"/>
        </w:rPr>
        <w:t>常州市环境监测中心</w:t>
      </w:r>
      <w:r>
        <w:rPr>
          <w:rFonts w:ascii="仿宋_GB2312" w:hAnsi="仿宋_GB2312" w:hint="eastAsia"/>
          <w:color w:val="000000" w:themeColor="text1"/>
        </w:rPr>
        <w:t>18</w:t>
      </w:r>
      <w:r>
        <w:rPr>
          <w:rFonts w:ascii="仿宋_GB2312" w:hAnsi="仿宋_GB2312" w:hint="eastAsia"/>
          <w:color w:val="000000" w:themeColor="text1"/>
        </w:rPr>
        <w:t>年非财政补助结余增加</w:t>
      </w:r>
      <w:r>
        <w:rPr>
          <w:rFonts w:ascii="仿宋_GB2312" w:hAnsi="仿宋_GB2312" w:hint="eastAsia"/>
          <w:color w:val="000000" w:themeColor="text1"/>
        </w:rPr>
        <w:t>3.2</w:t>
      </w:r>
      <w:r>
        <w:rPr>
          <w:rFonts w:ascii="仿宋_GB2312" w:hAnsi="仿宋_GB2312" w:hint="eastAsia"/>
          <w:color w:val="000000" w:themeColor="text1"/>
        </w:rPr>
        <w:t>万元</w:t>
      </w:r>
      <w:r>
        <w:rPr>
          <w:rFonts w:ascii="仿宋_GB2312" w:hAnsi="仿宋_GB2312"/>
          <w:color w:val="000000" w:themeColor="text1"/>
        </w:rPr>
        <w:t>。</w:t>
      </w:r>
    </w:p>
    <w:p w:rsidR="000C0FB9" w:rsidRDefault="009E755C">
      <w:pPr>
        <w:spacing w:line="570" w:lineRule="exact"/>
        <w:ind w:firstLine="640"/>
        <w:rPr>
          <w:rFonts w:ascii="仿宋_GB2312" w:hAnsi="仿宋_GB2312"/>
        </w:rPr>
      </w:pPr>
      <w:r>
        <w:rPr>
          <w:rFonts w:ascii="仿宋_GB2312" w:hint="eastAsia"/>
          <w:color w:val="000000" w:themeColor="text1"/>
        </w:rPr>
        <w:t>25</w:t>
      </w:r>
      <w:r>
        <w:rPr>
          <w:rFonts w:ascii="仿宋_GB2312" w:hint="eastAsia"/>
          <w:color w:val="000000" w:themeColor="text1"/>
        </w:rPr>
        <w:t>．年末结转和结余</w:t>
      </w:r>
      <w:r>
        <w:rPr>
          <w:rFonts w:ascii="仿宋_GB2312" w:hint="eastAsia"/>
          <w:color w:val="000000" w:themeColor="text1"/>
        </w:rPr>
        <w:t>1855.9</w:t>
      </w:r>
      <w:r>
        <w:rPr>
          <w:rFonts w:ascii="仿宋_GB2312" w:hint="eastAsia"/>
          <w:color w:val="000000" w:themeColor="text1"/>
        </w:rPr>
        <w:t>万元，为单位结转下年的项目支出结转和结余和经营结余。</w:t>
      </w:r>
      <w:r>
        <w:rPr>
          <w:rFonts w:ascii="仿宋_GB2312" w:hAnsi="仿宋" w:hint="eastAsia"/>
          <w:snapToGrid w:val="0"/>
          <w:color w:val="000000" w:themeColor="text1"/>
          <w:spacing w:val="-4"/>
          <w:kern w:val="0"/>
        </w:rPr>
        <w:t>主要</w:t>
      </w:r>
      <w:r>
        <w:rPr>
          <w:rFonts w:ascii="仿宋_GB2312" w:hAnsi="仿宋" w:hint="eastAsia"/>
          <w:snapToGrid w:val="0"/>
          <w:color w:val="000000" w:themeColor="text1"/>
          <w:spacing w:val="-4"/>
          <w:kern w:val="0"/>
        </w:rPr>
        <w:t>为市环境保护局等单位</w:t>
      </w:r>
      <w:r>
        <w:rPr>
          <w:rFonts w:ascii="仿宋_GB2312" w:hAnsi="仿宋_GB2312"/>
          <w:color w:val="000000" w:themeColor="text1"/>
        </w:rPr>
        <w:t>本年度</w:t>
      </w:r>
      <w:r>
        <w:rPr>
          <w:rFonts w:ascii="仿宋_GB2312" w:hAnsi="仿宋_GB2312" w:hint="eastAsia"/>
          <w:color w:val="000000" w:themeColor="text1"/>
        </w:rPr>
        <w:t>及</w:t>
      </w:r>
      <w:r>
        <w:rPr>
          <w:rFonts w:ascii="仿宋_GB2312" w:hAnsi="仿宋_GB2312"/>
          <w:color w:val="000000" w:themeColor="text1"/>
        </w:rPr>
        <w:t>以前年度预算安排的</w:t>
      </w:r>
      <w:r>
        <w:rPr>
          <w:rFonts w:ascii="仿宋_GB2312" w:hAnsi="仿宋_GB2312" w:hint="eastAsia"/>
          <w:color w:val="000000" w:themeColor="text1"/>
        </w:rPr>
        <w:t>环保专</w:t>
      </w:r>
      <w:r>
        <w:rPr>
          <w:rFonts w:ascii="仿宋_GB2312" w:hAnsi="仿宋_GB2312" w:hint="eastAsia"/>
        </w:rPr>
        <w:t>项等项目</w:t>
      </w:r>
      <w:r>
        <w:rPr>
          <w:rFonts w:ascii="仿宋_GB2312" w:hAnsi="仿宋_GB2312"/>
        </w:rPr>
        <w:t>无法按原计划实施，需要延迟到以后年度按有关规定使用的资金。</w:t>
      </w:r>
    </w:p>
    <w:p w:rsidR="000C0FB9" w:rsidRDefault="009E755C">
      <w:pPr>
        <w:spacing w:line="570" w:lineRule="exact"/>
        <w:ind w:firstLine="640"/>
        <w:rPr>
          <w:rFonts w:ascii="黑体" w:eastAsia="黑体" w:hAnsi="黑体"/>
        </w:rPr>
      </w:pPr>
      <w:r>
        <w:rPr>
          <w:rFonts w:ascii="黑体" w:eastAsia="黑体" w:hAnsi="黑体" w:hint="eastAsia"/>
        </w:rPr>
        <w:t>二、收入决算情况说明</w:t>
      </w:r>
    </w:p>
    <w:p w:rsidR="000C0FB9" w:rsidRDefault="009E755C">
      <w:pPr>
        <w:spacing w:line="550" w:lineRule="exact"/>
        <w:ind w:leftChars="50" w:left="160" w:firstLineChars="150" w:firstLine="480"/>
        <w:rPr>
          <w:i/>
        </w:rPr>
      </w:pPr>
      <w:r>
        <w:rPr>
          <w:rFonts w:ascii="仿宋_GB2312" w:hAnsi="仿宋_GB2312" w:hint="eastAsia"/>
        </w:rPr>
        <w:t>常州市环境保护局</w:t>
      </w:r>
      <w:r>
        <w:rPr>
          <w:rFonts w:ascii="仿宋_GB2312" w:hAnsi="仿宋_GB2312"/>
        </w:rPr>
        <w:t>本年收入合计</w:t>
      </w:r>
      <w:r>
        <w:rPr>
          <w:rFonts w:ascii="仿宋_GB2312" w:hAnsi="仿宋_GB2312" w:hint="eastAsia"/>
        </w:rPr>
        <w:t>12030.01</w:t>
      </w:r>
      <w:r>
        <w:rPr>
          <w:rFonts w:ascii="仿宋_GB2312" w:hAnsi="仿宋_GB2312"/>
        </w:rPr>
        <w:t>万元，其中：财政拨款收入</w:t>
      </w:r>
      <w:r>
        <w:rPr>
          <w:rFonts w:ascii="仿宋_GB2312" w:hAnsi="仿宋_GB2312" w:hint="eastAsia"/>
        </w:rPr>
        <w:t>10401.95</w:t>
      </w:r>
      <w:r>
        <w:rPr>
          <w:rFonts w:ascii="仿宋_GB2312" w:hAnsi="仿宋_GB2312"/>
        </w:rPr>
        <w:t>万元，占</w:t>
      </w:r>
      <w:r>
        <w:rPr>
          <w:rFonts w:ascii="仿宋_GB2312" w:hAnsi="仿宋_GB2312" w:hint="eastAsia"/>
        </w:rPr>
        <w:t>86.5</w:t>
      </w:r>
      <w:r>
        <w:rPr>
          <w:rFonts w:ascii="仿宋_GB2312" w:hAnsi="仿宋_GB2312"/>
        </w:rPr>
        <w:t>%</w:t>
      </w:r>
      <w:r>
        <w:rPr>
          <w:rFonts w:ascii="仿宋_GB2312" w:hAnsi="仿宋_GB2312"/>
        </w:rPr>
        <w:t>；上级补助收入</w:t>
      </w:r>
      <w:r>
        <w:rPr>
          <w:rFonts w:ascii="仿宋_GB2312" w:hAnsi="仿宋_GB2312" w:hint="eastAsia"/>
        </w:rPr>
        <w:t>636.03</w:t>
      </w:r>
      <w:r>
        <w:rPr>
          <w:rFonts w:ascii="仿宋_GB2312" w:hAnsi="仿宋_GB2312"/>
        </w:rPr>
        <w:t>万元，占</w:t>
      </w:r>
      <w:r>
        <w:rPr>
          <w:rFonts w:ascii="仿宋_GB2312" w:hAnsi="仿宋_GB2312" w:hint="eastAsia"/>
        </w:rPr>
        <w:t>5.3</w:t>
      </w:r>
      <w:r>
        <w:rPr>
          <w:rFonts w:ascii="仿宋_GB2312" w:hAnsi="仿宋_GB2312"/>
        </w:rPr>
        <w:t>%</w:t>
      </w:r>
      <w:r>
        <w:rPr>
          <w:rFonts w:ascii="仿宋_GB2312" w:hAnsi="仿宋_GB2312"/>
        </w:rPr>
        <w:t>；事业收入</w:t>
      </w:r>
      <w:r>
        <w:rPr>
          <w:rFonts w:ascii="仿宋_GB2312" w:hAnsi="仿宋_GB2312" w:hint="eastAsia"/>
        </w:rPr>
        <w:t>77.93</w:t>
      </w:r>
      <w:r>
        <w:rPr>
          <w:rFonts w:ascii="仿宋_GB2312" w:hAnsi="仿宋_GB2312"/>
        </w:rPr>
        <w:t>万元，占</w:t>
      </w:r>
      <w:r>
        <w:rPr>
          <w:rFonts w:ascii="仿宋_GB2312" w:hAnsi="仿宋_GB2312" w:hint="eastAsia"/>
        </w:rPr>
        <w:t>0.6</w:t>
      </w:r>
      <w:r>
        <w:rPr>
          <w:rFonts w:ascii="仿宋_GB2312" w:hAnsi="仿宋_GB2312"/>
        </w:rPr>
        <w:t>%</w:t>
      </w:r>
      <w:r>
        <w:rPr>
          <w:rFonts w:ascii="仿宋_GB2312" w:hAnsi="仿宋_GB2312"/>
        </w:rPr>
        <w:t>；经营收入</w:t>
      </w:r>
      <w:r>
        <w:rPr>
          <w:rFonts w:ascii="仿宋_GB2312" w:hAnsi="仿宋_GB2312" w:hint="eastAsia"/>
        </w:rPr>
        <w:t>373.61</w:t>
      </w:r>
      <w:r>
        <w:rPr>
          <w:rFonts w:ascii="仿宋_GB2312" w:hAnsi="仿宋_GB2312"/>
        </w:rPr>
        <w:t>万元，占</w:t>
      </w:r>
      <w:r>
        <w:rPr>
          <w:rFonts w:ascii="仿宋_GB2312" w:hAnsi="仿宋_GB2312" w:hint="eastAsia"/>
        </w:rPr>
        <w:t>3.1</w:t>
      </w:r>
      <w:r>
        <w:rPr>
          <w:rFonts w:ascii="仿宋_GB2312" w:hAnsi="仿宋_GB2312"/>
        </w:rPr>
        <w:t>%</w:t>
      </w:r>
      <w:r>
        <w:rPr>
          <w:rFonts w:ascii="仿宋_GB2312" w:hAnsi="仿宋_GB2312"/>
        </w:rPr>
        <w:t>；</w:t>
      </w:r>
      <w:r>
        <w:t>附属单位上缴收入</w:t>
      </w:r>
      <w:r>
        <w:rPr>
          <w:rFonts w:hint="eastAsia"/>
        </w:rPr>
        <w:t>0</w:t>
      </w:r>
      <w:r>
        <w:t>万元，占</w:t>
      </w:r>
      <w:r>
        <w:rPr>
          <w:rFonts w:hint="eastAsia"/>
        </w:rPr>
        <w:t>0</w:t>
      </w:r>
      <w:r>
        <w:t>%</w:t>
      </w:r>
      <w:r>
        <w:rPr>
          <w:rFonts w:hint="eastAsia"/>
        </w:rPr>
        <w:t>；</w:t>
      </w:r>
      <w:r>
        <w:rPr>
          <w:rFonts w:ascii="仿宋_GB2312" w:hAnsi="仿宋_GB2312"/>
        </w:rPr>
        <w:t>其他收入</w:t>
      </w:r>
      <w:r>
        <w:rPr>
          <w:rFonts w:ascii="仿宋_GB2312" w:hAnsi="仿宋_GB2312" w:hint="eastAsia"/>
        </w:rPr>
        <w:t>540.49</w:t>
      </w:r>
      <w:r>
        <w:rPr>
          <w:rFonts w:ascii="仿宋_GB2312" w:hAnsi="仿宋_GB2312"/>
        </w:rPr>
        <w:t>万元，占</w:t>
      </w:r>
      <w:r>
        <w:rPr>
          <w:rFonts w:ascii="仿宋_GB2312" w:hAnsi="仿宋_GB2312" w:hint="eastAsia"/>
        </w:rPr>
        <w:t>4.5</w:t>
      </w:r>
      <w:r>
        <w:rPr>
          <w:rFonts w:ascii="仿宋_GB2312" w:hAnsi="仿宋_GB2312"/>
        </w:rPr>
        <w:t>%</w:t>
      </w:r>
      <w:r>
        <w:rPr>
          <w:rFonts w:ascii="仿宋_GB2312" w:hAnsi="仿宋_GB2312"/>
        </w:rPr>
        <w:t>。</w:t>
      </w:r>
      <w:r>
        <w:rPr>
          <w:i/>
        </w:rPr>
        <w:t>（可用饼图显示本年支出结构图）</w:t>
      </w:r>
    </w:p>
    <w:p w:rsidR="000C0FB9" w:rsidRDefault="000C0FB9">
      <w:pPr>
        <w:spacing w:line="570" w:lineRule="exact"/>
        <w:ind w:firstLine="640"/>
        <w:rPr>
          <w:rFonts w:ascii="仿宋_GB2312" w:hAnsi="仿宋_GB2312"/>
        </w:rPr>
      </w:pPr>
    </w:p>
    <w:p w:rsidR="000C0FB9" w:rsidRDefault="000C0FB9">
      <w:pPr>
        <w:spacing w:line="570" w:lineRule="exact"/>
        <w:ind w:firstLine="640"/>
        <w:rPr>
          <w:rFonts w:ascii="仿宋_GB2312" w:hAnsi="仿宋_GB2312"/>
        </w:rPr>
      </w:pPr>
    </w:p>
    <w:p w:rsidR="000C0FB9" w:rsidRDefault="009E755C">
      <w:pPr>
        <w:ind w:firstLine="640"/>
        <w:rPr>
          <w:rFonts w:ascii="仿宋_GB2312" w:hAnsi="仿宋_GB2312"/>
        </w:rPr>
      </w:pPr>
      <w:r>
        <w:rPr>
          <w:rFonts w:ascii="仿宋_GB2312" w:hAnsi="仿宋_GB2312" w:hint="eastAsia"/>
          <w:noProof/>
        </w:rPr>
        <w:lastRenderedPageBreak/>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C0FB9" w:rsidRDefault="009E755C">
      <w:pPr>
        <w:spacing w:line="570" w:lineRule="exact"/>
        <w:ind w:firstLine="640"/>
        <w:jc w:val="center"/>
        <w:rPr>
          <w:rFonts w:ascii="仿宋_GB2312" w:hAnsi="仿宋_GB2312"/>
        </w:rPr>
      </w:pPr>
      <w:r>
        <w:rPr>
          <w:rFonts w:ascii="仿宋_GB2312" w:hAnsi="仿宋_GB2312"/>
        </w:rPr>
        <w:t>图</w:t>
      </w:r>
      <w:r>
        <w:rPr>
          <w:rFonts w:ascii="仿宋_GB2312" w:hAnsi="仿宋_GB2312"/>
        </w:rPr>
        <w:t>1</w:t>
      </w:r>
      <w:r>
        <w:rPr>
          <w:rFonts w:ascii="仿宋_GB2312" w:hAnsi="仿宋_GB2312"/>
        </w:rPr>
        <w:t>：收入决算图</w:t>
      </w:r>
    </w:p>
    <w:p w:rsidR="000C0FB9" w:rsidRDefault="009E755C">
      <w:pPr>
        <w:spacing w:line="570" w:lineRule="exact"/>
        <w:ind w:firstLine="640"/>
        <w:rPr>
          <w:rFonts w:ascii="黑体" w:eastAsia="黑体" w:hAnsi="黑体"/>
        </w:rPr>
      </w:pPr>
      <w:r>
        <w:rPr>
          <w:rFonts w:ascii="黑体" w:eastAsia="黑体" w:hAnsi="黑体" w:hint="eastAsia"/>
        </w:rPr>
        <w:t>三、支出决算情况说明</w:t>
      </w:r>
    </w:p>
    <w:p w:rsidR="000C0FB9" w:rsidRDefault="009E755C">
      <w:pPr>
        <w:spacing w:line="550" w:lineRule="exact"/>
        <w:ind w:leftChars="50" w:left="160" w:firstLineChars="150" w:firstLine="480"/>
        <w:rPr>
          <w:i/>
        </w:rPr>
      </w:pPr>
      <w:r>
        <w:rPr>
          <w:rFonts w:ascii="仿宋_GB2312" w:hAnsi="仿宋_GB2312" w:hint="eastAsia"/>
        </w:rPr>
        <w:t>常州市环境保护局</w:t>
      </w:r>
      <w:r>
        <w:rPr>
          <w:rFonts w:ascii="仿宋_GB2312" w:hAnsi="仿宋_GB2312"/>
        </w:rPr>
        <w:t>本年支出合计</w:t>
      </w:r>
      <w:r>
        <w:rPr>
          <w:rFonts w:ascii="仿宋_GB2312" w:hAnsi="仿宋_GB2312" w:hint="eastAsia"/>
        </w:rPr>
        <w:t>11847.89</w:t>
      </w:r>
      <w:r>
        <w:rPr>
          <w:rFonts w:ascii="仿宋_GB2312" w:hAnsi="仿宋_GB2312"/>
        </w:rPr>
        <w:t>万元，其中：基本支出</w:t>
      </w:r>
      <w:r>
        <w:rPr>
          <w:rFonts w:ascii="仿宋_GB2312" w:hAnsi="仿宋_GB2312" w:hint="eastAsia"/>
        </w:rPr>
        <w:t>6022.33</w:t>
      </w:r>
      <w:r>
        <w:rPr>
          <w:rFonts w:ascii="仿宋_GB2312" w:hAnsi="仿宋_GB2312"/>
        </w:rPr>
        <w:t>万元，占</w:t>
      </w:r>
      <w:r>
        <w:rPr>
          <w:rFonts w:ascii="仿宋_GB2312" w:hAnsi="仿宋_GB2312" w:hint="eastAsia"/>
        </w:rPr>
        <w:t>50.8</w:t>
      </w:r>
      <w:r>
        <w:rPr>
          <w:rFonts w:ascii="仿宋_GB2312" w:hAnsi="仿宋_GB2312"/>
        </w:rPr>
        <w:t>%</w:t>
      </w:r>
      <w:r>
        <w:rPr>
          <w:rFonts w:ascii="仿宋_GB2312" w:hAnsi="仿宋_GB2312"/>
        </w:rPr>
        <w:t>；项目支出</w:t>
      </w:r>
      <w:r>
        <w:rPr>
          <w:rFonts w:ascii="仿宋_GB2312" w:hAnsi="仿宋_GB2312" w:hint="eastAsia"/>
        </w:rPr>
        <w:t>5455.15</w:t>
      </w:r>
      <w:r>
        <w:rPr>
          <w:rFonts w:ascii="仿宋_GB2312" w:hAnsi="仿宋_GB2312"/>
        </w:rPr>
        <w:t>万元，占</w:t>
      </w:r>
      <w:r>
        <w:rPr>
          <w:rFonts w:ascii="仿宋_GB2312" w:hAnsi="仿宋_GB2312" w:hint="eastAsia"/>
        </w:rPr>
        <w:t>46.1</w:t>
      </w:r>
      <w:r>
        <w:rPr>
          <w:rFonts w:ascii="仿宋_GB2312" w:hAnsi="仿宋_GB2312"/>
        </w:rPr>
        <w:t>%</w:t>
      </w:r>
      <w:r>
        <w:rPr>
          <w:rFonts w:ascii="仿宋_GB2312" w:hAnsi="仿宋_GB2312"/>
        </w:rPr>
        <w:t>；经营支出</w:t>
      </w:r>
      <w:r>
        <w:rPr>
          <w:rFonts w:ascii="仿宋_GB2312" w:hAnsi="仿宋_GB2312" w:hint="eastAsia"/>
        </w:rPr>
        <w:t>370.41</w:t>
      </w:r>
      <w:r>
        <w:rPr>
          <w:rFonts w:ascii="仿宋_GB2312" w:hAnsi="仿宋_GB2312"/>
        </w:rPr>
        <w:t>万元，占</w:t>
      </w:r>
      <w:r>
        <w:rPr>
          <w:rFonts w:ascii="仿宋_GB2312" w:hAnsi="仿宋_GB2312" w:hint="eastAsia"/>
        </w:rPr>
        <w:t>3.1</w:t>
      </w:r>
      <w:r>
        <w:rPr>
          <w:rFonts w:ascii="仿宋_GB2312" w:hAnsi="仿宋_GB2312"/>
        </w:rPr>
        <w:t>%</w:t>
      </w:r>
      <w:r>
        <w:rPr>
          <w:rFonts w:ascii="仿宋_GB2312" w:hAnsi="仿宋_GB2312" w:hint="eastAsia"/>
        </w:rPr>
        <w:t>；</w:t>
      </w:r>
      <w:r>
        <w:t>对附属单位补助支出</w:t>
      </w:r>
      <w:r>
        <w:rPr>
          <w:rFonts w:hint="eastAsia"/>
        </w:rPr>
        <w:t>0</w:t>
      </w:r>
      <w:r>
        <w:t>万元，占</w:t>
      </w:r>
      <w:r>
        <w:rPr>
          <w:rFonts w:hint="eastAsia"/>
        </w:rPr>
        <w:t>0</w:t>
      </w:r>
      <w:r>
        <w:t>%</w:t>
      </w:r>
      <w:r>
        <w:t>。</w:t>
      </w:r>
      <w:r>
        <w:rPr>
          <w:i/>
        </w:rPr>
        <w:t>（可用饼图显示本年支出结构图）</w:t>
      </w:r>
    </w:p>
    <w:p w:rsidR="000C0FB9" w:rsidRDefault="000C0FB9">
      <w:pPr>
        <w:spacing w:line="570" w:lineRule="exact"/>
        <w:ind w:firstLineChars="300" w:firstLine="960"/>
        <w:rPr>
          <w:rFonts w:ascii="仿宋_GB2312" w:hAnsi="仿宋_GB2312"/>
        </w:rPr>
      </w:pPr>
    </w:p>
    <w:p w:rsidR="000C0FB9" w:rsidRDefault="000C0FB9">
      <w:pPr>
        <w:ind w:firstLineChars="300" w:firstLine="960"/>
        <w:rPr>
          <w:rFonts w:ascii="仿宋_GB2312" w:hAnsi="仿宋_GB2312"/>
        </w:rPr>
      </w:pPr>
    </w:p>
    <w:p w:rsidR="000C0FB9" w:rsidRDefault="009E755C">
      <w:pPr>
        <w:ind w:firstLineChars="300" w:firstLine="960"/>
        <w:rPr>
          <w:rFonts w:ascii="仿宋_GB2312" w:hAnsi="仿宋_GB2312"/>
        </w:rPr>
      </w:pPr>
      <w:r>
        <w:rPr>
          <w:rFonts w:ascii="仿宋_GB2312" w:hAnsi="仿宋_GB2312" w:hint="eastAsia"/>
          <w:noProof/>
        </w:rPr>
        <w:lastRenderedPageBreak/>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0C0FB9" w:rsidRDefault="009E755C">
      <w:pPr>
        <w:spacing w:line="570" w:lineRule="exact"/>
        <w:ind w:leftChars="50" w:left="160" w:firstLineChars="150" w:firstLine="480"/>
        <w:jc w:val="center"/>
        <w:rPr>
          <w:rFonts w:ascii="仿宋_GB2312" w:hAnsi="仿宋_GB2312"/>
        </w:rPr>
      </w:pPr>
      <w:r>
        <w:rPr>
          <w:rFonts w:ascii="仿宋_GB2312" w:hAnsi="仿宋_GB2312"/>
        </w:rPr>
        <w:t>图</w:t>
      </w:r>
      <w:r>
        <w:rPr>
          <w:rFonts w:ascii="仿宋_GB2312" w:hAnsi="仿宋_GB2312"/>
        </w:rPr>
        <w:t>2</w:t>
      </w:r>
      <w:r>
        <w:rPr>
          <w:rFonts w:ascii="仿宋_GB2312" w:hAnsi="仿宋_GB2312"/>
        </w:rPr>
        <w:t>：支出决算图</w:t>
      </w:r>
    </w:p>
    <w:p w:rsidR="000C0FB9" w:rsidRDefault="009E755C">
      <w:pPr>
        <w:spacing w:line="570" w:lineRule="exact"/>
        <w:ind w:firstLine="640"/>
        <w:rPr>
          <w:rFonts w:ascii="黑体" w:eastAsia="黑体" w:hAnsi="黑体"/>
        </w:rPr>
      </w:pPr>
      <w:r>
        <w:rPr>
          <w:rFonts w:ascii="黑体" w:eastAsia="黑体" w:hAnsi="黑体" w:hint="eastAsia"/>
        </w:rPr>
        <w:t>四、财政拨款收入支出决算总体情况说明</w:t>
      </w:r>
    </w:p>
    <w:p w:rsidR="000C0FB9" w:rsidRDefault="009E755C">
      <w:pPr>
        <w:spacing w:line="570" w:lineRule="exact"/>
        <w:ind w:firstLine="640"/>
        <w:rPr>
          <w:rFonts w:ascii="仿宋_GB2312" w:hAnsi="仿宋_GB2312"/>
        </w:rPr>
      </w:pPr>
      <w:r>
        <w:rPr>
          <w:rFonts w:ascii="仿宋_GB2312" w:hAnsi="仿宋_GB2312" w:hint="eastAsia"/>
        </w:rPr>
        <w:t>常州市环境保护局</w:t>
      </w:r>
      <w:r>
        <w:rPr>
          <w:rFonts w:ascii="仿宋_GB2312" w:hAnsi="仿宋_GB2312"/>
        </w:rPr>
        <w:t>2018</w:t>
      </w:r>
      <w:r>
        <w:rPr>
          <w:rFonts w:ascii="仿宋_GB2312" w:hAnsi="仿宋_GB2312"/>
        </w:rPr>
        <w:t>年度财政拨款收</w:t>
      </w:r>
      <w:r>
        <w:rPr>
          <w:rFonts w:ascii="仿宋_GB2312" w:hAnsi="仿宋_GB2312" w:hint="eastAsia"/>
        </w:rPr>
        <w:t>入总决算</w:t>
      </w:r>
      <w:r>
        <w:rPr>
          <w:rFonts w:ascii="仿宋_GB2312" w:hAnsi="仿宋_GB2312" w:hint="eastAsia"/>
        </w:rPr>
        <w:t>10401.95</w:t>
      </w:r>
      <w:r>
        <w:rPr>
          <w:rFonts w:ascii="仿宋_GB2312" w:hAnsi="仿宋_GB2312" w:hint="eastAsia"/>
        </w:rPr>
        <w:t>万元，与上年相比增加</w:t>
      </w:r>
      <w:r>
        <w:rPr>
          <w:rFonts w:ascii="仿宋_GB2312" w:hAnsi="仿宋_GB2312" w:hint="eastAsia"/>
        </w:rPr>
        <w:t>1794.57</w:t>
      </w:r>
      <w:r>
        <w:rPr>
          <w:rFonts w:ascii="仿宋_GB2312" w:hAnsi="仿宋_GB2312" w:hint="eastAsia"/>
        </w:rPr>
        <w:t>万元，增长</w:t>
      </w:r>
      <w:r>
        <w:rPr>
          <w:rFonts w:ascii="仿宋_GB2312" w:hAnsi="仿宋_GB2312" w:hint="eastAsia"/>
        </w:rPr>
        <w:t>20.8%</w:t>
      </w:r>
      <w:r>
        <w:rPr>
          <w:rFonts w:ascii="仿宋_GB2312" w:hAnsi="仿宋_GB2312" w:hint="eastAsia"/>
        </w:rPr>
        <w:t>。主要原因是</w:t>
      </w:r>
      <w:r>
        <w:rPr>
          <w:rFonts w:ascii="华文仿宋" w:eastAsia="华文仿宋" w:hAnsi="华文仿宋" w:cs="华文仿宋" w:hint="eastAsia"/>
          <w:snapToGrid w:val="0"/>
          <w:color w:val="000000"/>
          <w:spacing w:val="-4"/>
          <w:kern w:val="0"/>
        </w:rPr>
        <w:t>1</w:t>
      </w:r>
      <w:r>
        <w:rPr>
          <w:rFonts w:ascii="华文仿宋" w:eastAsia="华文仿宋" w:hAnsi="华文仿宋" w:cs="华文仿宋" w:hint="eastAsia"/>
          <w:snapToGrid w:val="0"/>
          <w:color w:val="000000"/>
          <w:spacing w:val="-4"/>
          <w:kern w:val="0"/>
        </w:rPr>
        <w:t>、正常性经费的政策性追加，</w:t>
      </w:r>
      <w:r>
        <w:rPr>
          <w:rFonts w:ascii="华文仿宋" w:eastAsia="华文仿宋" w:hAnsi="华文仿宋" w:cs="华文仿宋" w:hint="eastAsia"/>
          <w:snapToGrid w:val="0"/>
          <w:color w:val="000000"/>
          <w:spacing w:val="-4"/>
          <w:kern w:val="0"/>
        </w:rPr>
        <w:t>2</w:t>
      </w:r>
      <w:r>
        <w:rPr>
          <w:rFonts w:ascii="华文仿宋" w:eastAsia="华文仿宋" w:hAnsi="华文仿宋" w:cs="华文仿宋" w:hint="eastAsia"/>
          <w:snapToGrid w:val="0"/>
          <w:color w:val="000000"/>
          <w:spacing w:val="-4"/>
          <w:kern w:val="0"/>
        </w:rPr>
        <w:t>、专项资金</w:t>
      </w:r>
      <w:r>
        <w:rPr>
          <w:rFonts w:ascii="华文仿宋" w:eastAsia="华文仿宋" w:hAnsi="华文仿宋" w:cs="华文仿宋" w:hint="eastAsia"/>
          <w:snapToGrid w:val="0"/>
          <w:color w:val="000000"/>
          <w:spacing w:val="-4"/>
          <w:kern w:val="0"/>
        </w:rPr>
        <w:t>收入增加。</w:t>
      </w:r>
      <w:r>
        <w:rPr>
          <w:rFonts w:ascii="仿宋_GB2312" w:hAnsi="仿宋_GB2312" w:hint="eastAsia"/>
          <w:color w:val="000000" w:themeColor="text1"/>
        </w:rPr>
        <w:t>财政拨款</w:t>
      </w:r>
      <w:r>
        <w:rPr>
          <w:rFonts w:ascii="仿宋_GB2312" w:hAnsi="仿宋_GB2312"/>
        </w:rPr>
        <w:t>支</w:t>
      </w:r>
      <w:r>
        <w:rPr>
          <w:rFonts w:ascii="仿宋_GB2312" w:hAnsi="仿宋_GB2312" w:hint="eastAsia"/>
        </w:rPr>
        <w:t>出</w:t>
      </w:r>
      <w:r>
        <w:rPr>
          <w:rFonts w:ascii="仿宋_GB2312" w:hAnsi="仿宋_GB2312"/>
        </w:rPr>
        <w:t>总决算</w:t>
      </w:r>
      <w:r>
        <w:rPr>
          <w:rFonts w:ascii="仿宋_GB2312" w:hAnsi="仿宋_GB2312" w:hint="eastAsia"/>
        </w:rPr>
        <w:t>10236.98</w:t>
      </w:r>
      <w:r>
        <w:rPr>
          <w:rFonts w:ascii="仿宋_GB2312" w:hAnsi="仿宋_GB2312"/>
        </w:rPr>
        <w:t>万元</w:t>
      </w:r>
      <w:r>
        <w:rPr>
          <w:rFonts w:ascii="仿宋_GB2312" w:hAnsi="仿宋_GB2312" w:hint="eastAsia"/>
        </w:rPr>
        <w:t>，</w:t>
      </w:r>
      <w:r>
        <w:rPr>
          <w:rFonts w:ascii="仿宋_GB2312" w:hAnsi="仿宋_GB2312"/>
        </w:rPr>
        <w:t>与上年相比，增加</w:t>
      </w:r>
      <w:r>
        <w:rPr>
          <w:rFonts w:ascii="仿宋_GB2312" w:hAnsi="仿宋_GB2312" w:hint="eastAsia"/>
        </w:rPr>
        <w:t>1466</w:t>
      </w:r>
      <w:r>
        <w:rPr>
          <w:rFonts w:ascii="仿宋_GB2312" w:hAnsi="仿宋_GB2312"/>
        </w:rPr>
        <w:t>万元，增长</w:t>
      </w:r>
      <w:r>
        <w:rPr>
          <w:rFonts w:ascii="仿宋_GB2312" w:hAnsi="仿宋_GB2312" w:hint="eastAsia"/>
        </w:rPr>
        <w:t>16.7</w:t>
      </w:r>
      <w:r>
        <w:rPr>
          <w:rFonts w:ascii="仿宋_GB2312" w:hAnsi="仿宋_GB2312"/>
        </w:rPr>
        <w:t>%</w:t>
      </w:r>
      <w:r>
        <w:rPr>
          <w:rFonts w:ascii="仿宋_GB2312" w:hAnsi="仿宋_GB2312"/>
        </w:rPr>
        <w:t>。</w:t>
      </w:r>
      <w:r>
        <w:rPr>
          <w:rFonts w:ascii="仿宋_GB2312" w:hAnsi="仿宋_GB2312"/>
          <w:color w:val="000000" w:themeColor="text1"/>
        </w:rPr>
        <w:t>主要原因是</w:t>
      </w:r>
      <w:r>
        <w:rPr>
          <w:rFonts w:ascii="华文仿宋" w:eastAsia="华文仿宋" w:hAnsi="华文仿宋" w:cs="华文仿宋" w:hint="eastAsia"/>
          <w:snapToGrid w:val="0"/>
          <w:color w:val="000000"/>
          <w:spacing w:val="-4"/>
          <w:kern w:val="0"/>
        </w:rPr>
        <w:t>1</w:t>
      </w:r>
      <w:r>
        <w:rPr>
          <w:rFonts w:ascii="华文仿宋" w:eastAsia="华文仿宋" w:hAnsi="华文仿宋" w:cs="华文仿宋" w:hint="eastAsia"/>
          <w:snapToGrid w:val="0"/>
          <w:color w:val="000000"/>
          <w:spacing w:val="-4"/>
          <w:kern w:val="0"/>
        </w:rPr>
        <w:t>、正常性经费</w:t>
      </w:r>
      <w:r>
        <w:rPr>
          <w:rFonts w:ascii="华文仿宋" w:eastAsia="华文仿宋" w:hAnsi="华文仿宋" w:cs="华文仿宋" w:hint="eastAsia"/>
          <w:snapToGrid w:val="0"/>
          <w:color w:val="000000"/>
          <w:spacing w:val="-4"/>
          <w:kern w:val="0"/>
        </w:rPr>
        <w:t>支出增加</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2</w:t>
      </w:r>
      <w:r>
        <w:rPr>
          <w:rFonts w:ascii="华文仿宋" w:eastAsia="华文仿宋" w:hAnsi="华文仿宋" w:cs="华文仿宋" w:hint="eastAsia"/>
          <w:snapToGrid w:val="0"/>
          <w:color w:val="000000"/>
          <w:spacing w:val="-4"/>
          <w:kern w:val="0"/>
        </w:rPr>
        <w:t>、专项资金</w:t>
      </w:r>
      <w:r>
        <w:rPr>
          <w:rFonts w:ascii="华文仿宋" w:eastAsia="华文仿宋" w:hAnsi="华文仿宋" w:cs="华文仿宋" w:hint="eastAsia"/>
          <w:snapToGrid w:val="0"/>
          <w:color w:val="000000"/>
          <w:spacing w:val="-4"/>
          <w:kern w:val="0"/>
        </w:rPr>
        <w:t>支出增加</w:t>
      </w:r>
      <w:r>
        <w:rPr>
          <w:rFonts w:ascii="仿宋_GB2312" w:hAnsi="仿宋_GB2312"/>
        </w:rPr>
        <w:t>。</w:t>
      </w:r>
    </w:p>
    <w:p w:rsidR="000C0FB9" w:rsidRDefault="009E755C">
      <w:pPr>
        <w:numPr>
          <w:ilvl w:val="0"/>
          <w:numId w:val="3"/>
        </w:numPr>
        <w:spacing w:line="570" w:lineRule="exact"/>
        <w:ind w:firstLine="640"/>
        <w:rPr>
          <w:rFonts w:ascii="黑体" w:eastAsia="黑体" w:hAnsi="黑体"/>
        </w:rPr>
      </w:pPr>
      <w:r>
        <w:rPr>
          <w:rFonts w:ascii="黑体" w:eastAsia="黑体" w:hAnsi="黑体" w:hint="eastAsia"/>
        </w:rPr>
        <w:t>财政拨款支出决算情况说明</w:t>
      </w:r>
    </w:p>
    <w:p w:rsidR="000C0FB9" w:rsidRDefault="009E755C">
      <w:pPr>
        <w:spacing w:line="550" w:lineRule="exact"/>
        <w:ind w:firstLine="640"/>
        <w:rPr>
          <w:i/>
        </w:rPr>
      </w:pPr>
      <w:r>
        <w:rPr>
          <w:i/>
        </w:rPr>
        <w:t>（按照</w:t>
      </w:r>
      <w:r>
        <w:rPr>
          <w:i/>
        </w:rPr>
        <w:t>“</w:t>
      </w:r>
      <w:r>
        <w:rPr>
          <w:i/>
        </w:rPr>
        <w:t>公开</w:t>
      </w:r>
      <w:r>
        <w:rPr>
          <w:i/>
        </w:rPr>
        <w:t>05</w:t>
      </w:r>
      <w:r>
        <w:rPr>
          <w:i/>
        </w:rPr>
        <w:t>表</w:t>
      </w:r>
      <w:r>
        <w:rPr>
          <w:i/>
        </w:rPr>
        <w:t xml:space="preserve"> </w:t>
      </w:r>
      <w:r>
        <w:rPr>
          <w:i/>
        </w:rPr>
        <w:t>财政拨款支出决算表</w:t>
      </w:r>
      <w:r>
        <w:rPr>
          <w:i/>
        </w:rPr>
        <w:t>”</w:t>
      </w:r>
      <w:r>
        <w:rPr>
          <w:i/>
        </w:rPr>
        <w:t>中的功能分类</w:t>
      </w:r>
      <w:r>
        <w:rPr>
          <w:i/>
        </w:rPr>
        <w:t>“</w:t>
      </w:r>
      <w:r>
        <w:rPr>
          <w:i/>
        </w:rPr>
        <w:t>项</w:t>
      </w:r>
      <w:r>
        <w:rPr>
          <w:i/>
        </w:rPr>
        <w:t>”</w:t>
      </w:r>
      <w:r>
        <w:rPr>
          <w:rFonts w:hint="eastAsia"/>
          <w:i/>
        </w:rPr>
        <w:t>级</w:t>
      </w:r>
      <w:r>
        <w:rPr>
          <w:i/>
        </w:rPr>
        <w:t>科目，并结合本部门实际予以解释。）</w:t>
      </w:r>
    </w:p>
    <w:p w:rsidR="000C0FB9" w:rsidRDefault="009E755C">
      <w:pPr>
        <w:spacing w:line="570" w:lineRule="exact"/>
        <w:ind w:firstLine="640"/>
        <w:rPr>
          <w:rFonts w:ascii="仿宋_GB2312" w:hAnsi="仿宋_GB2312"/>
        </w:rPr>
      </w:pPr>
      <w:r>
        <w:rPr>
          <w:rFonts w:ascii="仿宋_GB2312" w:hAnsi="仿宋_GB2312"/>
        </w:rPr>
        <w:t>财政拨款支出决算反映的是一般公</w:t>
      </w:r>
      <w:r>
        <w:rPr>
          <w:rFonts w:ascii="仿宋_GB2312" w:hAnsi="仿宋_GB2312"/>
        </w:rPr>
        <w:t>共预算和政府性基金预算财政拨款支出的总体情况，既包括使用本年从本级财</w:t>
      </w:r>
      <w:r>
        <w:rPr>
          <w:rFonts w:ascii="仿宋_GB2312" w:hAnsi="仿宋_GB2312"/>
        </w:rPr>
        <w:lastRenderedPageBreak/>
        <w:t>政取得的拨款发生的支出，也包括使用上年度财政拨款结转和结余资金发生的支出。</w:t>
      </w:r>
      <w:r>
        <w:rPr>
          <w:rFonts w:ascii="仿宋_GB2312" w:hAnsi="仿宋_GB2312" w:hint="eastAsia"/>
        </w:rPr>
        <w:t>常州市环境保护局</w:t>
      </w:r>
      <w:r>
        <w:rPr>
          <w:rFonts w:ascii="仿宋_GB2312" w:hAnsi="仿宋_GB2312"/>
        </w:rPr>
        <w:t>2018</w:t>
      </w:r>
      <w:r>
        <w:rPr>
          <w:rFonts w:ascii="仿宋_GB2312" w:hAnsi="仿宋_GB2312"/>
        </w:rPr>
        <w:t>年财政拨款支出</w:t>
      </w:r>
      <w:r>
        <w:rPr>
          <w:rFonts w:ascii="仿宋_GB2312" w:hAnsi="仿宋_GB2312" w:hint="eastAsia"/>
        </w:rPr>
        <w:t>10236.98</w:t>
      </w:r>
      <w:r>
        <w:rPr>
          <w:rFonts w:ascii="仿宋_GB2312" w:hAnsi="仿宋_GB2312"/>
        </w:rPr>
        <w:t>万元，占本年支出合计的</w:t>
      </w:r>
      <w:r>
        <w:rPr>
          <w:rFonts w:ascii="仿宋_GB2312" w:hAnsi="仿宋_GB2312" w:hint="eastAsia"/>
        </w:rPr>
        <w:t>86.4</w:t>
      </w:r>
      <w:r>
        <w:rPr>
          <w:rFonts w:ascii="仿宋_GB2312" w:hAnsi="仿宋_GB2312"/>
        </w:rPr>
        <w:t>%</w:t>
      </w:r>
      <w:r>
        <w:rPr>
          <w:rFonts w:ascii="仿宋_GB2312" w:hAnsi="仿宋_GB2312"/>
        </w:rPr>
        <w:t>。与上年相比，财政拨款支出增加</w:t>
      </w:r>
      <w:r>
        <w:rPr>
          <w:rFonts w:ascii="仿宋_GB2312" w:hAnsi="仿宋_GB2312" w:hint="eastAsia"/>
        </w:rPr>
        <w:t>1466</w:t>
      </w:r>
      <w:r>
        <w:rPr>
          <w:rFonts w:ascii="仿宋_GB2312" w:hAnsi="仿宋_GB2312"/>
        </w:rPr>
        <w:t>万元，增长</w:t>
      </w:r>
      <w:r>
        <w:rPr>
          <w:rFonts w:ascii="仿宋_GB2312" w:hAnsi="仿宋_GB2312" w:hint="eastAsia"/>
        </w:rPr>
        <w:t>16.7</w:t>
      </w:r>
      <w:r>
        <w:rPr>
          <w:rFonts w:ascii="仿宋_GB2312" w:hAnsi="仿宋_GB2312"/>
        </w:rPr>
        <w:t>%</w:t>
      </w:r>
      <w:r>
        <w:rPr>
          <w:rFonts w:ascii="仿宋_GB2312" w:hAnsi="仿宋_GB2312"/>
        </w:rPr>
        <w:t>。主要原因</w:t>
      </w:r>
      <w:r>
        <w:rPr>
          <w:rFonts w:ascii="仿宋_GB2312" w:hAnsi="仿宋_GB2312"/>
          <w:color w:val="000000" w:themeColor="text1"/>
        </w:rPr>
        <w:t>是</w:t>
      </w:r>
      <w:r>
        <w:rPr>
          <w:rFonts w:ascii="仿宋_GB2312" w:hAnsi="仿宋_GB2312" w:hint="eastAsia"/>
          <w:color w:val="000000" w:themeColor="text1"/>
        </w:rPr>
        <w:t>1</w:t>
      </w:r>
      <w:r>
        <w:rPr>
          <w:rFonts w:ascii="仿宋_GB2312" w:hAnsi="仿宋_GB2312" w:hint="eastAsia"/>
          <w:color w:val="000000" w:themeColor="text1"/>
        </w:rPr>
        <w:t>、</w:t>
      </w:r>
      <w:r>
        <w:rPr>
          <w:rFonts w:ascii="华文仿宋" w:eastAsia="华文仿宋" w:hAnsi="华文仿宋" w:cs="华文仿宋" w:hint="eastAsia"/>
          <w:snapToGrid w:val="0"/>
          <w:color w:val="000000"/>
          <w:spacing w:val="-4"/>
          <w:kern w:val="0"/>
        </w:rPr>
        <w:t>正常性经费的政策性追加</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2</w:t>
      </w:r>
      <w:r>
        <w:rPr>
          <w:rFonts w:ascii="华文仿宋" w:eastAsia="华文仿宋" w:hAnsi="华文仿宋" w:cs="华文仿宋" w:hint="eastAsia"/>
          <w:snapToGrid w:val="0"/>
          <w:color w:val="000000"/>
          <w:spacing w:val="-4"/>
          <w:kern w:val="0"/>
        </w:rPr>
        <w:t>专项资金支出增加</w:t>
      </w:r>
      <w:r>
        <w:rPr>
          <w:rFonts w:ascii="仿宋_GB2312" w:hAnsi="仿宋_GB2312"/>
        </w:rPr>
        <w:t>。</w:t>
      </w:r>
    </w:p>
    <w:p w:rsidR="000C0FB9" w:rsidRDefault="009E755C">
      <w:pPr>
        <w:spacing w:line="570" w:lineRule="exact"/>
        <w:ind w:firstLine="640"/>
        <w:rPr>
          <w:rFonts w:ascii="仿宋_GB2312" w:hAnsi="仿宋_GB2312"/>
        </w:rPr>
      </w:pPr>
      <w:r>
        <w:rPr>
          <w:rFonts w:ascii="仿宋_GB2312" w:hAnsi="仿宋_GB2312" w:hint="eastAsia"/>
        </w:rPr>
        <w:t>常州市环境保护局</w:t>
      </w:r>
      <w:r>
        <w:rPr>
          <w:rFonts w:ascii="仿宋_GB2312" w:hAnsi="仿宋_GB2312"/>
        </w:rPr>
        <w:t>2018</w:t>
      </w:r>
      <w:r>
        <w:rPr>
          <w:rFonts w:ascii="仿宋_GB2312" w:hAnsi="仿宋_GB2312"/>
        </w:rPr>
        <w:t>年度财政拨款支出年初预算为</w:t>
      </w:r>
      <w:r>
        <w:rPr>
          <w:rFonts w:ascii="仿宋_GB2312" w:hAnsi="仿宋_GB2312" w:hint="eastAsia"/>
        </w:rPr>
        <w:t>4420.73</w:t>
      </w:r>
      <w:r>
        <w:rPr>
          <w:rFonts w:ascii="仿宋_GB2312" w:hAnsi="仿宋_GB2312"/>
        </w:rPr>
        <w:t>万元，支出决算为</w:t>
      </w:r>
      <w:r>
        <w:rPr>
          <w:rFonts w:ascii="仿宋_GB2312" w:hAnsi="仿宋_GB2312" w:hint="eastAsia"/>
        </w:rPr>
        <w:t>10236.98</w:t>
      </w:r>
      <w:r>
        <w:rPr>
          <w:rFonts w:ascii="仿宋_GB2312" w:hAnsi="仿宋_GB2312"/>
        </w:rPr>
        <w:t>万元，完成年初预算的</w:t>
      </w:r>
      <w:r>
        <w:rPr>
          <w:rFonts w:ascii="仿宋_GB2312" w:hAnsi="仿宋_GB2312" w:hint="eastAsia"/>
        </w:rPr>
        <w:t>231.57</w:t>
      </w:r>
      <w:r>
        <w:rPr>
          <w:rFonts w:ascii="仿宋_GB2312" w:hAnsi="仿宋_GB2312"/>
        </w:rPr>
        <w:t>%</w:t>
      </w:r>
      <w:r>
        <w:rPr>
          <w:rFonts w:ascii="仿宋_GB2312" w:hAnsi="仿宋_GB2312"/>
        </w:rPr>
        <w:t>。决算数大于年初预算的主要原因是</w:t>
      </w:r>
      <w:r>
        <w:rPr>
          <w:rFonts w:ascii="华文仿宋" w:eastAsia="华文仿宋" w:hAnsi="华文仿宋" w:cs="华文仿宋" w:hint="eastAsia"/>
          <w:snapToGrid w:val="0"/>
          <w:color w:val="000000"/>
          <w:spacing w:val="-4"/>
          <w:kern w:val="0"/>
        </w:rPr>
        <w:t>1</w:t>
      </w:r>
      <w:r>
        <w:rPr>
          <w:rFonts w:ascii="华文仿宋" w:eastAsia="华文仿宋" w:hAnsi="华文仿宋" w:cs="华文仿宋" w:hint="eastAsia"/>
          <w:snapToGrid w:val="0"/>
          <w:color w:val="000000"/>
          <w:spacing w:val="-4"/>
          <w:kern w:val="0"/>
        </w:rPr>
        <w:t>、正常性经费的政策性追加，</w:t>
      </w:r>
      <w:r>
        <w:rPr>
          <w:rFonts w:ascii="华文仿宋" w:eastAsia="华文仿宋" w:hAnsi="华文仿宋" w:cs="华文仿宋" w:hint="eastAsia"/>
          <w:snapToGrid w:val="0"/>
          <w:color w:val="000000"/>
          <w:spacing w:val="-4"/>
          <w:kern w:val="0"/>
        </w:rPr>
        <w:t>2</w:t>
      </w:r>
      <w:r>
        <w:rPr>
          <w:rFonts w:ascii="华文仿宋" w:eastAsia="华文仿宋" w:hAnsi="华文仿宋" w:cs="华文仿宋" w:hint="eastAsia"/>
          <w:snapToGrid w:val="0"/>
          <w:color w:val="000000"/>
          <w:spacing w:val="-4"/>
          <w:kern w:val="0"/>
        </w:rPr>
        <w:t>、环保专项资金未纳入年初部门预算，为年度追加</w:t>
      </w:r>
      <w:r>
        <w:rPr>
          <w:rFonts w:ascii="华文仿宋" w:eastAsia="华文仿宋" w:hAnsi="华文仿宋" w:cs="华文仿宋" w:hint="eastAsia"/>
        </w:rPr>
        <w:t>。</w:t>
      </w:r>
      <w:r>
        <w:rPr>
          <w:rFonts w:ascii="仿宋_GB2312" w:hAnsi="仿宋_GB2312"/>
        </w:rPr>
        <w:t>其中：</w:t>
      </w:r>
      <w:r>
        <w:rPr>
          <w:rFonts w:ascii="仿宋_GB2312" w:hAnsi="仿宋_GB2312"/>
        </w:rPr>
        <w:t xml:space="preserve"> </w:t>
      </w:r>
    </w:p>
    <w:p w:rsidR="000C0FB9" w:rsidRDefault="009E755C">
      <w:pPr>
        <w:spacing w:line="570" w:lineRule="exact"/>
        <w:ind w:firstLineChars="100" w:firstLine="320"/>
        <w:rPr>
          <w:rFonts w:ascii="仿宋_GB2312" w:hAnsi="仿宋_GB2312"/>
        </w:rPr>
      </w:pPr>
      <w:r>
        <w:rPr>
          <w:rFonts w:ascii="仿宋_GB2312" w:hAnsi="仿宋_GB2312" w:hint="eastAsia"/>
        </w:rPr>
        <w:t>（一）教育支出（类）</w:t>
      </w:r>
    </w:p>
    <w:p w:rsidR="000C0FB9" w:rsidRDefault="009E755C">
      <w:pPr>
        <w:spacing w:line="570" w:lineRule="exact"/>
        <w:ind w:firstLine="640"/>
        <w:rPr>
          <w:rFonts w:ascii="仿宋_GB2312" w:hAnsi="仿宋_GB2312"/>
        </w:rPr>
      </w:pPr>
      <w:r>
        <w:rPr>
          <w:rFonts w:ascii="仿宋_GB2312" w:hAnsi="仿宋_GB2312" w:hint="eastAsia"/>
        </w:rPr>
        <w:t>1.</w:t>
      </w:r>
      <w:r>
        <w:rPr>
          <w:rFonts w:ascii="仿宋_GB2312" w:hAnsi="仿宋_GB2312" w:hint="eastAsia"/>
        </w:rPr>
        <w:t>其他教育支出（款）其他教育支出（项）。年初预算为</w:t>
      </w:r>
      <w:r>
        <w:rPr>
          <w:rFonts w:ascii="仿宋_GB2312" w:hAnsi="仿宋_GB2312" w:hint="eastAsia"/>
        </w:rPr>
        <w:t>0</w:t>
      </w:r>
      <w:r>
        <w:rPr>
          <w:rFonts w:ascii="仿宋_GB2312" w:hAnsi="仿宋_GB2312" w:hint="eastAsia"/>
        </w:rPr>
        <w:t>万元，支出决算为</w:t>
      </w:r>
      <w:r>
        <w:rPr>
          <w:rFonts w:ascii="仿宋_GB2312" w:hAnsi="仿宋_GB2312" w:hint="eastAsia"/>
        </w:rPr>
        <w:t>2</w:t>
      </w:r>
      <w:r>
        <w:rPr>
          <w:rFonts w:ascii="仿宋_GB2312" w:hAnsi="仿宋_GB2312" w:hint="eastAsia"/>
        </w:rPr>
        <w:t>万元，当年追加预算</w:t>
      </w:r>
      <w:r>
        <w:rPr>
          <w:rFonts w:ascii="仿宋_GB2312" w:hAnsi="仿宋_GB2312" w:hint="eastAsia"/>
        </w:rPr>
        <w:t>2</w:t>
      </w:r>
      <w:r>
        <w:rPr>
          <w:rFonts w:ascii="仿宋_GB2312" w:hAnsi="仿宋_GB2312" w:hint="eastAsia"/>
        </w:rPr>
        <w:t>万元。决算数大于预算数的主要原因是市环境监测中心追加“突出人才奖励”。</w:t>
      </w:r>
    </w:p>
    <w:p w:rsidR="000C0FB9" w:rsidRDefault="009E755C">
      <w:pPr>
        <w:numPr>
          <w:ilvl w:val="0"/>
          <w:numId w:val="4"/>
        </w:numPr>
        <w:spacing w:line="570" w:lineRule="exact"/>
        <w:ind w:firstLineChars="100" w:firstLine="320"/>
        <w:rPr>
          <w:rFonts w:ascii="仿宋_GB2312" w:hAnsi="仿宋_GB2312"/>
        </w:rPr>
      </w:pPr>
      <w:r>
        <w:rPr>
          <w:rFonts w:ascii="仿宋_GB2312" w:hAnsi="仿宋_GB2312" w:hint="eastAsia"/>
        </w:rPr>
        <w:t>科学技术支出（类）</w:t>
      </w:r>
    </w:p>
    <w:p w:rsidR="000C0FB9" w:rsidRDefault="009E755C">
      <w:pPr>
        <w:spacing w:line="570" w:lineRule="exact"/>
        <w:ind w:firstLineChars="0" w:firstLine="0"/>
        <w:rPr>
          <w:rFonts w:ascii="仿宋_GB2312" w:hAnsi="仿宋_GB2312"/>
          <w:color w:val="000000" w:themeColor="text1"/>
        </w:rPr>
      </w:pPr>
      <w:r>
        <w:rPr>
          <w:rFonts w:ascii="仿宋_GB2312" w:hAnsi="仿宋_GB2312" w:hint="eastAsia"/>
        </w:rPr>
        <w:t xml:space="preserve">     1.</w:t>
      </w:r>
      <w:r>
        <w:rPr>
          <w:rFonts w:ascii="仿宋_GB2312" w:hAnsi="仿宋_GB2312" w:hint="eastAsia"/>
        </w:rPr>
        <w:t>技术研究与开发（款）其他技术研究与开发（项）。年初预算为</w:t>
      </w:r>
      <w:r>
        <w:rPr>
          <w:rFonts w:ascii="仿宋_GB2312" w:hAnsi="仿宋_GB2312" w:hint="eastAsia"/>
        </w:rPr>
        <w:t>0</w:t>
      </w:r>
      <w:r>
        <w:rPr>
          <w:rFonts w:ascii="仿宋_GB2312" w:hAnsi="仿宋_GB2312" w:hint="eastAsia"/>
        </w:rPr>
        <w:t>万元，支出决算为</w:t>
      </w:r>
      <w:r>
        <w:rPr>
          <w:rFonts w:ascii="仿宋_GB2312" w:hAnsi="仿宋_GB2312" w:hint="eastAsia"/>
        </w:rPr>
        <w:t>23.52</w:t>
      </w:r>
      <w:r>
        <w:rPr>
          <w:rFonts w:ascii="仿宋_GB2312" w:hAnsi="仿宋_GB2312" w:hint="eastAsia"/>
        </w:rPr>
        <w:t>万元，当年追加预算</w:t>
      </w:r>
      <w:r>
        <w:rPr>
          <w:rFonts w:ascii="仿宋_GB2312" w:hAnsi="仿宋_GB2312" w:hint="eastAsia"/>
        </w:rPr>
        <w:t>23.52</w:t>
      </w:r>
      <w:r>
        <w:rPr>
          <w:rFonts w:ascii="仿宋_GB2312" w:hAnsi="仿宋_GB2312" w:hint="eastAsia"/>
        </w:rPr>
        <w:t>万元。</w:t>
      </w:r>
      <w:r>
        <w:rPr>
          <w:rFonts w:ascii="仿宋_GB2312" w:hAnsi="仿宋_GB2312" w:hint="eastAsia"/>
          <w:color w:val="000000" w:themeColor="text1"/>
        </w:rPr>
        <w:t>决</w:t>
      </w:r>
      <w:r>
        <w:rPr>
          <w:rFonts w:ascii="仿宋_GB2312" w:hAnsi="仿宋_GB2312"/>
          <w:color w:val="000000" w:themeColor="text1"/>
        </w:rPr>
        <w:t>算数大于预算数的主要原因</w:t>
      </w:r>
      <w:r>
        <w:rPr>
          <w:rFonts w:ascii="仿宋_GB2312" w:hAnsi="仿宋_GB2312" w:hint="eastAsia"/>
          <w:color w:val="000000" w:themeColor="text1"/>
        </w:rPr>
        <w:t>为市环境科学研究院、市环境监测中心年中追加科技局课题费。</w:t>
      </w:r>
    </w:p>
    <w:p w:rsidR="000C0FB9" w:rsidRDefault="009E755C">
      <w:pPr>
        <w:spacing w:line="570" w:lineRule="exact"/>
        <w:ind w:firstLineChars="0" w:firstLine="0"/>
        <w:rPr>
          <w:rFonts w:ascii="仿宋_GB2312" w:hAnsi="仿宋_GB2312"/>
        </w:rPr>
      </w:pPr>
      <w:r>
        <w:rPr>
          <w:rFonts w:ascii="仿宋_GB2312" w:hAnsi="仿宋_GB2312" w:hint="eastAsia"/>
        </w:rPr>
        <w:t xml:space="preserve">   </w:t>
      </w:r>
      <w:r>
        <w:rPr>
          <w:rFonts w:ascii="仿宋_GB2312" w:hAnsi="仿宋_GB2312" w:hint="eastAsia"/>
        </w:rPr>
        <w:t>（三）社会保障和就业支出（类）</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color w:val="000000" w:themeColor="text1"/>
        </w:rPr>
      </w:pPr>
      <w:r>
        <w:rPr>
          <w:rFonts w:ascii="仿宋_GB2312" w:hAnsi="仿宋_GB2312" w:hint="eastAsia"/>
        </w:rPr>
        <w:t xml:space="preserve">  1.</w:t>
      </w:r>
      <w:r>
        <w:rPr>
          <w:rFonts w:ascii="华文仿宋" w:eastAsia="华文仿宋" w:hAnsi="华文仿宋" w:cs="华文仿宋" w:hint="eastAsia"/>
          <w:snapToGrid w:val="0"/>
          <w:color w:val="000000" w:themeColor="text1"/>
          <w:spacing w:val="-4"/>
          <w:kern w:val="0"/>
        </w:rPr>
        <w:t>行政事业单位离退休</w:t>
      </w:r>
      <w:r>
        <w:rPr>
          <w:rFonts w:ascii="华文仿宋" w:eastAsia="华文仿宋" w:hAnsi="华文仿宋" w:cs="华文仿宋" w:hint="eastAsia"/>
          <w:snapToGrid w:val="0"/>
          <w:color w:val="000000" w:themeColor="text1"/>
          <w:spacing w:val="-4"/>
          <w:kern w:val="0"/>
        </w:rPr>
        <w:t>（款）</w:t>
      </w:r>
      <w:r>
        <w:rPr>
          <w:rFonts w:ascii="华文仿宋" w:eastAsia="华文仿宋" w:hAnsi="华文仿宋" w:cs="华文仿宋" w:hint="eastAsia"/>
          <w:snapToGrid w:val="0"/>
          <w:color w:val="000000" w:themeColor="text1"/>
          <w:spacing w:val="-4"/>
          <w:kern w:val="0"/>
        </w:rPr>
        <w:t>归口管理的行政事业单位离退休</w:t>
      </w:r>
      <w:r>
        <w:rPr>
          <w:rFonts w:ascii="华文仿宋" w:eastAsia="华文仿宋" w:hAnsi="华文仿宋" w:cs="华文仿宋" w:hint="eastAsia"/>
          <w:snapToGrid w:val="0"/>
          <w:color w:val="000000" w:themeColor="text1"/>
          <w:spacing w:val="-4"/>
          <w:kern w:val="0"/>
        </w:rPr>
        <w:t>（项）</w:t>
      </w:r>
      <w:r>
        <w:rPr>
          <w:rFonts w:ascii="华文仿宋" w:eastAsia="华文仿宋" w:hAnsi="华文仿宋" w:cs="华文仿宋" w:hint="eastAsia"/>
          <w:snapToGrid w:val="0"/>
          <w:color w:val="000000" w:themeColor="text1"/>
          <w:spacing w:val="-4"/>
          <w:kern w:val="0"/>
        </w:rPr>
        <w:t>。</w:t>
      </w:r>
      <w:r>
        <w:rPr>
          <w:rFonts w:ascii="华文仿宋" w:eastAsia="华文仿宋" w:hAnsi="华文仿宋" w:cs="华文仿宋" w:hint="eastAsia"/>
          <w:color w:val="000000" w:themeColor="text1"/>
        </w:rPr>
        <w:t>年初预算为</w:t>
      </w:r>
      <w:r>
        <w:rPr>
          <w:rFonts w:ascii="华文仿宋" w:eastAsia="华文仿宋" w:hAnsi="华文仿宋" w:cs="华文仿宋" w:hint="eastAsia"/>
          <w:color w:val="000000" w:themeColor="text1"/>
        </w:rPr>
        <w:t>16.07</w:t>
      </w:r>
      <w:r>
        <w:rPr>
          <w:rFonts w:ascii="华文仿宋" w:eastAsia="华文仿宋" w:hAnsi="华文仿宋" w:cs="华文仿宋" w:hint="eastAsia"/>
          <w:color w:val="000000" w:themeColor="text1"/>
        </w:rPr>
        <w:t>万元，支出决算为</w:t>
      </w:r>
      <w:r>
        <w:rPr>
          <w:rFonts w:ascii="华文仿宋" w:eastAsia="华文仿宋" w:hAnsi="华文仿宋" w:cs="华文仿宋" w:hint="eastAsia"/>
          <w:color w:val="000000" w:themeColor="text1"/>
        </w:rPr>
        <w:t>18.47</w:t>
      </w:r>
      <w:r>
        <w:rPr>
          <w:rFonts w:ascii="华文仿宋" w:eastAsia="华文仿宋" w:hAnsi="华文仿宋" w:cs="华文仿宋" w:hint="eastAsia"/>
          <w:color w:val="000000" w:themeColor="text1"/>
        </w:rPr>
        <w:t>万元，完成年初预算的</w:t>
      </w:r>
      <w:r>
        <w:rPr>
          <w:rFonts w:ascii="华文仿宋" w:eastAsia="华文仿宋" w:hAnsi="华文仿宋" w:cs="华文仿宋" w:hint="eastAsia"/>
          <w:color w:val="000000" w:themeColor="text1"/>
        </w:rPr>
        <w:t>114.9</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color w:val="000000" w:themeColor="text1"/>
        </w:rPr>
        <w:t>当</w:t>
      </w:r>
      <w:r>
        <w:rPr>
          <w:rFonts w:ascii="华文仿宋" w:eastAsia="华文仿宋" w:hAnsi="华文仿宋" w:cs="华文仿宋" w:hint="eastAsia"/>
          <w:color w:val="000000" w:themeColor="text1"/>
        </w:rPr>
        <w:lastRenderedPageBreak/>
        <w:t>年行政单位退休人员增加，政策性追加</w:t>
      </w:r>
      <w:r>
        <w:rPr>
          <w:rFonts w:ascii="华文仿宋" w:eastAsia="华文仿宋" w:hAnsi="华文仿宋" w:cs="华文仿宋" w:hint="eastAsia"/>
          <w:color w:val="000000" w:themeColor="text1"/>
        </w:rPr>
        <w:t>2.4</w:t>
      </w:r>
      <w:r>
        <w:rPr>
          <w:rFonts w:ascii="华文仿宋" w:eastAsia="华文仿宋" w:hAnsi="华文仿宋" w:cs="华文仿宋" w:hint="eastAsia"/>
          <w:color w:val="000000" w:themeColor="text1"/>
        </w:rPr>
        <w:t>万元。</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themeColor="text1"/>
        </w:rPr>
      </w:pPr>
      <w:r>
        <w:rPr>
          <w:rFonts w:ascii="华文仿宋" w:eastAsia="华文仿宋" w:hAnsi="华文仿宋" w:cs="华文仿宋" w:hint="eastAsia"/>
          <w:snapToGrid w:val="0"/>
          <w:color w:val="000000" w:themeColor="text1"/>
          <w:spacing w:val="-4"/>
          <w:kern w:val="0"/>
        </w:rPr>
        <w:t xml:space="preserve">2. </w:t>
      </w:r>
      <w:r>
        <w:rPr>
          <w:rFonts w:ascii="华文仿宋" w:eastAsia="华文仿宋" w:hAnsi="华文仿宋" w:cs="华文仿宋" w:hint="eastAsia"/>
          <w:snapToGrid w:val="0"/>
          <w:color w:val="000000" w:themeColor="text1"/>
          <w:spacing w:val="-4"/>
          <w:kern w:val="0"/>
        </w:rPr>
        <w:t>行政事业单位离退休</w:t>
      </w:r>
      <w:r>
        <w:rPr>
          <w:rFonts w:ascii="华文仿宋" w:eastAsia="华文仿宋" w:hAnsi="华文仿宋" w:cs="华文仿宋" w:hint="eastAsia"/>
          <w:snapToGrid w:val="0"/>
          <w:color w:val="000000" w:themeColor="text1"/>
          <w:spacing w:val="-4"/>
          <w:kern w:val="0"/>
        </w:rPr>
        <w:t>（款）</w:t>
      </w:r>
      <w:r>
        <w:rPr>
          <w:rFonts w:ascii="华文仿宋" w:eastAsia="华文仿宋" w:hAnsi="华文仿宋" w:cs="华文仿宋" w:hint="eastAsia"/>
          <w:snapToGrid w:val="0"/>
          <w:color w:val="000000" w:themeColor="text1"/>
          <w:spacing w:val="-4"/>
          <w:kern w:val="0"/>
        </w:rPr>
        <w:t>事业单位离退休</w:t>
      </w:r>
      <w:r>
        <w:rPr>
          <w:rFonts w:ascii="华文仿宋" w:eastAsia="华文仿宋" w:hAnsi="华文仿宋" w:cs="华文仿宋" w:hint="eastAsia"/>
          <w:snapToGrid w:val="0"/>
          <w:color w:val="000000" w:themeColor="text1"/>
          <w:spacing w:val="-4"/>
          <w:kern w:val="0"/>
        </w:rPr>
        <w:t>（项）</w:t>
      </w:r>
      <w:r>
        <w:rPr>
          <w:rFonts w:ascii="华文仿宋" w:eastAsia="华文仿宋" w:hAnsi="华文仿宋" w:cs="华文仿宋" w:hint="eastAsia"/>
          <w:snapToGrid w:val="0"/>
          <w:color w:val="000000" w:themeColor="text1"/>
          <w:spacing w:val="-4"/>
          <w:kern w:val="0"/>
        </w:rPr>
        <w:t>。</w:t>
      </w:r>
      <w:r>
        <w:rPr>
          <w:rFonts w:ascii="华文仿宋" w:eastAsia="华文仿宋" w:hAnsi="华文仿宋" w:cs="华文仿宋" w:hint="eastAsia"/>
          <w:color w:val="000000" w:themeColor="text1"/>
        </w:rPr>
        <w:t>年初预算为</w:t>
      </w:r>
      <w:r>
        <w:rPr>
          <w:rFonts w:ascii="华文仿宋" w:eastAsia="华文仿宋" w:hAnsi="华文仿宋" w:cs="华文仿宋" w:hint="eastAsia"/>
          <w:color w:val="000000" w:themeColor="text1"/>
        </w:rPr>
        <w:t>1.28</w:t>
      </w:r>
      <w:r>
        <w:rPr>
          <w:rFonts w:ascii="华文仿宋" w:eastAsia="华文仿宋" w:hAnsi="华文仿宋" w:cs="华文仿宋" w:hint="eastAsia"/>
          <w:color w:val="000000" w:themeColor="text1"/>
        </w:rPr>
        <w:t>万元，支出决算为</w:t>
      </w:r>
      <w:r>
        <w:rPr>
          <w:rFonts w:ascii="华文仿宋" w:eastAsia="华文仿宋" w:hAnsi="华文仿宋" w:cs="华文仿宋" w:hint="eastAsia"/>
          <w:color w:val="000000" w:themeColor="text1"/>
        </w:rPr>
        <w:t>1.28</w:t>
      </w:r>
      <w:r>
        <w:rPr>
          <w:rFonts w:ascii="华文仿宋" w:eastAsia="华文仿宋" w:hAnsi="华文仿宋" w:cs="华文仿宋" w:hint="eastAsia"/>
          <w:color w:val="000000" w:themeColor="text1"/>
        </w:rPr>
        <w:t>万元，完成年初预算的</w:t>
      </w:r>
      <w:r>
        <w:rPr>
          <w:rFonts w:ascii="华文仿宋" w:eastAsia="华文仿宋" w:hAnsi="华文仿宋" w:cs="华文仿宋" w:hint="eastAsia"/>
          <w:color w:val="000000" w:themeColor="text1"/>
        </w:rPr>
        <w:t>100</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与年初预算持平</w:t>
      </w:r>
      <w:r>
        <w:rPr>
          <w:rFonts w:ascii="华文仿宋" w:eastAsia="华文仿宋" w:hAnsi="华文仿宋" w:cs="华文仿宋" w:hint="eastAsia"/>
          <w:color w:val="000000" w:themeColor="text1"/>
        </w:rPr>
        <w:t>。</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snapToGrid w:val="0"/>
          <w:color w:val="000000" w:themeColor="text1"/>
          <w:spacing w:val="-4"/>
          <w:kern w:val="0"/>
        </w:rPr>
      </w:pPr>
      <w:r>
        <w:rPr>
          <w:rFonts w:ascii="华文仿宋" w:eastAsia="华文仿宋" w:hAnsi="华文仿宋" w:cs="华文仿宋" w:hint="eastAsia"/>
          <w:snapToGrid w:val="0"/>
          <w:color w:val="000000" w:themeColor="text1"/>
          <w:spacing w:val="-4"/>
          <w:kern w:val="0"/>
        </w:rPr>
        <w:t>（</w:t>
      </w:r>
      <w:r>
        <w:rPr>
          <w:rFonts w:ascii="华文仿宋" w:eastAsia="华文仿宋" w:hAnsi="华文仿宋" w:cs="华文仿宋" w:hint="eastAsia"/>
          <w:snapToGrid w:val="0"/>
          <w:color w:val="000000" w:themeColor="text1"/>
          <w:spacing w:val="-4"/>
          <w:kern w:val="0"/>
        </w:rPr>
        <w:t>四</w:t>
      </w:r>
      <w:r>
        <w:rPr>
          <w:rFonts w:ascii="华文仿宋" w:eastAsia="华文仿宋" w:hAnsi="华文仿宋" w:cs="华文仿宋" w:hint="eastAsia"/>
          <w:snapToGrid w:val="0"/>
          <w:color w:val="000000" w:themeColor="text1"/>
          <w:spacing w:val="-4"/>
          <w:kern w:val="0"/>
        </w:rPr>
        <w:t>）医疗卫生与计划生育支出</w:t>
      </w:r>
      <w:r>
        <w:rPr>
          <w:rFonts w:ascii="华文仿宋" w:eastAsia="华文仿宋" w:hAnsi="华文仿宋" w:cs="华文仿宋" w:hint="eastAsia"/>
          <w:snapToGrid w:val="0"/>
          <w:color w:val="000000" w:themeColor="text1"/>
          <w:spacing w:val="-4"/>
          <w:kern w:val="0"/>
        </w:rPr>
        <w:t>（类）</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snapToGrid w:val="0"/>
          <w:color w:val="000000" w:themeColor="text1"/>
          <w:spacing w:val="-4"/>
          <w:kern w:val="0"/>
        </w:rPr>
      </w:pPr>
      <w:r>
        <w:rPr>
          <w:rFonts w:ascii="华文仿宋" w:eastAsia="华文仿宋" w:hAnsi="华文仿宋" w:cs="华文仿宋" w:hint="eastAsia"/>
          <w:snapToGrid w:val="0"/>
          <w:color w:val="000000" w:themeColor="text1"/>
          <w:spacing w:val="-4"/>
          <w:kern w:val="0"/>
        </w:rPr>
        <w:t>1.</w:t>
      </w:r>
      <w:r>
        <w:rPr>
          <w:rFonts w:ascii="华文仿宋" w:eastAsia="华文仿宋" w:hAnsi="华文仿宋" w:cs="华文仿宋" w:hint="eastAsia"/>
          <w:snapToGrid w:val="0"/>
          <w:color w:val="000000" w:themeColor="text1"/>
          <w:spacing w:val="-4"/>
          <w:kern w:val="0"/>
        </w:rPr>
        <w:t>医疗保障</w:t>
      </w:r>
      <w:r>
        <w:rPr>
          <w:rFonts w:ascii="华文仿宋" w:eastAsia="华文仿宋" w:hAnsi="华文仿宋" w:cs="华文仿宋" w:hint="eastAsia"/>
          <w:snapToGrid w:val="0"/>
          <w:color w:val="000000" w:themeColor="text1"/>
          <w:spacing w:val="-4"/>
          <w:kern w:val="0"/>
        </w:rPr>
        <w:t>（款）</w:t>
      </w:r>
      <w:r>
        <w:rPr>
          <w:rFonts w:ascii="华文仿宋" w:eastAsia="华文仿宋" w:hAnsi="华文仿宋" w:cs="华文仿宋" w:hint="eastAsia"/>
          <w:snapToGrid w:val="0"/>
          <w:color w:val="000000" w:themeColor="text1"/>
          <w:spacing w:val="-4"/>
          <w:kern w:val="0"/>
        </w:rPr>
        <w:t>行政单位医疗</w:t>
      </w:r>
      <w:r>
        <w:rPr>
          <w:rFonts w:ascii="华文仿宋" w:eastAsia="华文仿宋" w:hAnsi="华文仿宋" w:cs="华文仿宋" w:hint="eastAsia"/>
          <w:snapToGrid w:val="0"/>
          <w:color w:val="000000" w:themeColor="text1"/>
          <w:spacing w:val="-4"/>
          <w:kern w:val="0"/>
        </w:rPr>
        <w:t>（项）</w:t>
      </w:r>
      <w:r>
        <w:rPr>
          <w:rFonts w:ascii="华文仿宋" w:eastAsia="华文仿宋" w:hAnsi="华文仿宋" w:cs="华文仿宋" w:hint="eastAsia"/>
          <w:snapToGrid w:val="0"/>
          <w:color w:val="000000" w:themeColor="text1"/>
          <w:spacing w:val="-4"/>
          <w:kern w:val="0"/>
        </w:rPr>
        <w:t>。年初预算为</w:t>
      </w:r>
      <w:r>
        <w:rPr>
          <w:rFonts w:ascii="华文仿宋" w:eastAsia="华文仿宋" w:hAnsi="华文仿宋" w:cs="华文仿宋" w:hint="eastAsia"/>
          <w:snapToGrid w:val="0"/>
          <w:color w:val="000000" w:themeColor="text1"/>
          <w:spacing w:val="-4"/>
          <w:kern w:val="0"/>
        </w:rPr>
        <w:t>103.01</w:t>
      </w:r>
      <w:r>
        <w:rPr>
          <w:rFonts w:ascii="华文仿宋" w:eastAsia="华文仿宋" w:hAnsi="华文仿宋" w:cs="华文仿宋" w:hint="eastAsia"/>
          <w:snapToGrid w:val="0"/>
          <w:color w:val="000000" w:themeColor="text1"/>
          <w:spacing w:val="-4"/>
          <w:kern w:val="0"/>
        </w:rPr>
        <w:t>万元，支出决算为</w:t>
      </w:r>
      <w:r>
        <w:rPr>
          <w:rFonts w:ascii="华文仿宋" w:eastAsia="华文仿宋" w:hAnsi="华文仿宋" w:cs="华文仿宋" w:hint="eastAsia"/>
          <w:snapToGrid w:val="0"/>
          <w:color w:val="000000" w:themeColor="text1"/>
          <w:spacing w:val="-4"/>
          <w:kern w:val="0"/>
        </w:rPr>
        <w:t>104.17</w:t>
      </w:r>
      <w:r>
        <w:rPr>
          <w:rFonts w:ascii="华文仿宋" w:eastAsia="华文仿宋" w:hAnsi="华文仿宋" w:cs="华文仿宋" w:hint="eastAsia"/>
          <w:snapToGrid w:val="0"/>
          <w:color w:val="000000" w:themeColor="text1"/>
          <w:spacing w:val="-4"/>
          <w:kern w:val="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101.1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w:t>
      </w:r>
      <w:r>
        <w:rPr>
          <w:rFonts w:ascii="华文仿宋" w:eastAsia="华文仿宋" w:hAnsi="华文仿宋" w:cs="华文仿宋" w:hint="eastAsia"/>
        </w:rPr>
        <w:t>大</w:t>
      </w:r>
      <w:r>
        <w:rPr>
          <w:rFonts w:ascii="华文仿宋" w:eastAsia="华文仿宋" w:hAnsi="华文仿宋" w:cs="华文仿宋" w:hint="eastAsia"/>
        </w:rPr>
        <w:t>于预算数的主要原因是</w:t>
      </w:r>
      <w:r>
        <w:rPr>
          <w:rFonts w:ascii="华文仿宋" w:eastAsia="华文仿宋" w:hAnsi="华文仿宋" w:cs="华文仿宋" w:hint="eastAsia"/>
          <w:snapToGrid w:val="0"/>
          <w:color w:val="000000" w:themeColor="text1"/>
          <w:spacing w:val="-4"/>
          <w:kern w:val="0"/>
        </w:rPr>
        <w:t>当年增人增资，政策性追加</w:t>
      </w:r>
      <w:r>
        <w:rPr>
          <w:rFonts w:ascii="华文仿宋" w:eastAsia="华文仿宋" w:hAnsi="华文仿宋" w:cs="华文仿宋" w:hint="eastAsia"/>
          <w:snapToGrid w:val="0"/>
          <w:color w:val="000000" w:themeColor="text1"/>
          <w:spacing w:val="-4"/>
          <w:kern w:val="0"/>
        </w:rPr>
        <w:t>1.16</w:t>
      </w:r>
      <w:r>
        <w:rPr>
          <w:rFonts w:ascii="华文仿宋" w:eastAsia="华文仿宋" w:hAnsi="华文仿宋" w:cs="华文仿宋" w:hint="eastAsia"/>
          <w:snapToGrid w:val="0"/>
          <w:color w:val="000000" w:themeColor="text1"/>
          <w:spacing w:val="-4"/>
          <w:kern w:val="0"/>
        </w:rPr>
        <w:t>万元</w:t>
      </w:r>
      <w:r>
        <w:rPr>
          <w:rFonts w:ascii="华文仿宋" w:eastAsia="华文仿宋" w:hAnsi="华文仿宋" w:cs="华文仿宋" w:hint="eastAsia"/>
          <w:snapToGrid w:val="0"/>
          <w:color w:val="000000" w:themeColor="text1"/>
          <w:spacing w:val="-4"/>
          <w:kern w:val="0"/>
        </w:rPr>
        <w:t>。</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snapToGrid w:val="0"/>
          <w:color w:val="000000" w:themeColor="text1"/>
          <w:spacing w:val="-4"/>
          <w:kern w:val="0"/>
        </w:rPr>
      </w:pPr>
      <w:r>
        <w:rPr>
          <w:rFonts w:ascii="华文仿宋" w:eastAsia="华文仿宋" w:hAnsi="华文仿宋" w:cs="华文仿宋" w:hint="eastAsia"/>
          <w:snapToGrid w:val="0"/>
          <w:color w:val="000000" w:themeColor="text1"/>
          <w:spacing w:val="-4"/>
          <w:kern w:val="0"/>
        </w:rPr>
        <w:t>2.</w:t>
      </w:r>
      <w:r>
        <w:rPr>
          <w:rFonts w:ascii="华文仿宋" w:eastAsia="华文仿宋" w:hAnsi="华文仿宋" w:cs="华文仿宋" w:hint="eastAsia"/>
          <w:snapToGrid w:val="0"/>
          <w:color w:val="000000" w:themeColor="text1"/>
          <w:spacing w:val="-4"/>
          <w:kern w:val="0"/>
        </w:rPr>
        <w:t>医疗保障</w:t>
      </w:r>
      <w:r>
        <w:rPr>
          <w:rFonts w:ascii="华文仿宋" w:eastAsia="华文仿宋" w:hAnsi="华文仿宋" w:cs="华文仿宋" w:hint="eastAsia"/>
          <w:snapToGrid w:val="0"/>
          <w:color w:val="000000" w:themeColor="text1"/>
          <w:spacing w:val="-4"/>
          <w:kern w:val="0"/>
        </w:rPr>
        <w:t>（款）</w:t>
      </w:r>
      <w:r>
        <w:rPr>
          <w:rFonts w:ascii="华文仿宋" w:eastAsia="华文仿宋" w:hAnsi="华文仿宋" w:cs="华文仿宋" w:hint="eastAsia"/>
          <w:snapToGrid w:val="0"/>
          <w:color w:val="000000" w:themeColor="text1"/>
          <w:spacing w:val="-4"/>
          <w:kern w:val="0"/>
        </w:rPr>
        <w:t>事业单位医疗</w:t>
      </w:r>
      <w:r>
        <w:rPr>
          <w:rFonts w:ascii="华文仿宋" w:eastAsia="华文仿宋" w:hAnsi="华文仿宋" w:cs="华文仿宋" w:hint="eastAsia"/>
          <w:snapToGrid w:val="0"/>
          <w:color w:val="000000" w:themeColor="text1"/>
          <w:spacing w:val="-4"/>
          <w:kern w:val="0"/>
        </w:rPr>
        <w:t>（项）</w:t>
      </w:r>
      <w:r>
        <w:rPr>
          <w:rFonts w:ascii="华文仿宋" w:eastAsia="华文仿宋" w:hAnsi="华文仿宋" w:cs="华文仿宋" w:hint="eastAsia"/>
          <w:snapToGrid w:val="0"/>
          <w:color w:val="000000" w:themeColor="text1"/>
          <w:spacing w:val="-4"/>
          <w:kern w:val="0"/>
        </w:rPr>
        <w:t>。年初预算为</w:t>
      </w:r>
      <w:r>
        <w:rPr>
          <w:rFonts w:ascii="华文仿宋" w:eastAsia="华文仿宋" w:hAnsi="华文仿宋" w:cs="华文仿宋" w:hint="eastAsia"/>
          <w:snapToGrid w:val="0"/>
          <w:color w:val="000000" w:themeColor="text1"/>
          <w:spacing w:val="-4"/>
          <w:kern w:val="0"/>
        </w:rPr>
        <w:t>5.31</w:t>
      </w:r>
      <w:r>
        <w:rPr>
          <w:rFonts w:ascii="华文仿宋" w:eastAsia="华文仿宋" w:hAnsi="华文仿宋" w:cs="华文仿宋" w:hint="eastAsia"/>
          <w:snapToGrid w:val="0"/>
          <w:color w:val="000000" w:themeColor="text1"/>
          <w:spacing w:val="-4"/>
          <w:kern w:val="0"/>
        </w:rPr>
        <w:t>万元，支出决算为</w:t>
      </w:r>
      <w:r>
        <w:rPr>
          <w:rFonts w:ascii="华文仿宋" w:eastAsia="华文仿宋" w:hAnsi="华文仿宋" w:cs="华文仿宋" w:hint="eastAsia"/>
          <w:snapToGrid w:val="0"/>
          <w:color w:val="000000" w:themeColor="text1"/>
          <w:spacing w:val="-4"/>
          <w:kern w:val="0"/>
        </w:rPr>
        <w:t>5.37</w:t>
      </w:r>
      <w:r>
        <w:rPr>
          <w:rFonts w:ascii="华文仿宋" w:eastAsia="华文仿宋" w:hAnsi="华文仿宋" w:cs="华文仿宋" w:hint="eastAsia"/>
          <w:snapToGrid w:val="0"/>
          <w:color w:val="000000" w:themeColor="text1"/>
          <w:spacing w:val="-4"/>
          <w:kern w:val="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101.1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w:t>
      </w:r>
      <w:r>
        <w:rPr>
          <w:rFonts w:ascii="华文仿宋" w:eastAsia="华文仿宋" w:hAnsi="华文仿宋" w:cs="华文仿宋" w:hint="eastAsia"/>
        </w:rPr>
        <w:t>大</w:t>
      </w:r>
      <w:r>
        <w:rPr>
          <w:rFonts w:ascii="华文仿宋" w:eastAsia="华文仿宋" w:hAnsi="华文仿宋" w:cs="华文仿宋" w:hint="eastAsia"/>
        </w:rPr>
        <w:t>于预算数的主要原因是</w:t>
      </w:r>
      <w:r>
        <w:rPr>
          <w:rFonts w:ascii="华文仿宋" w:eastAsia="华文仿宋" w:hAnsi="华文仿宋" w:cs="华文仿宋" w:hint="eastAsia"/>
          <w:snapToGrid w:val="0"/>
          <w:color w:val="000000" w:themeColor="text1"/>
          <w:spacing w:val="-4"/>
          <w:kern w:val="0"/>
        </w:rPr>
        <w:t>当年增人增资，政策性追加</w:t>
      </w:r>
      <w:r>
        <w:rPr>
          <w:rFonts w:ascii="华文仿宋" w:eastAsia="华文仿宋" w:hAnsi="华文仿宋" w:cs="华文仿宋" w:hint="eastAsia"/>
          <w:snapToGrid w:val="0"/>
          <w:color w:val="000000" w:themeColor="text1"/>
          <w:spacing w:val="-4"/>
          <w:kern w:val="0"/>
        </w:rPr>
        <w:t>0.06</w:t>
      </w:r>
      <w:r>
        <w:rPr>
          <w:rFonts w:ascii="华文仿宋" w:eastAsia="华文仿宋" w:hAnsi="华文仿宋" w:cs="华文仿宋" w:hint="eastAsia"/>
          <w:snapToGrid w:val="0"/>
          <w:color w:val="000000" w:themeColor="text1"/>
          <w:spacing w:val="-4"/>
          <w:kern w:val="0"/>
        </w:rPr>
        <w:t>万元。</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snapToGrid w:val="0"/>
          <w:color w:val="000000" w:themeColor="text1"/>
          <w:spacing w:val="-4"/>
          <w:kern w:val="0"/>
        </w:rPr>
      </w:pPr>
      <w:r>
        <w:rPr>
          <w:rFonts w:ascii="华文仿宋" w:eastAsia="华文仿宋" w:hAnsi="华文仿宋" w:cs="华文仿宋" w:hint="eastAsia"/>
          <w:snapToGrid w:val="0"/>
          <w:color w:val="000000" w:themeColor="text1"/>
          <w:spacing w:val="-4"/>
          <w:kern w:val="0"/>
        </w:rPr>
        <w:t>3.</w:t>
      </w:r>
      <w:r>
        <w:rPr>
          <w:rFonts w:ascii="华文仿宋" w:eastAsia="华文仿宋" w:hAnsi="华文仿宋" w:cs="华文仿宋" w:hint="eastAsia"/>
          <w:snapToGrid w:val="0"/>
          <w:color w:val="000000" w:themeColor="text1"/>
          <w:spacing w:val="-4"/>
          <w:kern w:val="0"/>
        </w:rPr>
        <w:t>医疗保障（款）公务员医疗补助（项）。</w:t>
      </w:r>
      <w:r>
        <w:rPr>
          <w:rFonts w:ascii="华文仿宋" w:eastAsia="华文仿宋" w:hAnsi="华文仿宋" w:cs="华文仿宋" w:hint="eastAsia"/>
          <w:snapToGrid w:val="0"/>
          <w:color w:val="000000" w:themeColor="text1"/>
          <w:spacing w:val="-4"/>
          <w:kern w:val="0"/>
        </w:rPr>
        <w:t>年初预算为</w:t>
      </w:r>
      <w:r>
        <w:rPr>
          <w:rFonts w:ascii="华文仿宋" w:eastAsia="华文仿宋" w:hAnsi="华文仿宋" w:cs="华文仿宋" w:hint="eastAsia"/>
          <w:snapToGrid w:val="0"/>
          <w:color w:val="000000" w:themeColor="text1"/>
          <w:spacing w:val="-4"/>
          <w:kern w:val="0"/>
        </w:rPr>
        <w:t>67.7</w:t>
      </w:r>
      <w:r>
        <w:rPr>
          <w:rFonts w:ascii="华文仿宋" w:eastAsia="华文仿宋" w:hAnsi="华文仿宋" w:cs="华文仿宋" w:hint="eastAsia"/>
          <w:snapToGrid w:val="0"/>
          <w:color w:val="000000" w:themeColor="text1"/>
          <w:spacing w:val="-4"/>
          <w:kern w:val="0"/>
        </w:rPr>
        <w:t>万元，支出决算为</w:t>
      </w:r>
      <w:r>
        <w:rPr>
          <w:rFonts w:ascii="华文仿宋" w:eastAsia="华文仿宋" w:hAnsi="华文仿宋" w:cs="华文仿宋" w:hint="eastAsia"/>
          <w:snapToGrid w:val="0"/>
          <w:color w:val="000000" w:themeColor="text1"/>
          <w:spacing w:val="-4"/>
          <w:kern w:val="0"/>
        </w:rPr>
        <w:t>68.43</w:t>
      </w:r>
      <w:r>
        <w:rPr>
          <w:rFonts w:ascii="华文仿宋" w:eastAsia="华文仿宋" w:hAnsi="华文仿宋" w:cs="华文仿宋" w:hint="eastAsia"/>
          <w:snapToGrid w:val="0"/>
          <w:color w:val="000000" w:themeColor="text1"/>
          <w:spacing w:val="-4"/>
          <w:kern w:val="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101.1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w:t>
      </w:r>
      <w:r>
        <w:rPr>
          <w:rFonts w:ascii="华文仿宋" w:eastAsia="华文仿宋" w:hAnsi="华文仿宋" w:cs="华文仿宋" w:hint="eastAsia"/>
        </w:rPr>
        <w:t>大</w:t>
      </w:r>
      <w:r>
        <w:rPr>
          <w:rFonts w:ascii="华文仿宋" w:eastAsia="华文仿宋" w:hAnsi="华文仿宋" w:cs="华文仿宋" w:hint="eastAsia"/>
        </w:rPr>
        <w:t>于预算数的主要原因是</w:t>
      </w:r>
      <w:r>
        <w:rPr>
          <w:rFonts w:ascii="华文仿宋" w:eastAsia="华文仿宋" w:hAnsi="华文仿宋" w:cs="华文仿宋" w:hint="eastAsia"/>
          <w:snapToGrid w:val="0"/>
          <w:color w:val="000000" w:themeColor="text1"/>
          <w:spacing w:val="-4"/>
          <w:kern w:val="0"/>
        </w:rPr>
        <w:t>当年增人增资，政策性追加</w:t>
      </w:r>
      <w:r>
        <w:rPr>
          <w:rFonts w:ascii="华文仿宋" w:eastAsia="华文仿宋" w:hAnsi="华文仿宋" w:cs="华文仿宋" w:hint="eastAsia"/>
          <w:snapToGrid w:val="0"/>
          <w:color w:val="000000" w:themeColor="text1"/>
          <w:spacing w:val="-4"/>
          <w:kern w:val="0"/>
        </w:rPr>
        <w:t>0.73</w:t>
      </w:r>
      <w:r>
        <w:rPr>
          <w:rFonts w:ascii="华文仿宋" w:eastAsia="华文仿宋" w:hAnsi="华文仿宋" w:cs="华文仿宋" w:hint="eastAsia"/>
          <w:snapToGrid w:val="0"/>
          <w:color w:val="000000" w:themeColor="text1"/>
          <w:spacing w:val="-4"/>
          <w:kern w:val="0"/>
        </w:rPr>
        <w:t>万元。</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snapToGrid w:val="0"/>
          <w:color w:val="000000" w:themeColor="text1"/>
          <w:spacing w:val="-4"/>
          <w:kern w:val="0"/>
        </w:rPr>
      </w:pPr>
      <w:r>
        <w:rPr>
          <w:rFonts w:ascii="华文仿宋" w:eastAsia="华文仿宋" w:hAnsi="华文仿宋" w:cs="华文仿宋" w:hint="eastAsia"/>
          <w:snapToGrid w:val="0"/>
          <w:color w:val="000000" w:themeColor="text1"/>
          <w:spacing w:val="-4"/>
          <w:kern w:val="0"/>
        </w:rPr>
        <w:t>（三）节能环保支出</w:t>
      </w:r>
      <w:r>
        <w:rPr>
          <w:rFonts w:ascii="华文仿宋" w:eastAsia="华文仿宋" w:hAnsi="华文仿宋" w:cs="华文仿宋" w:hint="eastAsia"/>
          <w:snapToGrid w:val="0"/>
          <w:color w:val="000000" w:themeColor="text1"/>
          <w:spacing w:val="-4"/>
          <w:kern w:val="0"/>
        </w:rPr>
        <w:t>（类）</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rPr>
      </w:pPr>
      <w:r>
        <w:rPr>
          <w:rFonts w:ascii="华文仿宋" w:eastAsia="华文仿宋" w:hAnsi="华文仿宋" w:cs="华文仿宋" w:hint="eastAsia"/>
          <w:snapToGrid w:val="0"/>
          <w:color w:val="000000" w:themeColor="text1"/>
          <w:spacing w:val="-4"/>
          <w:kern w:val="0"/>
        </w:rPr>
        <w:t>1.</w:t>
      </w:r>
      <w:r>
        <w:rPr>
          <w:rFonts w:ascii="华文仿宋" w:eastAsia="华文仿宋" w:hAnsi="华文仿宋" w:cs="华文仿宋" w:hint="eastAsia"/>
          <w:snapToGrid w:val="0"/>
          <w:color w:val="000000" w:themeColor="text1"/>
          <w:spacing w:val="-4"/>
          <w:kern w:val="0"/>
        </w:rPr>
        <w:t>环境保护管理事务</w:t>
      </w:r>
      <w:r>
        <w:rPr>
          <w:rFonts w:ascii="华文仿宋" w:eastAsia="华文仿宋" w:hAnsi="华文仿宋" w:cs="华文仿宋" w:hint="eastAsia"/>
          <w:snapToGrid w:val="0"/>
          <w:color w:val="000000" w:themeColor="text1"/>
          <w:spacing w:val="-4"/>
          <w:kern w:val="0"/>
        </w:rPr>
        <w:t>（款）</w:t>
      </w:r>
      <w:r>
        <w:rPr>
          <w:rFonts w:ascii="华文仿宋" w:eastAsia="华文仿宋" w:hAnsi="华文仿宋" w:cs="华文仿宋" w:hint="eastAsia"/>
          <w:snapToGrid w:val="0"/>
          <w:color w:val="000000" w:themeColor="text1"/>
          <w:spacing w:val="-4"/>
          <w:kern w:val="0"/>
        </w:rPr>
        <w:t>行政运行</w:t>
      </w:r>
      <w:r>
        <w:rPr>
          <w:rFonts w:ascii="华文仿宋" w:eastAsia="华文仿宋" w:hAnsi="华文仿宋" w:cs="华文仿宋" w:hint="eastAsia"/>
          <w:snapToGrid w:val="0"/>
          <w:color w:val="000000" w:themeColor="text1"/>
          <w:spacing w:val="-4"/>
          <w:kern w:val="0"/>
        </w:rPr>
        <w:t>（项）</w:t>
      </w:r>
      <w:r>
        <w:rPr>
          <w:rFonts w:ascii="华文仿宋" w:eastAsia="华文仿宋" w:hAnsi="华文仿宋" w:cs="华文仿宋" w:hint="eastAsia"/>
          <w:snapToGrid w:val="0"/>
          <w:color w:val="000000" w:themeColor="text1"/>
          <w:spacing w:val="-4"/>
          <w:kern w:val="0"/>
        </w:rPr>
        <w:t>。</w:t>
      </w:r>
      <w:r>
        <w:rPr>
          <w:rFonts w:ascii="华文仿宋" w:eastAsia="华文仿宋" w:hAnsi="华文仿宋" w:cs="华文仿宋" w:hint="eastAsia"/>
          <w:color w:val="000000" w:themeColor="text1"/>
        </w:rPr>
        <w:t>年初预算为</w:t>
      </w:r>
      <w:r>
        <w:rPr>
          <w:rFonts w:ascii="华文仿宋" w:eastAsia="华文仿宋" w:hAnsi="华文仿宋" w:cs="华文仿宋" w:hint="eastAsia"/>
          <w:color w:val="000000" w:themeColor="text1"/>
        </w:rPr>
        <w:t>1557.72</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2493.74</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160.1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color w:val="000000"/>
        </w:rPr>
        <w:t>当年增人增资，政策性追加</w:t>
      </w:r>
      <w:r>
        <w:rPr>
          <w:rFonts w:ascii="华文仿宋" w:eastAsia="华文仿宋" w:hAnsi="华文仿宋" w:cs="华文仿宋" w:hint="eastAsia"/>
          <w:color w:val="000000"/>
        </w:rPr>
        <w:t>936.02</w:t>
      </w:r>
      <w:r>
        <w:rPr>
          <w:rFonts w:ascii="华文仿宋" w:eastAsia="华文仿宋" w:hAnsi="华文仿宋" w:cs="华文仿宋" w:hint="eastAsia"/>
          <w:color w:val="000000"/>
        </w:rPr>
        <w:t>万元。</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rPr>
      </w:pPr>
      <w:r>
        <w:rPr>
          <w:rFonts w:ascii="华文仿宋" w:eastAsia="华文仿宋" w:hAnsi="华文仿宋" w:cs="华文仿宋" w:hint="eastAsia"/>
          <w:snapToGrid w:val="0"/>
          <w:color w:val="000000"/>
          <w:spacing w:val="-4"/>
          <w:kern w:val="0"/>
        </w:rPr>
        <w:t>2.</w:t>
      </w:r>
      <w:r>
        <w:rPr>
          <w:rFonts w:ascii="华文仿宋" w:eastAsia="华文仿宋" w:hAnsi="华文仿宋" w:cs="华文仿宋" w:hint="eastAsia"/>
          <w:snapToGrid w:val="0"/>
          <w:color w:val="000000"/>
          <w:spacing w:val="-4"/>
          <w:kern w:val="0"/>
        </w:rPr>
        <w:t>环境保护管理事务</w:t>
      </w:r>
      <w:r>
        <w:rPr>
          <w:rFonts w:ascii="华文仿宋" w:eastAsia="华文仿宋" w:hAnsi="华文仿宋" w:cs="华文仿宋" w:hint="eastAsia"/>
          <w:snapToGrid w:val="0"/>
          <w:color w:val="000000"/>
          <w:spacing w:val="-4"/>
          <w:kern w:val="0"/>
        </w:rPr>
        <w:t>（款）一</w:t>
      </w:r>
      <w:r>
        <w:rPr>
          <w:rFonts w:ascii="华文仿宋" w:eastAsia="华文仿宋" w:hAnsi="华文仿宋" w:cs="华文仿宋" w:hint="eastAsia"/>
          <w:snapToGrid w:val="0"/>
          <w:color w:val="000000"/>
          <w:spacing w:val="-4"/>
          <w:kern w:val="0"/>
        </w:rPr>
        <w:t>般行政管理事务</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66.6</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66.6</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100%</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rPr>
        <w:t>与年初预算持平。</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rPr>
      </w:pPr>
      <w:r>
        <w:rPr>
          <w:rFonts w:ascii="华文仿宋" w:eastAsia="华文仿宋" w:hAnsi="华文仿宋" w:cs="华文仿宋" w:hint="eastAsia"/>
          <w:snapToGrid w:val="0"/>
          <w:color w:val="000000"/>
          <w:spacing w:val="-4"/>
          <w:kern w:val="0"/>
        </w:rPr>
        <w:lastRenderedPageBreak/>
        <w:t>3.</w:t>
      </w:r>
      <w:r>
        <w:rPr>
          <w:rFonts w:ascii="华文仿宋" w:eastAsia="华文仿宋" w:hAnsi="华文仿宋" w:cs="华文仿宋" w:hint="eastAsia"/>
          <w:snapToGrid w:val="0"/>
          <w:color w:val="000000"/>
          <w:spacing w:val="-4"/>
          <w:kern w:val="0"/>
        </w:rPr>
        <w:t>环境保护管理事务</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环境保护法规、规划及标准</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36</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36</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100%</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rPr>
        <w:t>与预算持平。</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color w:val="000000"/>
        </w:rPr>
      </w:pPr>
      <w:r>
        <w:rPr>
          <w:rFonts w:ascii="华文仿宋" w:eastAsia="华文仿宋" w:hAnsi="华文仿宋" w:cs="华文仿宋" w:hint="eastAsia"/>
          <w:color w:val="000000"/>
        </w:rPr>
        <w:t>4.</w:t>
      </w:r>
      <w:r>
        <w:rPr>
          <w:rFonts w:ascii="华文仿宋" w:eastAsia="华文仿宋" w:hAnsi="华文仿宋" w:cs="华文仿宋" w:hint="eastAsia"/>
          <w:snapToGrid w:val="0"/>
          <w:color w:val="000000"/>
          <w:spacing w:val="-4"/>
          <w:kern w:val="0"/>
        </w:rPr>
        <w:t>环境保护管理事务</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color w:val="000000"/>
        </w:rPr>
        <w:t>其他环境保护管理事务支出</w:t>
      </w:r>
      <w:r>
        <w:rPr>
          <w:rFonts w:ascii="华文仿宋" w:eastAsia="华文仿宋" w:hAnsi="华文仿宋" w:cs="华文仿宋" w:hint="eastAsia"/>
          <w:color w:val="000000"/>
        </w:rPr>
        <w:t>（项）</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124.82</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146.12</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117.1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rPr>
        <w:t>市机动车排气污染监督管理中心经常性经费政策性追加</w:t>
      </w:r>
      <w:r>
        <w:rPr>
          <w:rFonts w:ascii="华文仿宋" w:eastAsia="华文仿宋" w:hAnsi="华文仿宋" w:cs="华文仿宋" w:hint="eastAsia"/>
        </w:rPr>
        <w:t>21.3</w:t>
      </w:r>
      <w:r>
        <w:rPr>
          <w:rFonts w:ascii="华文仿宋" w:eastAsia="华文仿宋" w:hAnsi="华文仿宋" w:cs="华文仿宋" w:hint="eastAsia"/>
        </w:rPr>
        <w:t>万元</w:t>
      </w:r>
      <w:r>
        <w:rPr>
          <w:rFonts w:ascii="华文仿宋" w:eastAsia="华文仿宋" w:hAnsi="华文仿宋" w:cs="华文仿宋" w:hint="eastAsia"/>
        </w:rPr>
        <w:t>。</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rPr>
      </w:pPr>
      <w:r>
        <w:rPr>
          <w:rFonts w:ascii="华文仿宋" w:eastAsia="华文仿宋" w:hAnsi="华文仿宋" w:cs="华文仿宋" w:hint="eastAsia"/>
          <w:snapToGrid w:val="0"/>
          <w:color w:val="000000"/>
          <w:spacing w:val="-4"/>
          <w:kern w:val="0"/>
        </w:rPr>
        <w:t>5</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环境监测与监察</w:t>
      </w:r>
      <w:r>
        <w:rPr>
          <w:rFonts w:ascii="华文仿宋" w:eastAsia="华文仿宋" w:hAnsi="华文仿宋" w:cs="华文仿宋" w:hint="eastAsia"/>
          <w:snapToGrid w:val="0"/>
          <w:color w:val="000000"/>
          <w:spacing w:val="-4"/>
          <w:kern w:val="0"/>
        </w:rPr>
        <w:t>（款）核与辐射安全监督（项）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20</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0</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0</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w:t>
      </w:r>
      <w:r>
        <w:rPr>
          <w:rFonts w:ascii="华文仿宋" w:eastAsia="华文仿宋" w:hAnsi="华文仿宋" w:cs="华文仿宋" w:hint="eastAsia"/>
        </w:rPr>
        <w:t>小</w:t>
      </w:r>
      <w:r>
        <w:rPr>
          <w:rFonts w:ascii="华文仿宋" w:eastAsia="华文仿宋" w:hAnsi="华文仿宋" w:cs="华文仿宋" w:hint="eastAsia"/>
        </w:rPr>
        <w:t>于预算数的主要原因是</w:t>
      </w:r>
      <w:r>
        <w:rPr>
          <w:rFonts w:ascii="华文仿宋" w:eastAsia="华文仿宋" w:hAnsi="华文仿宋" w:cs="华文仿宋" w:hint="eastAsia"/>
        </w:rPr>
        <w:t>市固体废物监督管理中心已撤销</w:t>
      </w:r>
      <w:r>
        <w:rPr>
          <w:rFonts w:ascii="华文仿宋" w:eastAsia="华文仿宋" w:hAnsi="华文仿宋" w:cs="华文仿宋" w:hint="eastAsia"/>
          <w:color w:val="000000"/>
        </w:rPr>
        <w:t>。</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color w:val="000000"/>
        </w:rPr>
      </w:pPr>
      <w:r>
        <w:rPr>
          <w:rFonts w:ascii="华文仿宋" w:eastAsia="华文仿宋" w:hAnsi="华文仿宋" w:cs="华文仿宋" w:hint="eastAsia"/>
          <w:color w:val="000000"/>
        </w:rPr>
        <w:t>6.</w:t>
      </w:r>
      <w:r>
        <w:rPr>
          <w:rFonts w:ascii="华文仿宋" w:eastAsia="华文仿宋" w:hAnsi="华文仿宋" w:cs="华文仿宋" w:hint="eastAsia"/>
          <w:snapToGrid w:val="0"/>
          <w:color w:val="000000"/>
          <w:spacing w:val="-4"/>
          <w:kern w:val="0"/>
        </w:rPr>
        <w:t>环境监测与监察</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其他环境监测与监察支出</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55.25</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788.81</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1427.7</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rPr>
        <w:t>环保专项资金的年中追加。</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rPr>
      </w:pPr>
      <w:r>
        <w:rPr>
          <w:rFonts w:ascii="华文仿宋" w:eastAsia="华文仿宋" w:hAnsi="华文仿宋" w:cs="华文仿宋" w:hint="eastAsia"/>
          <w:snapToGrid w:val="0"/>
          <w:color w:val="000000"/>
          <w:spacing w:val="-4"/>
          <w:kern w:val="0"/>
        </w:rPr>
        <w:t>7</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污染防治</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其他污染防治支出</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0</w:t>
      </w:r>
      <w:r>
        <w:rPr>
          <w:rFonts w:ascii="华文仿宋" w:eastAsia="华文仿宋" w:hAnsi="华文仿宋" w:cs="华文仿宋" w:hint="eastAsia"/>
          <w:color w:val="000000"/>
        </w:rPr>
        <w:t>，支出决算为</w:t>
      </w:r>
      <w:r>
        <w:rPr>
          <w:rFonts w:ascii="华文仿宋" w:eastAsia="华文仿宋" w:hAnsi="华文仿宋" w:cs="华文仿宋" w:hint="eastAsia"/>
          <w:color w:val="000000"/>
        </w:rPr>
        <w:t>454</w:t>
      </w:r>
      <w:r>
        <w:rPr>
          <w:rFonts w:ascii="华文仿宋" w:eastAsia="华文仿宋" w:hAnsi="华文仿宋" w:cs="华文仿宋" w:hint="eastAsia"/>
          <w:color w:val="000000"/>
        </w:rPr>
        <w:t>万元，当年追加</w:t>
      </w:r>
      <w:r>
        <w:rPr>
          <w:rFonts w:ascii="华文仿宋" w:eastAsia="华文仿宋" w:hAnsi="华文仿宋" w:cs="华文仿宋" w:hint="eastAsia"/>
          <w:color w:val="000000"/>
        </w:rPr>
        <w:t>454</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决算数大于预算数的主要原因是当年拨入省专项经费</w:t>
      </w:r>
      <w:r>
        <w:rPr>
          <w:rFonts w:ascii="华文仿宋" w:eastAsia="华文仿宋" w:hAnsi="华文仿宋" w:cs="华文仿宋" w:hint="eastAsia"/>
          <w:color w:val="000000"/>
        </w:rPr>
        <w:t>。</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color w:val="000000"/>
        </w:rPr>
      </w:pPr>
      <w:r>
        <w:rPr>
          <w:rFonts w:ascii="华文仿宋" w:eastAsia="华文仿宋" w:hAnsi="华文仿宋" w:cs="华文仿宋" w:hint="eastAsia"/>
          <w:color w:val="000000"/>
        </w:rPr>
        <w:t>8</w:t>
      </w:r>
      <w:r>
        <w:rPr>
          <w:rFonts w:ascii="华文仿宋" w:eastAsia="华文仿宋" w:hAnsi="华文仿宋" w:cs="华文仿宋" w:hint="eastAsia"/>
          <w:color w:val="000000"/>
        </w:rPr>
        <w:t>.</w:t>
      </w:r>
      <w:r>
        <w:rPr>
          <w:rFonts w:ascii="华文仿宋" w:eastAsia="华文仿宋" w:hAnsi="华文仿宋" w:cs="华文仿宋" w:hint="eastAsia"/>
          <w:snapToGrid w:val="0"/>
          <w:color w:val="000000"/>
          <w:spacing w:val="-4"/>
          <w:kern w:val="0"/>
        </w:rPr>
        <w:t>自然生态保护</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生态保护</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0</w:t>
      </w:r>
      <w:r>
        <w:rPr>
          <w:rFonts w:ascii="华文仿宋" w:eastAsia="华文仿宋" w:hAnsi="华文仿宋" w:cs="华文仿宋" w:hint="eastAsia"/>
          <w:color w:val="000000"/>
        </w:rPr>
        <w:t>，支出决算为</w:t>
      </w:r>
      <w:r>
        <w:rPr>
          <w:rFonts w:ascii="华文仿宋" w:eastAsia="华文仿宋" w:hAnsi="华文仿宋" w:cs="华文仿宋" w:hint="eastAsia"/>
          <w:color w:val="000000"/>
        </w:rPr>
        <w:t>2960.64</w:t>
      </w:r>
      <w:r>
        <w:rPr>
          <w:rFonts w:ascii="华文仿宋" w:eastAsia="华文仿宋" w:hAnsi="华文仿宋" w:cs="华文仿宋" w:hint="eastAsia"/>
          <w:color w:val="000000"/>
        </w:rPr>
        <w:t>万元，当年追加</w:t>
      </w:r>
      <w:r>
        <w:rPr>
          <w:rFonts w:ascii="华文仿宋" w:eastAsia="华文仿宋" w:hAnsi="华文仿宋" w:cs="华文仿宋" w:hint="eastAsia"/>
          <w:color w:val="000000"/>
        </w:rPr>
        <w:t>2960.64</w:t>
      </w:r>
      <w:r>
        <w:rPr>
          <w:rFonts w:ascii="华文仿宋" w:eastAsia="华文仿宋" w:hAnsi="华文仿宋" w:cs="华文仿宋" w:hint="eastAsia"/>
          <w:color w:val="000000"/>
        </w:rPr>
        <w:t>万元。</w:t>
      </w:r>
      <w:r>
        <w:rPr>
          <w:rFonts w:ascii="华文仿宋" w:eastAsia="华文仿宋" w:hAnsi="华文仿宋" w:cs="华文仿宋" w:hint="eastAsia"/>
        </w:rPr>
        <w:t>决算数大于预算数的主要原因是</w:t>
      </w:r>
      <w:r>
        <w:rPr>
          <w:rFonts w:ascii="华文仿宋" w:eastAsia="华文仿宋" w:hAnsi="华文仿宋" w:cs="华文仿宋" w:hint="eastAsia"/>
          <w:color w:val="000000" w:themeColor="text1"/>
        </w:rPr>
        <w:t>由于年度环保专项资金年度不列入年初预算，都是年中作为追加列入年末统计，造成差异。</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themeColor="text1"/>
        </w:rPr>
      </w:pPr>
      <w:r>
        <w:rPr>
          <w:rFonts w:ascii="华文仿宋" w:eastAsia="华文仿宋" w:hAnsi="华文仿宋" w:cs="华文仿宋" w:hint="eastAsia"/>
          <w:snapToGrid w:val="0"/>
          <w:color w:val="000000"/>
          <w:spacing w:val="-4"/>
          <w:kern w:val="0"/>
        </w:rPr>
        <w:t>9</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污染减排</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环境监测与信息</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1378.11</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2053.27</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149</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。决算</w:t>
      </w:r>
      <w:r>
        <w:rPr>
          <w:rFonts w:ascii="华文仿宋" w:eastAsia="华文仿宋" w:hAnsi="华文仿宋" w:cs="华文仿宋" w:hint="eastAsia"/>
          <w:color w:val="000000" w:themeColor="text1"/>
        </w:rPr>
        <w:lastRenderedPageBreak/>
        <w:t>数大于预算数的主要原因是</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市环境监测中心当年</w:t>
      </w:r>
      <w:r>
        <w:rPr>
          <w:rFonts w:ascii="华文仿宋" w:eastAsia="华文仿宋" w:hAnsi="华文仿宋" w:cs="华文仿宋" w:hint="eastAsia"/>
          <w:color w:val="000000" w:themeColor="text1"/>
        </w:rPr>
        <w:t>工资福利支出、对个人和家庭的补助政策性追加，（</w:t>
      </w:r>
      <w:r>
        <w:rPr>
          <w:rFonts w:ascii="华文仿宋" w:eastAsia="华文仿宋" w:hAnsi="华文仿宋" w:cs="华文仿宋" w:hint="eastAsia"/>
          <w:color w:val="000000" w:themeColor="text1"/>
        </w:rPr>
        <w:t>2</w:t>
      </w:r>
      <w:r>
        <w:rPr>
          <w:rFonts w:ascii="华文仿宋" w:eastAsia="华文仿宋" w:hAnsi="华文仿宋" w:cs="华文仿宋" w:hint="eastAsia"/>
          <w:color w:val="000000" w:themeColor="text1"/>
        </w:rPr>
        <w:t>）市环境监测中心上年政府采购项目结转支出。</w:t>
      </w:r>
    </w:p>
    <w:p w:rsidR="000C0FB9" w:rsidRDefault="009E755C" w:rsidP="007337CC">
      <w:pPr>
        <w:autoSpaceDE w:val="0"/>
        <w:autoSpaceDN w:val="0"/>
        <w:adjustRightInd w:val="0"/>
        <w:snapToGrid w:val="0"/>
        <w:spacing w:line="570" w:lineRule="exact"/>
        <w:ind w:firstLine="624"/>
        <w:rPr>
          <w:rFonts w:ascii="华文仿宋" w:eastAsia="华文仿宋" w:hAnsi="华文仿宋" w:cs="华文仿宋"/>
          <w:color w:val="000000"/>
        </w:rPr>
      </w:pPr>
      <w:r>
        <w:rPr>
          <w:rFonts w:ascii="华文仿宋" w:eastAsia="华文仿宋" w:hAnsi="华文仿宋" w:cs="华文仿宋" w:hint="eastAsia"/>
          <w:snapToGrid w:val="0"/>
          <w:color w:val="000000"/>
          <w:spacing w:val="-4"/>
          <w:kern w:val="0"/>
        </w:rPr>
        <w:t>10</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污染减排</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环境执法监察</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0</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9.83</w:t>
      </w:r>
      <w:r>
        <w:rPr>
          <w:rFonts w:ascii="华文仿宋" w:eastAsia="华文仿宋" w:hAnsi="华文仿宋" w:cs="华文仿宋" w:hint="eastAsia"/>
          <w:color w:val="000000"/>
        </w:rPr>
        <w:t>万元，当年追加</w:t>
      </w:r>
      <w:r>
        <w:rPr>
          <w:rFonts w:ascii="华文仿宋" w:eastAsia="华文仿宋" w:hAnsi="华文仿宋" w:cs="华文仿宋" w:hint="eastAsia"/>
          <w:color w:val="000000"/>
        </w:rPr>
        <w:t>9.83</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决算数大于预算数的主要原因是市机动车排气污染监督管理中心</w:t>
      </w:r>
      <w:r>
        <w:rPr>
          <w:rFonts w:ascii="华文仿宋" w:eastAsia="华文仿宋" w:hAnsi="华文仿宋" w:cs="华文仿宋" w:hint="eastAsia"/>
        </w:rPr>
        <w:t>上年</w:t>
      </w:r>
      <w:r>
        <w:rPr>
          <w:rFonts w:ascii="华文仿宋" w:eastAsia="华文仿宋" w:hAnsi="华文仿宋" w:cs="华文仿宋" w:hint="eastAsia"/>
        </w:rPr>
        <w:t>基本支出</w:t>
      </w:r>
      <w:r>
        <w:rPr>
          <w:rFonts w:ascii="华文仿宋" w:eastAsia="华文仿宋" w:hAnsi="华文仿宋" w:cs="华文仿宋" w:hint="eastAsia"/>
        </w:rPr>
        <w:t>结转当年使用</w:t>
      </w:r>
      <w:r>
        <w:rPr>
          <w:rFonts w:ascii="华文仿宋" w:eastAsia="华文仿宋" w:hAnsi="华文仿宋" w:cs="华文仿宋" w:hint="eastAsia"/>
          <w:color w:val="000000"/>
        </w:rPr>
        <w:t>。</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color w:val="000000"/>
        </w:rPr>
      </w:pPr>
      <w:r>
        <w:rPr>
          <w:rFonts w:ascii="华文仿宋" w:eastAsia="华文仿宋" w:hAnsi="华文仿宋" w:cs="华文仿宋" w:hint="eastAsia"/>
          <w:color w:val="000000"/>
        </w:rPr>
        <w:t>11.</w:t>
      </w:r>
      <w:r>
        <w:rPr>
          <w:rFonts w:ascii="华文仿宋" w:eastAsia="华文仿宋" w:hAnsi="华文仿宋" w:cs="华文仿宋" w:hint="eastAsia"/>
          <w:snapToGrid w:val="0"/>
          <w:color w:val="000000"/>
          <w:spacing w:val="-4"/>
          <w:kern w:val="0"/>
        </w:rPr>
        <w:t>污染减排</w:t>
      </w:r>
      <w:r>
        <w:rPr>
          <w:rFonts w:ascii="华文仿宋" w:eastAsia="华文仿宋" w:hAnsi="华文仿宋" w:cs="华文仿宋" w:hint="eastAsia"/>
          <w:snapToGrid w:val="0"/>
          <w:color w:val="000000"/>
          <w:spacing w:val="-4"/>
          <w:kern w:val="0"/>
        </w:rPr>
        <w:t>（款）</w:t>
      </w:r>
      <w:r>
        <w:rPr>
          <w:rFonts w:ascii="华文仿宋" w:eastAsia="华文仿宋" w:hAnsi="华文仿宋" w:cs="华文仿宋" w:hint="eastAsia"/>
          <w:snapToGrid w:val="0"/>
          <w:color w:val="000000"/>
          <w:spacing w:val="-4"/>
          <w:kern w:val="0"/>
        </w:rPr>
        <w:t>其他污染减排支出</w:t>
      </w:r>
      <w:r>
        <w:rPr>
          <w:rFonts w:ascii="华文仿宋" w:eastAsia="华文仿宋" w:hAnsi="华文仿宋" w:cs="华文仿宋" w:hint="eastAsia"/>
          <w:snapToGrid w:val="0"/>
          <w:color w:val="000000"/>
          <w:spacing w:val="-4"/>
          <w:kern w:val="0"/>
        </w:rPr>
        <w:t>（项）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31</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25.74</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83</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决算数小于预算数的主要原因是市机动车排气污染监督管理中心部分项目未完成资金结转</w:t>
      </w:r>
      <w:r>
        <w:rPr>
          <w:rFonts w:ascii="华文仿宋" w:eastAsia="华文仿宋" w:hAnsi="华文仿宋" w:cs="华文仿宋" w:hint="eastAsia"/>
          <w:color w:val="000000"/>
        </w:rPr>
        <w:t>。</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rPr>
      </w:pPr>
      <w:r>
        <w:rPr>
          <w:rFonts w:ascii="华文仿宋" w:eastAsia="华文仿宋" w:hAnsi="华文仿宋" w:cs="华文仿宋" w:hint="eastAsia"/>
          <w:color w:val="000000"/>
        </w:rPr>
        <w:t>12.</w:t>
      </w:r>
      <w:r>
        <w:rPr>
          <w:rFonts w:ascii="华文仿宋" w:eastAsia="华文仿宋" w:hAnsi="华文仿宋" w:cs="华文仿宋" w:hint="eastAsia"/>
          <w:snapToGrid w:val="0"/>
          <w:color w:val="000000"/>
          <w:spacing w:val="-4"/>
          <w:kern w:val="0"/>
        </w:rPr>
        <w:t>其他节能环保支出（款）其他节能环保支出（项）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0</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8.6</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当年追加</w:t>
      </w:r>
      <w:r>
        <w:rPr>
          <w:rFonts w:ascii="华文仿宋" w:eastAsia="华文仿宋" w:hAnsi="华文仿宋" w:cs="华文仿宋" w:hint="eastAsia"/>
          <w:color w:val="000000" w:themeColor="text1"/>
        </w:rPr>
        <w:t>8.6</w:t>
      </w:r>
      <w:r>
        <w:rPr>
          <w:rFonts w:ascii="华文仿宋" w:eastAsia="华文仿宋" w:hAnsi="华文仿宋" w:cs="华文仿宋" w:hint="eastAsia"/>
          <w:color w:val="000000" w:themeColor="text1"/>
        </w:rPr>
        <w:t>万元</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rPr>
        <w:t>市环境监测中心当年拨入省专项经费。</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rPr>
      </w:pPr>
      <w:r>
        <w:rPr>
          <w:rFonts w:ascii="华文仿宋" w:eastAsia="华文仿宋" w:hAnsi="华文仿宋" w:cs="华文仿宋" w:hint="eastAsia"/>
        </w:rPr>
        <w:t>13.</w:t>
      </w:r>
      <w:r>
        <w:rPr>
          <w:rFonts w:ascii="华文仿宋" w:eastAsia="华文仿宋" w:hAnsi="华文仿宋" w:cs="华文仿宋" w:hint="eastAsia"/>
          <w:snapToGrid w:val="0"/>
          <w:color w:val="000000"/>
          <w:spacing w:val="-4"/>
          <w:kern w:val="0"/>
        </w:rPr>
        <w:t>住房保障支出（款）住房公积金（项）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276.16</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298.39</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108.05</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rPr>
        <w:t>当年增人增资，政策性追加住房公积金</w:t>
      </w:r>
      <w:r>
        <w:rPr>
          <w:rFonts w:ascii="华文仿宋" w:eastAsia="华文仿宋" w:hAnsi="华文仿宋" w:cs="华文仿宋" w:hint="eastAsia"/>
        </w:rPr>
        <w:t>22.23</w:t>
      </w:r>
      <w:r>
        <w:rPr>
          <w:rFonts w:ascii="华文仿宋" w:eastAsia="华文仿宋" w:hAnsi="华文仿宋" w:cs="华文仿宋" w:hint="eastAsia"/>
        </w:rPr>
        <w:t>万元。</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rPr>
      </w:pPr>
      <w:r>
        <w:rPr>
          <w:rFonts w:ascii="华文仿宋" w:eastAsia="华文仿宋" w:hAnsi="华文仿宋" w:cs="华文仿宋" w:hint="eastAsia"/>
        </w:rPr>
        <w:t>14.</w:t>
      </w:r>
      <w:r>
        <w:rPr>
          <w:rFonts w:ascii="华文仿宋" w:eastAsia="华文仿宋" w:hAnsi="华文仿宋" w:cs="华文仿宋" w:hint="eastAsia"/>
          <w:snapToGrid w:val="0"/>
          <w:color w:val="000000"/>
          <w:spacing w:val="-4"/>
          <w:kern w:val="0"/>
        </w:rPr>
        <w:t>住房保障支出（款）提租补贴（项）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431.71</w:t>
      </w:r>
      <w:r>
        <w:rPr>
          <w:rFonts w:ascii="华文仿宋" w:eastAsia="华文仿宋" w:hAnsi="华文仿宋" w:cs="华文仿宋" w:hint="eastAsia"/>
          <w:color w:val="000000"/>
        </w:rPr>
        <w:t>万元，支出决算为</w:t>
      </w:r>
      <w:r>
        <w:rPr>
          <w:rFonts w:ascii="华文仿宋" w:eastAsia="华文仿宋" w:hAnsi="华文仿宋" w:cs="华文仿宋" w:hint="eastAsia"/>
          <w:color w:val="000000"/>
        </w:rPr>
        <w:t>398.03</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92.2</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rPr>
        <w:t>当年人员变动，提租补贴减少</w:t>
      </w:r>
      <w:r>
        <w:rPr>
          <w:rFonts w:ascii="华文仿宋" w:eastAsia="华文仿宋" w:hAnsi="华文仿宋" w:cs="华文仿宋" w:hint="eastAsia"/>
        </w:rPr>
        <w:t>33.68</w:t>
      </w:r>
      <w:r>
        <w:rPr>
          <w:rFonts w:ascii="华文仿宋" w:eastAsia="华文仿宋" w:hAnsi="华文仿宋" w:cs="华文仿宋" w:hint="eastAsia"/>
        </w:rPr>
        <w:t>万元。</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snapToGrid w:val="0"/>
          <w:color w:val="000000" w:themeColor="text1"/>
          <w:spacing w:val="-4"/>
          <w:kern w:val="0"/>
        </w:rPr>
      </w:pPr>
      <w:r>
        <w:rPr>
          <w:rFonts w:ascii="华文仿宋" w:eastAsia="华文仿宋" w:hAnsi="华文仿宋" w:cs="华文仿宋" w:hint="eastAsia"/>
        </w:rPr>
        <w:t>15.</w:t>
      </w:r>
      <w:r>
        <w:rPr>
          <w:rFonts w:ascii="华文仿宋" w:eastAsia="华文仿宋" w:hAnsi="华文仿宋" w:cs="华文仿宋" w:hint="eastAsia"/>
          <w:snapToGrid w:val="0"/>
          <w:color w:val="000000"/>
          <w:spacing w:val="-4"/>
          <w:kern w:val="0"/>
        </w:rPr>
        <w:t>住房保障支出（款）购房补贴（项）</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color w:val="000000"/>
        </w:rPr>
        <w:t>年初预算为</w:t>
      </w:r>
      <w:r>
        <w:rPr>
          <w:rFonts w:ascii="华文仿宋" w:eastAsia="华文仿宋" w:hAnsi="华文仿宋" w:cs="华文仿宋" w:hint="eastAsia"/>
          <w:color w:val="000000"/>
        </w:rPr>
        <w:t>249.99</w:t>
      </w:r>
      <w:r>
        <w:rPr>
          <w:rFonts w:ascii="华文仿宋" w:eastAsia="华文仿宋" w:hAnsi="华文仿宋" w:cs="华文仿宋" w:hint="eastAsia"/>
          <w:color w:val="000000"/>
        </w:rPr>
        <w:lastRenderedPageBreak/>
        <w:t>万元，支出决算为</w:t>
      </w:r>
      <w:r>
        <w:rPr>
          <w:rFonts w:ascii="华文仿宋" w:eastAsia="华文仿宋" w:hAnsi="华文仿宋" w:cs="华文仿宋" w:hint="eastAsia"/>
          <w:color w:val="000000"/>
        </w:rPr>
        <w:t>275.24</w:t>
      </w:r>
      <w:r>
        <w:rPr>
          <w:rFonts w:ascii="华文仿宋" w:eastAsia="华文仿宋" w:hAnsi="华文仿宋" w:cs="华文仿宋" w:hint="eastAsia"/>
          <w:color w:val="000000"/>
        </w:rPr>
        <w:t>万元，</w:t>
      </w:r>
      <w:r>
        <w:rPr>
          <w:rFonts w:ascii="华文仿宋" w:eastAsia="华文仿宋" w:hAnsi="华文仿宋" w:cs="华文仿宋" w:hint="eastAsia"/>
          <w:color w:val="000000" w:themeColor="text1"/>
        </w:rPr>
        <w:t>完成年初预算的</w:t>
      </w:r>
      <w:r>
        <w:rPr>
          <w:rFonts w:ascii="华文仿宋" w:eastAsia="华文仿宋" w:hAnsi="华文仿宋" w:cs="华文仿宋" w:hint="eastAsia"/>
          <w:color w:val="000000" w:themeColor="text1"/>
        </w:rPr>
        <w:t>110.1</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w:t>
      </w:r>
      <w:r>
        <w:rPr>
          <w:rFonts w:ascii="华文仿宋" w:eastAsia="华文仿宋" w:hAnsi="华文仿宋" w:cs="华文仿宋" w:hint="eastAsia"/>
        </w:rPr>
        <w:t>决算数大于预算数的主要原因是</w:t>
      </w:r>
      <w:r>
        <w:rPr>
          <w:rFonts w:ascii="华文仿宋" w:eastAsia="华文仿宋" w:hAnsi="华文仿宋" w:cs="华文仿宋" w:hint="eastAsia"/>
        </w:rPr>
        <w:t>当年增人增资，政策性追加购房补贴</w:t>
      </w:r>
      <w:r>
        <w:rPr>
          <w:rFonts w:ascii="华文仿宋" w:eastAsia="华文仿宋" w:hAnsi="华文仿宋" w:cs="华文仿宋" w:hint="eastAsia"/>
        </w:rPr>
        <w:t>25.25</w:t>
      </w:r>
      <w:r>
        <w:rPr>
          <w:rFonts w:ascii="华文仿宋" w:eastAsia="华文仿宋" w:hAnsi="华文仿宋" w:cs="华文仿宋" w:hint="eastAsia"/>
        </w:rPr>
        <w:t>万元。</w:t>
      </w:r>
    </w:p>
    <w:p w:rsidR="000C0FB9" w:rsidRDefault="009E755C">
      <w:pPr>
        <w:spacing w:line="570" w:lineRule="exact"/>
        <w:ind w:firstLine="640"/>
        <w:rPr>
          <w:rFonts w:ascii="黑体" w:eastAsia="黑体" w:hAnsi="黑体"/>
        </w:rPr>
      </w:pPr>
      <w:r>
        <w:rPr>
          <w:rFonts w:ascii="黑体" w:eastAsia="黑体" w:hAnsi="黑体" w:hint="eastAsia"/>
        </w:rPr>
        <w:t>六、财政拨款基本支出决算情况说明</w:t>
      </w:r>
    </w:p>
    <w:p w:rsidR="000C0FB9" w:rsidRDefault="009E755C">
      <w:pPr>
        <w:spacing w:line="570" w:lineRule="exact"/>
        <w:ind w:firstLine="640"/>
        <w:rPr>
          <w:rFonts w:ascii="仿宋_GB2312" w:hAnsi="仿宋_GB2312"/>
        </w:rPr>
      </w:pPr>
      <w:r>
        <w:rPr>
          <w:rFonts w:ascii="仿宋_GB2312" w:hAnsi="仿宋_GB2312" w:hint="eastAsia"/>
        </w:rPr>
        <w:t>常州市环境保护局</w:t>
      </w:r>
      <w:r>
        <w:rPr>
          <w:rFonts w:ascii="仿宋_GB2312" w:hAnsi="仿宋_GB2312"/>
        </w:rPr>
        <w:t>2018</w:t>
      </w:r>
      <w:r>
        <w:rPr>
          <w:rFonts w:ascii="仿宋_GB2312" w:hAnsi="仿宋_GB2312"/>
        </w:rPr>
        <w:t>年度财政拨款基本支出</w:t>
      </w:r>
      <w:r>
        <w:rPr>
          <w:rFonts w:ascii="仿宋_GB2312" w:hAnsi="仿宋_GB2312" w:hint="eastAsia"/>
        </w:rPr>
        <w:t>5601.75</w:t>
      </w:r>
      <w:r>
        <w:rPr>
          <w:rFonts w:ascii="仿宋_GB2312" w:hAnsi="仿宋_GB2312"/>
        </w:rPr>
        <w:t>万元，其中：</w:t>
      </w:r>
    </w:p>
    <w:p w:rsidR="000C0FB9" w:rsidRDefault="009E755C">
      <w:pPr>
        <w:numPr>
          <w:ilvl w:val="0"/>
          <w:numId w:val="5"/>
        </w:numPr>
        <w:spacing w:line="570" w:lineRule="exact"/>
        <w:ind w:firstLine="640"/>
        <w:rPr>
          <w:rFonts w:ascii="仿宋_GB2312" w:hAnsi="仿宋_GB2312"/>
        </w:rPr>
      </w:pPr>
      <w:r>
        <w:rPr>
          <w:rFonts w:ascii="仿宋_GB2312" w:hAnsi="仿宋_GB2312"/>
        </w:rPr>
        <w:t>人员经费</w:t>
      </w:r>
      <w:r>
        <w:rPr>
          <w:rFonts w:ascii="仿宋_GB2312" w:hAnsi="仿宋_GB2312" w:hint="eastAsia"/>
        </w:rPr>
        <w:t>5218.17</w:t>
      </w:r>
      <w:r>
        <w:rPr>
          <w:rFonts w:ascii="仿宋_GB2312" w:hAnsi="仿宋_GB2312"/>
        </w:rPr>
        <w:t>万元。主要包括：基本工资、津贴补贴、奖金、绩效工资、</w:t>
      </w:r>
      <w:r>
        <w:rPr>
          <w:rFonts w:ascii="仿宋_GB2312" w:hAnsi="仿宋_GB2312" w:hint="eastAsia"/>
        </w:rPr>
        <w:t>机关事业单位养老保险、职业年金缴费、职工基本医疗保险缴费、公务员医疗补助缴费、其他社会保障缴费、住房公积金、</w:t>
      </w:r>
      <w:r>
        <w:rPr>
          <w:rFonts w:ascii="仿宋_GB2312" w:hAnsi="仿宋_GB2312"/>
        </w:rPr>
        <w:t>其他工资福利支出、离休费、退休费、抚恤金、医疗费</w:t>
      </w:r>
      <w:r>
        <w:rPr>
          <w:rFonts w:ascii="仿宋_GB2312" w:hAnsi="仿宋_GB2312" w:hint="eastAsia"/>
        </w:rPr>
        <w:t>补助</w:t>
      </w:r>
      <w:r>
        <w:rPr>
          <w:rFonts w:ascii="仿宋_GB2312" w:hAnsi="仿宋_GB2312"/>
        </w:rPr>
        <w:t>、奖励金、其他对个人和家庭的补助支出。</w:t>
      </w:r>
      <w:r>
        <w:rPr>
          <w:i/>
        </w:rPr>
        <w:t>（按</w:t>
      </w:r>
      <w:r>
        <w:rPr>
          <w:i/>
        </w:rPr>
        <w:t>“</w:t>
      </w:r>
      <w:r>
        <w:rPr>
          <w:i/>
        </w:rPr>
        <w:t>公开</w:t>
      </w:r>
      <w:r>
        <w:rPr>
          <w:i/>
        </w:rPr>
        <w:t>06</w:t>
      </w:r>
      <w:r>
        <w:rPr>
          <w:i/>
        </w:rPr>
        <w:t>表</w:t>
      </w:r>
      <w:r>
        <w:rPr>
          <w:i/>
        </w:rPr>
        <w:t xml:space="preserve"> </w:t>
      </w:r>
      <w:r>
        <w:rPr>
          <w:i/>
        </w:rPr>
        <w:t>财政拨款基本支出决算表</w:t>
      </w:r>
      <w:r>
        <w:rPr>
          <w:i/>
        </w:rPr>
        <w:t>”</w:t>
      </w:r>
      <w:r>
        <w:rPr>
          <w:i/>
        </w:rPr>
        <w:t>中实际发生经济分类支出事项填写）</w:t>
      </w:r>
    </w:p>
    <w:p w:rsidR="000C0FB9" w:rsidRDefault="009E755C">
      <w:pPr>
        <w:numPr>
          <w:ilvl w:val="0"/>
          <w:numId w:val="5"/>
        </w:numPr>
        <w:spacing w:line="570" w:lineRule="exact"/>
        <w:ind w:firstLine="640"/>
        <w:rPr>
          <w:rFonts w:ascii="仿宋_GB2312" w:hAnsi="仿宋_GB2312"/>
        </w:rPr>
      </w:pPr>
      <w:r>
        <w:rPr>
          <w:rFonts w:ascii="仿宋_GB2312" w:hAnsi="仿宋_GB2312"/>
        </w:rPr>
        <w:t>公用经费</w:t>
      </w:r>
      <w:r>
        <w:rPr>
          <w:rFonts w:ascii="仿宋_GB2312" w:hAnsi="仿宋_GB2312" w:hint="eastAsia"/>
        </w:rPr>
        <w:t>383.58</w:t>
      </w:r>
      <w:r>
        <w:rPr>
          <w:rFonts w:ascii="仿宋_GB2312" w:hAnsi="仿宋_GB2312"/>
        </w:rPr>
        <w:t>万元。主要包括：办公费、印刷费、手续费、水费、电费、邮电费、物业管理费、差旅费、维修（护）费、会议费、培训费、公务接待费、劳务费、工会经费、福利费、其他交通费用</w:t>
      </w:r>
      <w:r>
        <w:rPr>
          <w:rFonts w:ascii="仿宋_GB2312" w:hAnsi="仿宋_GB2312" w:hint="eastAsia"/>
        </w:rPr>
        <w:t>。</w:t>
      </w:r>
      <w:r>
        <w:rPr>
          <w:i/>
        </w:rPr>
        <w:t>（按</w:t>
      </w:r>
      <w:r>
        <w:rPr>
          <w:i/>
        </w:rPr>
        <w:t>“</w:t>
      </w:r>
      <w:r>
        <w:rPr>
          <w:i/>
        </w:rPr>
        <w:t>公开</w:t>
      </w:r>
      <w:r>
        <w:rPr>
          <w:i/>
        </w:rPr>
        <w:t>06</w:t>
      </w:r>
      <w:r>
        <w:rPr>
          <w:i/>
        </w:rPr>
        <w:t>表</w:t>
      </w:r>
      <w:r>
        <w:rPr>
          <w:i/>
        </w:rPr>
        <w:t xml:space="preserve"> </w:t>
      </w:r>
      <w:r>
        <w:rPr>
          <w:i/>
        </w:rPr>
        <w:t>财政拨款基本支出决算表</w:t>
      </w:r>
      <w:r>
        <w:rPr>
          <w:i/>
        </w:rPr>
        <w:t>”</w:t>
      </w:r>
      <w:r>
        <w:rPr>
          <w:i/>
        </w:rPr>
        <w:t>中实际发生经济分类支出事项填写）</w:t>
      </w:r>
    </w:p>
    <w:p w:rsidR="000C0FB9" w:rsidRDefault="009E755C" w:rsidP="007337CC">
      <w:pPr>
        <w:spacing w:line="570" w:lineRule="exact"/>
        <w:ind w:leftChars="200" w:left="640" w:firstLineChars="0" w:firstLine="0"/>
        <w:rPr>
          <w:rFonts w:ascii="黑体" w:eastAsia="黑体" w:hAnsi="黑体"/>
        </w:rPr>
      </w:pPr>
      <w:r>
        <w:rPr>
          <w:rFonts w:ascii="黑体" w:eastAsia="黑体" w:hAnsi="黑体" w:hint="eastAsia"/>
        </w:rPr>
        <w:t>七、一般公共预算财政拨款支出决算情况说明</w:t>
      </w:r>
    </w:p>
    <w:p w:rsidR="000C0FB9" w:rsidRDefault="009E755C">
      <w:pPr>
        <w:spacing w:line="570" w:lineRule="exact"/>
        <w:ind w:firstLine="640"/>
        <w:rPr>
          <w:rFonts w:ascii="仿宋_GB2312" w:hAnsi="仿宋_GB2312"/>
        </w:rPr>
      </w:pPr>
      <w:r>
        <w:rPr>
          <w:rFonts w:ascii="仿宋_GB2312" w:hAnsi="仿宋_GB2312"/>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r>
        <w:rPr>
          <w:rFonts w:ascii="仿宋_GB2312" w:hAnsi="仿宋_GB2312" w:hint="eastAsia"/>
        </w:rPr>
        <w:t>常州市环境保护局</w:t>
      </w:r>
      <w:r>
        <w:rPr>
          <w:rFonts w:ascii="仿宋_GB2312" w:hAnsi="仿宋_GB2312"/>
        </w:rPr>
        <w:t>2018</w:t>
      </w:r>
      <w:r>
        <w:rPr>
          <w:rFonts w:ascii="仿宋_GB2312" w:hAnsi="仿宋_GB2312"/>
        </w:rPr>
        <w:t>年一般公共预算财政拨款支出</w:t>
      </w:r>
      <w:r>
        <w:rPr>
          <w:rFonts w:ascii="仿宋_GB2312" w:hAnsi="仿宋_GB2312" w:hint="eastAsia"/>
        </w:rPr>
        <w:t>10236.98</w:t>
      </w:r>
      <w:r>
        <w:rPr>
          <w:rFonts w:ascii="仿宋_GB2312" w:hAnsi="仿宋_GB2312"/>
        </w:rPr>
        <w:t>万</w:t>
      </w:r>
      <w:r>
        <w:rPr>
          <w:rFonts w:ascii="仿宋_GB2312" w:hAnsi="仿宋_GB2312"/>
        </w:rPr>
        <w:lastRenderedPageBreak/>
        <w:t>元，与上年相比增加</w:t>
      </w:r>
      <w:r>
        <w:rPr>
          <w:rFonts w:ascii="仿宋_GB2312" w:hAnsi="仿宋_GB2312" w:hint="eastAsia"/>
        </w:rPr>
        <w:t>1466</w:t>
      </w:r>
      <w:r>
        <w:rPr>
          <w:rFonts w:ascii="仿宋_GB2312" w:hAnsi="仿宋_GB2312"/>
        </w:rPr>
        <w:t>万元，增长</w:t>
      </w:r>
      <w:r>
        <w:rPr>
          <w:rFonts w:ascii="仿宋_GB2312" w:hAnsi="仿宋_GB2312" w:hint="eastAsia"/>
        </w:rPr>
        <w:t>16.7</w:t>
      </w:r>
      <w:r>
        <w:rPr>
          <w:rFonts w:ascii="仿宋_GB2312" w:hAnsi="仿宋_GB2312"/>
        </w:rPr>
        <w:t>%</w:t>
      </w:r>
      <w:r>
        <w:rPr>
          <w:rFonts w:ascii="仿宋_GB2312" w:hAnsi="仿宋_GB2312"/>
        </w:rPr>
        <w:t>。主要原因是</w:t>
      </w:r>
      <w:r>
        <w:rPr>
          <w:rFonts w:ascii="仿宋_GB2312" w:hAnsi="仿宋_GB2312" w:hint="eastAsia"/>
        </w:rPr>
        <w:t>1.</w:t>
      </w:r>
      <w:r>
        <w:rPr>
          <w:rFonts w:ascii="仿宋_GB2312" w:hAnsi="仿宋_GB2312" w:hint="eastAsia"/>
        </w:rPr>
        <w:t>正常性经费的年度追加；</w:t>
      </w:r>
      <w:r>
        <w:rPr>
          <w:rFonts w:ascii="仿宋_GB2312" w:hAnsi="仿宋_GB2312" w:hint="eastAsia"/>
        </w:rPr>
        <w:t>2.</w:t>
      </w:r>
      <w:r>
        <w:rPr>
          <w:rFonts w:ascii="仿宋_GB2312" w:hAnsi="仿宋_GB2312" w:hint="eastAsia"/>
        </w:rPr>
        <w:t>专项资金增加</w:t>
      </w:r>
      <w:r>
        <w:rPr>
          <w:rFonts w:ascii="仿宋_GB2312" w:hAnsi="仿宋_GB2312"/>
        </w:rPr>
        <w:t>。</w:t>
      </w:r>
    </w:p>
    <w:p w:rsidR="000C0FB9" w:rsidRDefault="009E755C">
      <w:pPr>
        <w:spacing w:line="570" w:lineRule="exact"/>
        <w:ind w:firstLine="640"/>
        <w:rPr>
          <w:rFonts w:ascii="仿宋_GB2312" w:hAnsi="仿宋_GB2312"/>
        </w:rPr>
      </w:pPr>
      <w:r>
        <w:rPr>
          <w:rFonts w:ascii="仿宋_GB2312" w:hAnsi="仿宋_GB2312" w:hint="eastAsia"/>
        </w:rPr>
        <w:t>常州市环境保护局</w:t>
      </w:r>
      <w:r>
        <w:rPr>
          <w:rFonts w:ascii="仿宋_GB2312" w:hAnsi="仿宋_GB2312"/>
        </w:rPr>
        <w:t>2018</w:t>
      </w:r>
      <w:r>
        <w:rPr>
          <w:rFonts w:ascii="仿宋_GB2312" w:hAnsi="仿宋_GB2312"/>
        </w:rPr>
        <w:t>年度一</w:t>
      </w:r>
      <w:r>
        <w:rPr>
          <w:rFonts w:ascii="仿宋_GB2312" w:hAnsi="仿宋_GB2312"/>
        </w:rPr>
        <w:t>般公共预算财政拨款支出年初预算为</w:t>
      </w:r>
      <w:r>
        <w:rPr>
          <w:rFonts w:ascii="仿宋_GB2312" w:hAnsi="仿宋_GB2312" w:hint="eastAsia"/>
        </w:rPr>
        <w:t>4420.73</w:t>
      </w:r>
      <w:r>
        <w:rPr>
          <w:rFonts w:ascii="仿宋_GB2312" w:hAnsi="仿宋_GB2312"/>
        </w:rPr>
        <w:t>万元，支出决算为</w:t>
      </w:r>
      <w:r>
        <w:rPr>
          <w:rFonts w:ascii="仿宋_GB2312" w:hAnsi="仿宋_GB2312" w:hint="eastAsia"/>
        </w:rPr>
        <w:t>10236.98</w:t>
      </w:r>
      <w:r>
        <w:rPr>
          <w:rFonts w:ascii="仿宋_GB2312" w:hAnsi="仿宋_GB2312"/>
        </w:rPr>
        <w:t>万元，完成年初预算的</w:t>
      </w:r>
      <w:r>
        <w:rPr>
          <w:rFonts w:ascii="仿宋_GB2312" w:hAnsi="仿宋_GB2312" w:hint="eastAsia"/>
        </w:rPr>
        <w:t>231.57</w:t>
      </w:r>
      <w:r>
        <w:rPr>
          <w:rFonts w:ascii="仿宋_GB2312" w:hAnsi="仿宋_GB2312"/>
        </w:rPr>
        <w:t>%</w:t>
      </w:r>
      <w:r>
        <w:rPr>
          <w:rFonts w:ascii="仿宋_GB2312" w:hAnsi="仿宋_GB2312"/>
        </w:rPr>
        <w:t>。决算数大于年初预算的主要原因是</w:t>
      </w:r>
      <w:r>
        <w:rPr>
          <w:rFonts w:ascii="华文仿宋" w:eastAsia="华文仿宋" w:hAnsi="华文仿宋" w:cs="华文仿宋" w:hint="eastAsia"/>
          <w:snapToGrid w:val="0"/>
          <w:color w:val="000000"/>
          <w:spacing w:val="-4"/>
          <w:kern w:val="0"/>
        </w:rPr>
        <w:t>1</w:t>
      </w:r>
      <w:r>
        <w:rPr>
          <w:rFonts w:ascii="华文仿宋" w:eastAsia="华文仿宋" w:hAnsi="华文仿宋" w:cs="华文仿宋" w:hint="eastAsia"/>
          <w:snapToGrid w:val="0"/>
          <w:color w:val="000000"/>
          <w:spacing w:val="-4"/>
          <w:kern w:val="0"/>
        </w:rPr>
        <w:t>、正常性经费的政策性追加，</w:t>
      </w:r>
      <w:r>
        <w:rPr>
          <w:rFonts w:ascii="华文仿宋" w:eastAsia="华文仿宋" w:hAnsi="华文仿宋" w:cs="华文仿宋" w:hint="eastAsia"/>
          <w:snapToGrid w:val="0"/>
          <w:color w:val="000000"/>
          <w:spacing w:val="-4"/>
          <w:kern w:val="0"/>
        </w:rPr>
        <w:t>2</w:t>
      </w:r>
      <w:r>
        <w:rPr>
          <w:rFonts w:ascii="华文仿宋" w:eastAsia="华文仿宋" w:hAnsi="华文仿宋" w:cs="华文仿宋" w:hint="eastAsia"/>
          <w:snapToGrid w:val="0"/>
          <w:color w:val="000000"/>
          <w:spacing w:val="-4"/>
          <w:kern w:val="0"/>
        </w:rPr>
        <w:t>、环保专项资金未纳入年初部门预算，为年度追加</w:t>
      </w:r>
      <w:r>
        <w:rPr>
          <w:rFonts w:ascii="华文仿宋" w:eastAsia="华文仿宋" w:hAnsi="华文仿宋" w:cs="华文仿宋" w:hint="eastAsia"/>
        </w:rPr>
        <w:t>。</w:t>
      </w:r>
    </w:p>
    <w:p w:rsidR="000C0FB9" w:rsidRDefault="009E755C">
      <w:pPr>
        <w:spacing w:line="570" w:lineRule="exact"/>
        <w:ind w:firstLine="640"/>
        <w:rPr>
          <w:rFonts w:ascii="黑体" w:eastAsia="黑体" w:hAnsi="黑体"/>
        </w:rPr>
      </w:pPr>
      <w:r>
        <w:rPr>
          <w:rFonts w:ascii="黑体" w:eastAsia="黑体" w:hAnsi="黑体" w:hint="eastAsia"/>
        </w:rPr>
        <w:t>八、一般公共预算财政拨款基本支出决算情况说明</w:t>
      </w:r>
    </w:p>
    <w:p w:rsidR="000C0FB9" w:rsidRDefault="009E755C">
      <w:pPr>
        <w:spacing w:line="570" w:lineRule="exact"/>
        <w:ind w:firstLine="640"/>
        <w:rPr>
          <w:rFonts w:ascii="仿宋_GB2312" w:hAnsi="仿宋_GB2312"/>
        </w:rPr>
      </w:pPr>
      <w:r>
        <w:rPr>
          <w:rFonts w:ascii="仿宋_GB2312" w:hAnsi="仿宋_GB2312" w:hint="eastAsia"/>
        </w:rPr>
        <w:t>常州市环境保护局</w:t>
      </w:r>
      <w:r>
        <w:rPr>
          <w:rFonts w:ascii="仿宋_GB2312" w:hAnsi="仿宋_GB2312"/>
        </w:rPr>
        <w:t>2018</w:t>
      </w:r>
      <w:r>
        <w:rPr>
          <w:rFonts w:ascii="仿宋_GB2312" w:hAnsi="仿宋_GB2312"/>
        </w:rPr>
        <w:t>年度一般公共预算财政拨款基本支出</w:t>
      </w:r>
      <w:r>
        <w:rPr>
          <w:rFonts w:ascii="仿宋_GB2312" w:hAnsi="仿宋_GB2312" w:hint="eastAsia"/>
        </w:rPr>
        <w:t>5601.75</w:t>
      </w:r>
      <w:r>
        <w:rPr>
          <w:rFonts w:ascii="仿宋_GB2312" w:hAnsi="仿宋_GB2312"/>
        </w:rPr>
        <w:t>万元，其中：</w:t>
      </w:r>
    </w:p>
    <w:p w:rsidR="000C0FB9" w:rsidRDefault="009E755C">
      <w:pPr>
        <w:numPr>
          <w:ilvl w:val="0"/>
          <w:numId w:val="6"/>
        </w:numPr>
        <w:spacing w:line="570" w:lineRule="exact"/>
        <w:ind w:firstLine="640"/>
        <w:rPr>
          <w:rFonts w:ascii="仿宋_GB2312" w:hAnsi="仿宋_GB2312"/>
        </w:rPr>
      </w:pPr>
      <w:r>
        <w:rPr>
          <w:rFonts w:ascii="仿宋_GB2312" w:hAnsi="仿宋_GB2312"/>
        </w:rPr>
        <w:t>人员经费</w:t>
      </w:r>
      <w:r>
        <w:rPr>
          <w:rFonts w:ascii="仿宋_GB2312" w:hAnsi="仿宋_GB2312" w:hint="eastAsia"/>
        </w:rPr>
        <w:t>5218.17</w:t>
      </w:r>
      <w:r>
        <w:rPr>
          <w:rFonts w:ascii="仿宋_GB2312" w:hAnsi="仿宋_GB2312"/>
        </w:rPr>
        <w:t>万元。主要包括：主要包括：基本工资、津贴补贴、奖金、绩效工资、</w:t>
      </w:r>
      <w:r>
        <w:rPr>
          <w:rFonts w:ascii="仿宋_GB2312" w:hAnsi="仿宋_GB2312" w:hint="eastAsia"/>
        </w:rPr>
        <w:t>机关事业单位养老保险、职业年金缴费、职工基本医疗保险缴费、公务员医疗补助缴费</w:t>
      </w:r>
      <w:r>
        <w:rPr>
          <w:rFonts w:ascii="仿宋_GB2312" w:hAnsi="仿宋_GB2312" w:hint="eastAsia"/>
        </w:rPr>
        <w:t>、其他社会保障缴费、住房公积金、</w:t>
      </w:r>
      <w:r>
        <w:rPr>
          <w:rFonts w:ascii="仿宋_GB2312" w:hAnsi="仿宋_GB2312"/>
        </w:rPr>
        <w:t>其他工资福利支出、离休费、退休费、抚恤金、医疗费</w:t>
      </w:r>
      <w:r>
        <w:rPr>
          <w:rFonts w:ascii="仿宋_GB2312" w:hAnsi="仿宋_GB2312" w:hint="eastAsia"/>
        </w:rPr>
        <w:t>补助</w:t>
      </w:r>
      <w:r>
        <w:rPr>
          <w:rFonts w:ascii="仿宋_GB2312" w:hAnsi="仿宋_GB2312"/>
        </w:rPr>
        <w:t>、奖励金、其他对个人和家庭的补助支出。</w:t>
      </w:r>
      <w:r>
        <w:rPr>
          <w:i/>
        </w:rPr>
        <w:t>（按</w:t>
      </w:r>
      <w:r>
        <w:rPr>
          <w:i/>
        </w:rPr>
        <w:t>“</w:t>
      </w:r>
      <w:r>
        <w:rPr>
          <w:i/>
        </w:rPr>
        <w:t>公开</w:t>
      </w:r>
      <w:r>
        <w:rPr>
          <w:i/>
        </w:rPr>
        <w:t>08</w:t>
      </w:r>
      <w:r>
        <w:rPr>
          <w:i/>
        </w:rPr>
        <w:t>表</w:t>
      </w:r>
      <w:r>
        <w:rPr>
          <w:i/>
        </w:rPr>
        <w:t xml:space="preserve"> </w:t>
      </w:r>
      <w:r>
        <w:rPr>
          <w:i/>
        </w:rPr>
        <w:t>一般公共预算财政拨款基本支出决算表</w:t>
      </w:r>
      <w:r>
        <w:rPr>
          <w:i/>
        </w:rPr>
        <w:t>”</w:t>
      </w:r>
      <w:r>
        <w:rPr>
          <w:i/>
        </w:rPr>
        <w:t>中实际发生经济分类支出事项填写）</w:t>
      </w:r>
    </w:p>
    <w:p w:rsidR="000C0FB9" w:rsidRDefault="009E755C">
      <w:pPr>
        <w:numPr>
          <w:ilvl w:val="0"/>
          <w:numId w:val="6"/>
        </w:numPr>
        <w:spacing w:line="570" w:lineRule="exact"/>
        <w:ind w:firstLine="640"/>
        <w:rPr>
          <w:rFonts w:ascii="仿宋_GB2312" w:hAnsi="仿宋_GB2312"/>
        </w:rPr>
      </w:pPr>
      <w:r>
        <w:rPr>
          <w:rFonts w:ascii="仿宋_GB2312" w:hAnsi="仿宋_GB2312"/>
        </w:rPr>
        <w:t>公用经费</w:t>
      </w:r>
      <w:r>
        <w:rPr>
          <w:rFonts w:ascii="仿宋_GB2312" w:hAnsi="仿宋_GB2312" w:hint="eastAsia"/>
        </w:rPr>
        <w:t>383.58</w:t>
      </w:r>
      <w:r>
        <w:rPr>
          <w:rFonts w:ascii="仿宋_GB2312" w:hAnsi="仿宋_GB2312"/>
        </w:rPr>
        <w:t>万元。主要包括：办公费、印刷费、手续费、水费、电费、邮电费、物业管理费、差旅费、维修（护）费、会议费、培训费、公务接待费、劳务费、工会经费、福利费、其他交通费用</w:t>
      </w:r>
      <w:r>
        <w:rPr>
          <w:rFonts w:ascii="仿宋_GB2312" w:hAnsi="仿宋_GB2312" w:hint="eastAsia"/>
        </w:rPr>
        <w:t>。</w:t>
      </w:r>
      <w:r>
        <w:rPr>
          <w:i/>
        </w:rPr>
        <w:t>（按</w:t>
      </w:r>
      <w:r>
        <w:rPr>
          <w:i/>
        </w:rPr>
        <w:t>“</w:t>
      </w:r>
      <w:r>
        <w:rPr>
          <w:i/>
        </w:rPr>
        <w:t>公开</w:t>
      </w:r>
      <w:r>
        <w:rPr>
          <w:i/>
        </w:rPr>
        <w:t>08</w:t>
      </w:r>
      <w:r>
        <w:rPr>
          <w:i/>
        </w:rPr>
        <w:t>表</w:t>
      </w:r>
      <w:r>
        <w:rPr>
          <w:i/>
        </w:rPr>
        <w:t xml:space="preserve"> </w:t>
      </w:r>
      <w:r>
        <w:rPr>
          <w:i/>
        </w:rPr>
        <w:t>一般公共预算财政拨款基本支出决算表</w:t>
      </w:r>
      <w:r>
        <w:rPr>
          <w:i/>
        </w:rPr>
        <w:t>”</w:t>
      </w:r>
      <w:r>
        <w:rPr>
          <w:i/>
        </w:rPr>
        <w:t>中实际发生经济分类支出事项填写）</w:t>
      </w:r>
    </w:p>
    <w:p w:rsidR="000C0FB9" w:rsidRDefault="009E755C">
      <w:pPr>
        <w:numPr>
          <w:ilvl w:val="0"/>
          <w:numId w:val="7"/>
        </w:numPr>
        <w:spacing w:line="570" w:lineRule="exact"/>
        <w:ind w:firstLine="640"/>
        <w:rPr>
          <w:rFonts w:ascii="黑体" w:eastAsia="黑体" w:hAnsi="黑体"/>
        </w:rPr>
      </w:pPr>
      <w:r>
        <w:rPr>
          <w:rFonts w:ascii="黑体" w:eastAsia="黑体" w:hAnsi="黑体" w:hint="eastAsia"/>
        </w:rPr>
        <w:lastRenderedPageBreak/>
        <w:t>一般公共预算财政拨款“三公”经费、会议费、培训费支出情况说明</w:t>
      </w:r>
    </w:p>
    <w:p w:rsidR="000C0FB9" w:rsidRDefault="009E755C">
      <w:pPr>
        <w:spacing w:line="570" w:lineRule="exact"/>
        <w:ind w:firstLineChars="0" w:firstLine="0"/>
        <w:rPr>
          <w:rFonts w:ascii="仿宋_GB2312" w:hAnsi="仿宋_GB2312"/>
        </w:rPr>
      </w:pPr>
      <w:r>
        <w:rPr>
          <w:rFonts w:ascii="仿宋_GB2312" w:hAnsi="仿宋_GB2312" w:hint="eastAsia"/>
        </w:rPr>
        <w:t>常州市环境保护局</w:t>
      </w:r>
      <w:r>
        <w:rPr>
          <w:rFonts w:ascii="仿宋_GB2312" w:hAnsi="仿宋_GB2312"/>
        </w:rPr>
        <w:t xml:space="preserve">2018 </w:t>
      </w:r>
      <w:r>
        <w:rPr>
          <w:rFonts w:ascii="仿宋_GB2312" w:hAnsi="仿宋_GB2312"/>
        </w:rPr>
        <w:t>年度一般公共预算拨款安排的</w:t>
      </w:r>
      <w:r>
        <w:rPr>
          <w:rFonts w:ascii="仿宋_GB2312" w:hAnsi="仿宋_GB2312"/>
        </w:rPr>
        <w:t>“</w:t>
      </w:r>
      <w:r>
        <w:rPr>
          <w:rFonts w:ascii="仿宋_GB2312" w:hAnsi="仿宋_GB2312"/>
        </w:rPr>
        <w:t>三公</w:t>
      </w:r>
      <w:r>
        <w:rPr>
          <w:rFonts w:ascii="仿宋_GB2312" w:hAnsi="仿宋_GB2312"/>
        </w:rPr>
        <w:t>”</w:t>
      </w:r>
      <w:r>
        <w:rPr>
          <w:rFonts w:ascii="仿宋_GB2312" w:hAnsi="仿宋_GB2312"/>
        </w:rPr>
        <w:t>经费决算支出中，因公出国（境）费支出</w:t>
      </w:r>
      <w:r>
        <w:rPr>
          <w:rFonts w:ascii="仿宋_GB2312" w:hAnsi="仿宋_GB2312" w:hint="eastAsia"/>
        </w:rPr>
        <w:t>8.41</w:t>
      </w:r>
      <w:r>
        <w:rPr>
          <w:rFonts w:ascii="仿宋_GB2312" w:hAnsi="仿宋_GB2312"/>
        </w:rPr>
        <w:t>万元，占</w:t>
      </w:r>
      <w:r>
        <w:rPr>
          <w:rFonts w:ascii="仿宋_GB2312" w:hAnsi="仿宋_GB2312"/>
        </w:rPr>
        <w:t>“</w:t>
      </w:r>
      <w:r>
        <w:rPr>
          <w:rFonts w:ascii="仿宋_GB2312" w:hAnsi="仿宋_GB2312"/>
        </w:rPr>
        <w:t>三公</w:t>
      </w:r>
      <w:r>
        <w:rPr>
          <w:rFonts w:ascii="仿宋_GB2312" w:hAnsi="仿宋_GB2312"/>
        </w:rPr>
        <w:t>”</w:t>
      </w:r>
      <w:r>
        <w:rPr>
          <w:rFonts w:ascii="仿宋_GB2312" w:hAnsi="仿宋_GB2312"/>
        </w:rPr>
        <w:t>经费的</w:t>
      </w:r>
      <w:r>
        <w:rPr>
          <w:rFonts w:ascii="仿宋_GB2312" w:hAnsi="仿宋_GB2312" w:hint="eastAsia"/>
        </w:rPr>
        <w:t>43</w:t>
      </w:r>
      <w:r>
        <w:rPr>
          <w:rFonts w:ascii="仿宋_GB2312" w:hAnsi="仿宋_GB2312"/>
        </w:rPr>
        <w:t>%</w:t>
      </w:r>
      <w:r>
        <w:rPr>
          <w:rFonts w:ascii="仿宋_GB2312" w:hAnsi="仿宋_GB2312"/>
        </w:rPr>
        <w:t>；公务用车购置及运行费支出</w:t>
      </w:r>
      <w:r>
        <w:rPr>
          <w:rFonts w:ascii="仿宋_GB2312" w:hAnsi="仿宋_GB2312" w:hint="eastAsia"/>
        </w:rPr>
        <w:t>3.1</w:t>
      </w:r>
      <w:r>
        <w:rPr>
          <w:rFonts w:ascii="仿宋_GB2312" w:hAnsi="仿宋_GB2312"/>
        </w:rPr>
        <w:t>万元，占</w:t>
      </w:r>
      <w:r>
        <w:rPr>
          <w:rFonts w:ascii="仿宋_GB2312" w:hAnsi="仿宋_GB2312"/>
        </w:rPr>
        <w:t>“</w:t>
      </w:r>
      <w:r>
        <w:rPr>
          <w:rFonts w:ascii="仿宋_GB2312" w:hAnsi="仿宋_GB2312"/>
        </w:rPr>
        <w:t>三公</w:t>
      </w:r>
      <w:r>
        <w:rPr>
          <w:rFonts w:ascii="仿宋_GB2312" w:hAnsi="仿宋_GB2312"/>
        </w:rPr>
        <w:t>”</w:t>
      </w:r>
      <w:r>
        <w:rPr>
          <w:rFonts w:ascii="仿宋_GB2312" w:hAnsi="仿宋_GB2312"/>
        </w:rPr>
        <w:t>经费的</w:t>
      </w:r>
      <w:r>
        <w:rPr>
          <w:rFonts w:ascii="仿宋_GB2312" w:hAnsi="仿宋_GB2312" w:hint="eastAsia"/>
        </w:rPr>
        <w:t>15.9</w:t>
      </w:r>
      <w:r>
        <w:rPr>
          <w:rFonts w:ascii="仿宋_GB2312" w:hAnsi="仿宋_GB2312"/>
        </w:rPr>
        <w:t>%</w:t>
      </w:r>
      <w:r>
        <w:rPr>
          <w:rFonts w:ascii="仿宋_GB2312" w:hAnsi="仿宋_GB2312"/>
        </w:rPr>
        <w:t>；公务接待费支出</w:t>
      </w:r>
      <w:r>
        <w:rPr>
          <w:rFonts w:ascii="仿宋_GB2312" w:hAnsi="仿宋_GB2312" w:hint="eastAsia"/>
        </w:rPr>
        <w:t>8.04</w:t>
      </w:r>
      <w:r>
        <w:rPr>
          <w:rFonts w:ascii="仿宋_GB2312" w:hAnsi="仿宋_GB2312"/>
        </w:rPr>
        <w:t>万元，占</w:t>
      </w:r>
      <w:r>
        <w:rPr>
          <w:rFonts w:ascii="仿宋_GB2312" w:hAnsi="仿宋_GB2312"/>
        </w:rPr>
        <w:t>“</w:t>
      </w:r>
      <w:r>
        <w:rPr>
          <w:rFonts w:ascii="仿宋_GB2312" w:hAnsi="仿宋_GB2312"/>
        </w:rPr>
        <w:t>三公</w:t>
      </w:r>
      <w:r>
        <w:rPr>
          <w:rFonts w:ascii="仿宋_GB2312" w:hAnsi="仿宋_GB2312"/>
        </w:rPr>
        <w:t>”</w:t>
      </w:r>
      <w:r>
        <w:rPr>
          <w:rFonts w:ascii="仿宋_GB2312" w:hAnsi="仿宋_GB2312"/>
        </w:rPr>
        <w:t>经费的</w:t>
      </w:r>
      <w:r>
        <w:rPr>
          <w:rFonts w:ascii="仿宋_GB2312" w:hAnsi="仿宋_GB2312" w:hint="eastAsia"/>
        </w:rPr>
        <w:t>41.1</w:t>
      </w:r>
      <w:r>
        <w:rPr>
          <w:rFonts w:ascii="仿宋_GB2312" w:hAnsi="仿宋_GB2312"/>
        </w:rPr>
        <w:t>%</w:t>
      </w:r>
      <w:r>
        <w:rPr>
          <w:rFonts w:ascii="仿宋_GB2312" w:hAnsi="仿宋_GB2312"/>
        </w:rPr>
        <w:t>。具体情况如下：</w:t>
      </w:r>
    </w:p>
    <w:p w:rsidR="000C0FB9" w:rsidRDefault="009E755C">
      <w:pPr>
        <w:spacing w:line="570" w:lineRule="exact"/>
        <w:ind w:firstLine="640"/>
        <w:rPr>
          <w:rFonts w:ascii="仿宋_GB2312" w:hAnsi="仿宋_GB2312"/>
        </w:rPr>
      </w:pPr>
      <w:r>
        <w:rPr>
          <w:rFonts w:ascii="仿宋_GB2312" w:hAnsi="仿宋_GB2312"/>
        </w:rPr>
        <w:t>1</w:t>
      </w:r>
      <w:r>
        <w:rPr>
          <w:rFonts w:ascii="仿宋_GB2312" w:hAnsi="仿宋_GB2312"/>
        </w:rPr>
        <w:t>．因公出国（境）费决算支出</w:t>
      </w:r>
      <w:r>
        <w:rPr>
          <w:rFonts w:ascii="仿宋_GB2312" w:hAnsi="仿宋_GB2312" w:hint="eastAsia"/>
        </w:rPr>
        <w:t>8.41</w:t>
      </w:r>
      <w:r>
        <w:rPr>
          <w:rFonts w:ascii="仿宋_GB2312" w:hAnsi="仿宋_GB2312"/>
        </w:rPr>
        <w:t>万元，完成预算的</w:t>
      </w:r>
      <w:r>
        <w:rPr>
          <w:rFonts w:ascii="仿宋_GB2312" w:hAnsi="仿宋_GB2312" w:hint="eastAsia"/>
        </w:rPr>
        <w:t>60.1</w:t>
      </w:r>
      <w:r>
        <w:rPr>
          <w:rFonts w:ascii="仿宋_GB2312" w:hAnsi="仿宋_GB2312"/>
        </w:rPr>
        <w:t>%</w:t>
      </w:r>
      <w:r>
        <w:rPr>
          <w:rFonts w:ascii="仿宋_GB2312" w:hAnsi="仿宋_GB2312"/>
        </w:rPr>
        <w:t>，比上年决算增加</w:t>
      </w:r>
      <w:r>
        <w:rPr>
          <w:rFonts w:ascii="仿宋_GB2312" w:hAnsi="仿宋_GB2312" w:hint="eastAsia"/>
        </w:rPr>
        <w:t>1.67</w:t>
      </w:r>
      <w:r>
        <w:rPr>
          <w:rFonts w:ascii="仿宋_GB2312" w:hAnsi="仿宋_GB2312"/>
        </w:rPr>
        <w:t>万元，主要原因为</w:t>
      </w:r>
      <w:r>
        <w:rPr>
          <w:rFonts w:ascii="仿宋_GB2312" w:hAnsi="仿宋" w:hint="eastAsia"/>
          <w:color w:val="000000"/>
        </w:rPr>
        <w:t>我部门跟团出访出国（境）</w:t>
      </w:r>
      <w:r>
        <w:rPr>
          <w:rFonts w:ascii="仿宋_GB2312" w:hAnsi="仿宋" w:hint="eastAsia"/>
          <w:color w:val="000000"/>
        </w:rPr>
        <w:t>费用</w:t>
      </w:r>
      <w:r>
        <w:rPr>
          <w:rFonts w:ascii="仿宋_GB2312" w:hAnsi="仿宋" w:hint="eastAsia"/>
          <w:color w:val="000000"/>
        </w:rPr>
        <w:t>较上年增加；</w:t>
      </w:r>
      <w:r>
        <w:rPr>
          <w:rFonts w:ascii="仿宋_GB2312" w:hAnsi="仿宋_GB2312"/>
        </w:rPr>
        <w:t>决算数</w:t>
      </w:r>
      <w:r>
        <w:rPr>
          <w:rFonts w:ascii="仿宋_GB2312" w:hAnsi="仿宋_GB2312" w:hint="eastAsia"/>
        </w:rPr>
        <w:t>小</w:t>
      </w:r>
      <w:r>
        <w:rPr>
          <w:rFonts w:ascii="仿宋_GB2312" w:hAnsi="仿宋_GB2312"/>
        </w:rPr>
        <w:t>于预算数的主要原因</w:t>
      </w:r>
      <w:r>
        <w:rPr>
          <w:rFonts w:ascii="仿宋_GB2312" w:hAnsi="仿宋_GB2312" w:hint="eastAsia"/>
        </w:rPr>
        <w:t>为</w:t>
      </w:r>
      <w:r>
        <w:rPr>
          <w:rFonts w:ascii="仿宋_GB2312" w:hAnsi="仿宋" w:hint="eastAsia"/>
          <w:color w:val="000000"/>
        </w:rPr>
        <w:t>在预算审批范围内严控因公出国（境）批次</w:t>
      </w:r>
      <w:r>
        <w:rPr>
          <w:rFonts w:ascii="仿宋_GB2312" w:hAnsi="仿宋" w:hint="eastAsia"/>
          <w:snapToGrid w:val="0"/>
          <w:color w:val="000000"/>
          <w:spacing w:val="-4"/>
          <w:kern w:val="0"/>
        </w:rPr>
        <w:t>。</w:t>
      </w:r>
      <w:r>
        <w:rPr>
          <w:rFonts w:ascii="仿宋_GB2312" w:hAnsi="仿宋_GB2312"/>
        </w:rPr>
        <w:t>全年使用一般公共预算拨款支出安排的出国（境）团组</w:t>
      </w:r>
      <w:r>
        <w:rPr>
          <w:rFonts w:ascii="仿宋_GB2312" w:hAnsi="仿宋_GB2312" w:hint="eastAsia"/>
        </w:rPr>
        <w:t>2</w:t>
      </w:r>
      <w:r>
        <w:rPr>
          <w:rFonts w:ascii="仿宋_GB2312" w:hAnsi="仿宋_GB2312"/>
        </w:rPr>
        <w:t>个，累计</w:t>
      </w:r>
      <w:r>
        <w:rPr>
          <w:rFonts w:ascii="仿宋_GB2312" w:hAnsi="仿宋_GB2312" w:hint="eastAsia"/>
        </w:rPr>
        <w:t>2</w:t>
      </w:r>
      <w:r>
        <w:rPr>
          <w:rFonts w:ascii="仿宋_GB2312" w:hAnsi="仿宋_GB2312"/>
        </w:rPr>
        <w:t>人次。开支内容主要为：</w:t>
      </w:r>
      <w:r>
        <w:rPr>
          <w:rFonts w:ascii="仿宋_GB2312" w:hint="eastAsia"/>
        </w:rPr>
        <w:t>国际机票、境外住宿费、公杂费等</w:t>
      </w:r>
      <w:r>
        <w:rPr>
          <w:rFonts w:ascii="仿宋_GB2312" w:hAnsi="仿宋_GB2312"/>
        </w:rPr>
        <w:t>。</w:t>
      </w:r>
    </w:p>
    <w:p w:rsidR="000C0FB9" w:rsidRDefault="009E755C">
      <w:pPr>
        <w:spacing w:line="570" w:lineRule="exact"/>
        <w:ind w:firstLine="640"/>
        <w:rPr>
          <w:rFonts w:ascii="仿宋_GB2312" w:hAnsi="仿宋_GB2312"/>
        </w:rPr>
      </w:pPr>
      <w:r>
        <w:rPr>
          <w:rFonts w:ascii="仿宋_GB2312" w:hAnsi="仿宋_GB2312"/>
        </w:rPr>
        <w:t>2</w:t>
      </w:r>
      <w:r>
        <w:rPr>
          <w:rFonts w:ascii="仿宋_GB2312" w:hAnsi="仿宋_GB2312"/>
        </w:rPr>
        <w:t>．公务用车购置及运行费支出</w:t>
      </w:r>
      <w:r>
        <w:rPr>
          <w:rFonts w:ascii="仿宋_GB2312" w:hAnsi="仿宋_GB2312" w:hint="eastAsia"/>
        </w:rPr>
        <w:t>3.1</w:t>
      </w:r>
      <w:r>
        <w:rPr>
          <w:rFonts w:ascii="仿宋_GB2312" w:hAnsi="仿宋_GB2312"/>
        </w:rPr>
        <w:t>万元。其中：</w:t>
      </w:r>
    </w:p>
    <w:p w:rsidR="000C0FB9" w:rsidRDefault="009E755C" w:rsidP="007337CC">
      <w:pPr>
        <w:autoSpaceDE w:val="0"/>
        <w:autoSpaceDN w:val="0"/>
        <w:adjustRightInd w:val="0"/>
        <w:snapToGrid w:val="0"/>
        <w:spacing w:line="570" w:lineRule="exact"/>
        <w:ind w:firstLine="640"/>
        <w:rPr>
          <w:rFonts w:ascii="华文仿宋" w:eastAsia="华文仿宋" w:hAnsi="华文仿宋" w:cs="华文仿宋"/>
          <w:snapToGrid w:val="0"/>
          <w:color w:val="000000"/>
          <w:spacing w:val="-4"/>
          <w:kern w:val="0"/>
        </w:rPr>
      </w:pPr>
      <w:r>
        <w:rPr>
          <w:rFonts w:ascii="仿宋_GB2312" w:hAnsi="仿宋_GB2312"/>
        </w:rPr>
        <w:t>（</w:t>
      </w:r>
      <w:r>
        <w:rPr>
          <w:rFonts w:ascii="仿宋_GB2312" w:hAnsi="仿宋_GB2312"/>
        </w:rPr>
        <w:t>1</w:t>
      </w:r>
      <w:r>
        <w:rPr>
          <w:rFonts w:ascii="仿宋_GB2312" w:hAnsi="仿宋_GB2312"/>
        </w:rPr>
        <w:t>）</w:t>
      </w:r>
      <w:r>
        <w:rPr>
          <w:rFonts w:ascii="华文仿宋" w:eastAsia="华文仿宋" w:hAnsi="华文仿宋" w:cs="华文仿宋" w:hint="eastAsia"/>
          <w:snapToGrid w:val="0"/>
          <w:color w:val="000000"/>
          <w:spacing w:val="-4"/>
          <w:kern w:val="0"/>
        </w:rPr>
        <w:t>公务用车购置决算支出</w:t>
      </w:r>
      <w:r>
        <w:rPr>
          <w:rFonts w:ascii="华文仿宋" w:eastAsia="华文仿宋" w:hAnsi="华文仿宋" w:cs="华文仿宋" w:hint="eastAsia"/>
          <w:snapToGrid w:val="0"/>
          <w:color w:val="000000"/>
          <w:spacing w:val="-4"/>
          <w:kern w:val="0"/>
        </w:rPr>
        <w:t>0</w:t>
      </w:r>
      <w:r>
        <w:rPr>
          <w:rFonts w:ascii="华文仿宋" w:eastAsia="华文仿宋" w:hAnsi="华文仿宋" w:cs="华文仿宋" w:hint="eastAsia"/>
          <w:snapToGrid w:val="0"/>
          <w:color w:val="000000"/>
          <w:spacing w:val="-4"/>
          <w:kern w:val="0"/>
        </w:rPr>
        <w:t>万元，</w:t>
      </w:r>
      <w:r>
        <w:rPr>
          <w:rFonts w:ascii="华文仿宋" w:eastAsia="华文仿宋" w:hAnsi="华文仿宋" w:cs="华文仿宋" w:hint="eastAsia"/>
          <w:snapToGrid w:val="0"/>
          <w:color w:val="000000"/>
          <w:spacing w:val="-4"/>
          <w:kern w:val="0"/>
        </w:rPr>
        <w:t>完成预算的</w:t>
      </w:r>
      <w:r>
        <w:rPr>
          <w:rFonts w:ascii="华文仿宋" w:eastAsia="华文仿宋" w:hAnsi="华文仿宋" w:cs="华文仿宋" w:hint="eastAsia"/>
          <w:snapToGrid w:val="0"/>
          <w:color w:val="000000"/>
          <w:spacing w:val="-4"/>
          <w:kern w:val="0"/>
        </w:rPr>
        <w:t>100%</w:t>
      </w:r>
      <w:r>
        <w:rPr>
          <w:rFonts w:ascii="华文仿宋" w:eastAsia="华文仿宋" w:hAnsi="华文仿宋" w:cs="华文仿宋" w:hint="eastAsia"/>
          <w:snapToGrid w:val="0"/>
          <w:color w:val="000000"/>
          <w:spacing w:val="-4"/>
          <w:kern w:val="0"/>
        </w:rPr>
        <w:t>，与上年决算持平，主要原因为</w:t>
      </w:r>
      <w:r>
        <w:rPr>
          <w:rFonts w:ascii="华文仿宋" w:eastAsia="华文仿宋" w:hAnsi="华文仿宋" w:cs="华文仿宋" w:hint="eastAsia"/>
          <w:color w:val="000000"/>
        </w:rPr>
        <w:t>上年度与本年度均无公务用车购置支出</w:t>
      </w:r>
      <w:r>
        <w:rPr>
          <w:rFonts w:ascii="华文仿宋" w:eastAsia="华文仿宋" w:hAnsi="华文仿宋" w:cs="华文仿宋" w:hint="eastAsia"/>
          <w:snapToGrid w:val="0"/>
          <w:color w:val="000000"/>
          <w:spacing w:val="-4"/>
          <w:kern w:val="0"/>
        </w:rPr>
        <w:t>。</w:t>
      </w:r>
      <w:r>
        <w:rPr>
          <w:rFonts w:ascii="华文仿宋" w:eastAsia="华文仿宋" w:hAnsi="华文仿宋" w:cs="华文仿宋" w:hint="eastAsia"/>
          <w:snapToGrid w:val="0"/>
          <w:color w:val="000000"/>
          <w:spacing w:val="-4"/>
          <w:kern w:val="0"/>
        </w:rPr>
        <w:t>决算数与预算数持平的主要原因是本年度无公务用车购置预算及支出。本年度使用一般公共预算拨款购置公务用车</w:t>
      </w:r>
      <w:r>
        <w:rPr>
          <w:rFonts w:ascii="华文仿宋" w:eastAsia="华文仿宋" w:hAnsi="华文仿宋" w:cs="华文仿宋" w:hint="eastAsia"/>
          <w:snapToGrid w:val="0"/>
          <w:color w:val="000000"/>
          <w:spacing w:val="-4"/>
          <w:kern w:val="0"/>
        </w:rPr>
        <w:t>0</w:t>
      </w:r>
      <w:r>
        <w:rPr>
          <w:rFonts w:ascii="华文仿宋" w:eastAsia="华文仿宋" w:hAnsi="华文仿宋" w:cs="华文仿宋" w:hint="eastAsia"/>
          <w:snapToGrid w:val="0"/>
          <w:color w:val="000000"/>
          <w:spacing w:val="-4"/>
          <w:kern w:val="0"/>
        </w:rPr>
        <w:t>辆。</w:t>
      </w:r>
    </w:p>
    <w:p w:rsidR="000C0FB9" w:rsidRDefault="009E755C" w:rsidP="007337CC">
      <w:pPr>
        <w:spacing w:line="480" w:lineRule="exact"/>
        <w:ind w:firstLine="640"/>
        <w:rPr>
          <w:rFonts w:ascii="华文仿宋" w:eastAsia="华文仿宋" w:hAnsi="华文仿宋" w:cs="华文仿宋"/>
        </w:rPr>
      </w:pPr>
      <w:r>
        <w:rPr>
          <w:rFonts w:ascii="华文仿宋" w:eastAsia="华文仿宋" w:hAnsi="华文仿宋" w:cs="华文仿宋" w:hint="eastAsia"/>
        </w:rPr>
        <w:t>（</w:t>
      </w:r>
      <w:r>
        <w:rPr>
          <w:rFonts w:ascii="华文仿宋" w:eastAsia="华文仿宋" w:hAnsi="华文仿宋" w:cs="华文仿宋" w:hint="eastAsia"/>
        </w:rPr>
        <w:t>2</w:t>
      </w:r>
      <w:r>
        <w:rPr>
          <w:rFonts w:ascii="华文仿宋" w:eastAsia="华文仿宋" w:hAnsi="华文仿宋" w:cs="华文仿宋" w:hint="eastAsia"/>
        </w:rPr>
        <w:t>）公务用车运行维护费决算支出</w:t>
      </w:r>
      <w:r>
        <w:rPr>
          <w:rFonts w:ascii="华文仿宋" w:eastAsia="华文仿宋" w:hAnsi="华文仿宋" w:cs="华文仿宋" w:hint="eastAsia"/>
        </w:rPr>
        <w:t>3.1</w:t>
      </w:r>
      <w:r>
        <w:rPr>
          <w:rFonts w:ascii="华文仿宋" w:eastAsia="华文仿宋" w:hAnsi="华文仿宋" w:cs="华文仿宋" w:hint="eastAsia"/>
        </w:rPr>
        <w:t>万元，</w:t>
      </w:r>
      <w:r>
        <w:rPr>
          <w:rFonts w:ascii="华文仿宋" w:eastAsia="华文仿宋" w:hAnsi="华文仿宋" w:cs="华文仿宋" w:hint="eastAsia"/>
        </w:rPr>
        <w:t>比当年预算增加了</w:t>
      </w:r>
      <w:r>
        <w:rPr>
          <w:rFonts w:ascii="华文仿宋" w:eastAsia="华文仿宋" w:hAnsi="华文仿宋" w:cs="华文仿宋" w:hint="eastAsia"/>
        </w:rPr>
        <w:t>3.1</w:t>
      </w:r>
      <w:r>
        <w:rPr>
          <w:rFonts w:ascii="华文仿宋" w:eastAsia="华文仿宋" w:hAnsi="华文仿宋" w:cs="华文仿宋" w:hint="eastAsia"/>
        </w:rPr>
        <w:t>万元</w:t>
      </w:r>
      <w:r>
        <w:rPr>
          <w:rFonts w:ascii="华文仿宋" w:eastAsia="华文仿宋" w:hAnsi="华文仿宋" w:cs="华文仿宋" w:hint="eastAsia"/>
        </w:rPr>
        <w:t>，比上年决算</w:t>
      </w:r>
      <w:r>
        <w:rPr>
          <w:rFonts w:ascii="华文仿宋" w:eastAsia="华文仿宋" w:hAnsi="华文仿宋" w:cs="华文仿宋" w:hint="eastAsia"/>
        </w:rPr>
        <w:t>增加</w:t>
      </w:r>
      <w:r>
        <w:rPr>
          <w:rFonts w:ascii="华文仿宋" w:eastAsia="华文仿宋" w:hAnsi="华文仿宋" w:cs="华文仿宋" w:hint="eastAsia"/>
        </w:rPr>
        <w:t>1.02</w:t>
      </w:r>
      <w:r>
        <w:rPr>
          <w:rFonts w:ascii="华文仿宋" w:eastAsia="华文仿宋" w:hAnsi="华文仿宋" w:cs="华文仿宋" w:hint="eastAsia"/>
        </w:rPr>
        <w:t>万元，主要原因为</w:t>
      </w:r>
      <w:r>
        <w:rPr>
          <w:rFonts w:ascii="华文仿宋" w:eastAsia="华文仿宋" w:hAnsi="华文仿宋" w:cs="华文仿宋" w:hint="eastAsia"/>
          <w:color w:val="000000"/>
        </w:rPr>
        <w:t>环保日常监管任务加重，车辆使用运维费用增加</w:t>
      </w:r>
      <w:r>
        <w:rPr>
          <w:rFonts w:ascii="华文仿宋" w:eastAsia="华文仿宋" w:hAnsi="华文仿宋" w:cs="华文仿宋" w:hint="eastAsia"/>
          <w:color w:val="000000"/>
        </w:rPr>
        <w:t>。</w:t>
      </w:r>
      <w:r>
        <w:rPr>
          <w:rFonts w:ascii="华文仿宋" w:eastAsia="华文仿宋" w:hAnsi="华文仿宋" w:cs="华文仿宋" w:hint="eastAsia"/>
        </w:rPr>
        <w:t>决算数</w:t>
      </w:r>
      <w:r>
        <w:rPr>
          <w:rFonts w:ascii="华文仿宋" w:eastAsia="华文仿宋" w:hAnsi="华文仿宋" w:cs="华文仿宋" w:hint="eastAsia"/>
        </w:rPr>
        <w:t>大于</w:t>
      </w:r>
      <w:r>
        <w:rPr>
          <w:rFonts w:ascii="华文仿宋" w:eastAsia="华文仿宋" w:hAnsi="华文仿宋" w:cs="华文仿宋" w:hint="eastAsia"/>
        </w:rPr>
        <w:t>预算数的主要原因是</w:t>
      </w:r>
      <w:r>
        <w:rPr>
          <w:rFonts w:ascii="华文仿宋" w:eastAsia="华文仿宋" w:hAnsi="华文仿宋" w:cs="华文仿宋" w:hint="eastAsia"/>
          <w:color w:val="000000"/>
        </w:rPr>
        <w:t>我部门年初无公务用车运维预算，而实际工作中，日常监管任务加重，车辆使用运维费用增加</w:t>
      </w:r>
      <w:r>
        <w:rPr>
          <w:rFonts w:ascii="华文仿宋" w:eastAsia="华文仿宋" w:hAnsi="华文仿宋" w:cs="华文仿宋" w:hint="eastAsia"/>
        </w:rPr>
        <w:t>。</w:t>
      </w:r>
      <w:r>
        <w:rPr>
          <w:rFonts w:ascii="华文仿宋" w:eastAsia="华文仿宋" w:hAnsi="华文仿宋" w:cs="华文仿宋" w:hint="eastAsia"/>
        </w:rPr>
        <w:lastRenderedPageBreak/>
        <w:t>公务用车运行维护费主要用于</w:t>
      </w:r>
      <w:r>
        <w:rPr>
          <w:rFonts w:ascii="华文仿宋" w:eastAsia="华文仿宋" w:hAnsi="华文仿宋" w:cs="华文仿宋" w:hint="eastAsia"/>
          <w:color w:val="000000"/>
        </w:rPr>
        <w:t>车辆的油</w:t>
      </w:r>
      <w:r>
        <w:rPr>
          <w:rFonts w:ascii="华文仿宋" w:eastAsia="华文仿宋" w:hAnsi="华文仿宋" w:cs="华文仿宋" w:hint="eastAsia"/>
          <w:color w:val="000000" w:themeColor="text1"/>
        </w:rPr>
        <w:t>费、保险费、年检费、日常维修保养等。</w:t>
      </w:r>
      <w:r>
        <w:rPr>
          <w:rFonts w:ascii="华文仿宋" w:eastAsia="华文仿宋" w:hAnsi="华文仿宋" w:cs="华文仿宋" w:hint="eastAsia"/>
        </w:rPr>
        <w:t>201</w:t>
      </w:r>
      <w:r>
        <w:rPr>
          <w:rFonts w:ascii="华文仿宋" w:eastAsia="华文仿宋" w:hAnsi="华文仿宋" w:cs="华文仿宋" w:hint="eastAsia"/>
        </w:rPr>
        <w:t>8</w:t>
      </w:r>
      <w:r>
        <w:rPr>
          <w:rFonts w:ascii="华文仿宋" w:eastAsia="华文仿宋" w:hAnsi="华文仿宋" w:cs="华文仿宋" w:hint="eastAsia"/>
        </w:rPr>
        <w:t>年使用一般公共预算拨款开支运行维护费的公务用车保有量</w:t>
      </w:r>
      <w:r>
        <w:rPr>
          <w:rFonts w:ascii="华文仿宋" w:eastAsia="华文仿宋" w:hAnsi="华文仿宋" w:cs="华文仿宋" w:hint="eastAsia"/>
        </w:rPr>
        <w:t>4</w:t>
      </w:r>
      <w:r>
        <w:rPr>
          <w:rFonts w:ascii="华文仿宋" w:eastAsia="华文仿宋" w:hAnsi="华文仿宋" w:cs="华文仿宋" w:hint="eastAsia"/>
        </w:rPr>
        <w:t>辆。</w:t>
      </w:r>
    </w:p>
    <w:p w:rsidR="000C0FB9" w:rsidRDefault="009E755C">
      <w:pPr>
        <w:spacing w:line="570" w:lineRule="exact"/>
        <w:ind w:firstLine="640"/>
        <w:rPr>
          <w:rFonts w:ascii="仿宋_GB2312" w:hAnsi="仿宋_GB2312"/>
        </w:rPr>
      </w:pPr>
      <w:r>
        <w:rPr>
          <w:rFonts w:ascii="仿宋_GB2312" w:hAnsi="仿宋_GB2312"/>
        </w:rPr>
        <w:t>3</w:t>
      </w:r>
      <w:r>
        <w:rPr>
          <w:rFonts w:ascii="仿宋_GB2312" w:hAnsi="仿宋_GB2312"/>
        </w:rPr>
        <w:t>．公务接待费</w:t>
      </w:r>
      <w:r>
        <w:rPr>
          <w:rFonts w:ascii="仿宋_GB2312" w:hAnsi="仿宋_GB2312" w:hint="eastAsia"/>
        </w:rPr>
        <w:t>8.04</w:t>
      </w:r>
      <w:r>
        <w:rPr>
          <w:rFonts w:ascii="仿宋_GB2312" w:hAnsi="仿宋_GB2312"/>
        </w:rPr>
        <w:t>万元</w:t>
      </w:r>
      <w:r>
        <w:rPr>
          <w:rFonts w:ascii="仿宋_GB2312" w:hAnsi="仿宋_GB2312" w:hint="eastAsia"/>
        </w:rPr>
        <w:t>，</w:t>
      </w:r>
      <w:r>
        <w:rPr>
          <w:rFonts w:ascii="仿宋_GB2312" w:hAnsi="仿宋_GB2312"/>
        </w:rPr>
        <w:t>完成预算的</w:t>
      </w:r>
      <w:r>
        <w:rPr>
          <w:rFonts w:ascii="仿宋_GB2312" w:hAnsi="仿宋_GB2312" w:hint="eastAsia"/>
        </w:rPr>
        <w:t>32.9</w:t>
      </w:r>
      <w:r>
        <w:rPr>
          <w:rFonts w:ascii="仿宋_GB2312" w:hAnsi="仿宋_GB2312"/>
        </w:rPr>
        <w:t>%</w:t>
      </w:r>
      <w:r>
        <w:rPr>
          <w:rFonts w:ascii="仿宋_GB2312" w:hAnsi="仿宋_GB2312"/>
        </w:rPr>
        <w:t>，比上年决算减少</w:t>
      </w:r>
      <w:r>
        <w:rPr>
          <w:rFonts w:ascii="仿宋_GB2312" w:hAnsi="仿宋_GB2312" w:hint="eastAsia"/>
        </w:rPr>
        <w:t>3.99</w:t>
      </w:r>
      <w:r>
        <w:rPr>
          <w:rFonts w:ascii="仿宋_GB2312" w:hAnsi="仿宋_GB2312"/>
        </w:rPr>
        <w:t>万元</w:t>
      </w:r>
      <w:r>
        <w:rPr>
          <w:rFonts w:ascii="仿宋_GB2312" w:hAnsi="仿宋_GB2312" w:hint="eastAsia"/>
        </w:rPr>
        <w:t>，</w:t>
      </w:r>
      <w:r>
        <w:rPr>
          <w:rFonts w:ascii="仿宋_GB2312" w:hAnsi="仿宋_GB2312"/>
        </w:rPr>
        <w:t>主要原因为</w:t>
      </w:r>
      <w:r w:rsidR="007337CC">
        <w:rPr>
          <w:rFonts w:ascii="仿宋_GB2312" w:hAnsi="仿宋" w:hint="eastAsia"/>
          <w:color w:val="000000"/>
        </w:rPr>
        <w:t>严格执行中央八项规定</w:t>
      </w:r>
      <w:r>
        <w:rPr>
          <w:rFonts w:ascii="仿宋_GB2312" w:hAnsi="仿宋" w:hint="eastAsia"/>
          <w:color w:val="000000"/>
        </w:rPr>
        <w:t>，厉行节约，反对浪费，规范公务接待范围和标准，降低接待成本</w:t>
      </w:r>
      <w:r>
        <w:rPr>
          <w:rFonts w:ascii="仿宋_GB2312" w:hAnsi="仿宋_GB2312"/>
        </w:rPr>
        <w:t>；决算数小于预算数的主要原因</w:t>
      </w:r>
      <w:r w:rsidR="007337CC">
        <w:rPr>
          <w:rFonts w:ascii="仿宋_GB2312" w:hAnsi="仿宋" w:hint="eastAsia"/>
          <w:color w:val="000000"/>
        </w:rPr>
        <w:t>严格执行中央</w:t>
      </w:r>
      <w:r>
        <w:rPr>
          <w:rFonts w:ascii="仿宋_GB2312" w:hAnsi="仿宋" w:hint="eastAsia"/>
          <w:color w:val="000000"/>
        </w:rPr>
        <w:t>八项规定</w:t>
      </w:r>
      <w:r>
        <w:rPr>
          <w:rFonts w:ascii="仿宋_GB2312" w:hAnsi="仿宋" w:hint="eastAsia"/>
          <w:color w:val="000000"/>
        </w:rPr>
        <w:t>，厉行节约，反对浪费，规范公务接待范围和标准，降低接待成本</w:t>
      </w:r>
      <w:r>
        <w:rPr>
          <w:rFonts w:ascii="仿宋_GB2312" w:hAnsi="仿宋_GB2312"/>
        </w:rPr>
        <w:t>。</w:t>
      </w:r>
      <w:r>
        <w:rPr>
          <w:rFonts w:ascii="仿宋_GB2312" w:hAnsi="仿宋_GB2312" w:hint="eastAsia"/>
        </w:rPr>
        <w:t>其中：</w:t>
      </w:r>
      <w:r>
        <w:rPr>
          <w:rFonts w:ascii="仿宋_GB2312" w:hAnsi="仿宋_GB2312"/>
        </w:rPr>
        <w:t>国内公务接待</w:t>
      </w:r>
      <w:r>
        <w:rPr>
          <w:rFonts w:ascii="仿宋_GB2312" w:hAnsi="仿宋_GB2312" w:hint="eastAsia"/>
        </w:rPr>
        <w:t>支出</w:t>
      </w:r>
      <w:r>
        <w:rPr>
          <w:rFonts w:ascii="仿宋_GB2312" w:hAnsi="仿宋_GB2312" w:hint="eastAsia"/>
        </w:rPr>
        <w:t>8.04</w:t>
      </w:r>
      <w:r>
        <w:rPr>
          <w:rFonts w:ascii="仿宋_GB2312" w:hAnsi="仿宋_GB2312" w:hint="eastAsia"/>
        </w:rPr>
        <w:t>万元，</w:t>
      </w:r>
      <w:r>
        <w:t>接待</w:t>
      </w:r>
      <w:r>
        <w:rPr>
          <w:rFonts w:ascii="仿宋_GB2312" w:hAnsi="仿宋_GB2312" w:hint="eastAsia"/>
        </w:rPr>
        <w:t>197</w:t>
      </w:r>
      <w:r>
        <w:t>批次，</w:t>
      </w:r>
      <w:r>
        <w:rPr>
          <w:rFonts w:ascii="仿宋_GB2312" w:hAnsi="仿宋_GB2312" w:hint="eastAsia"/>
        </w:rPr>
        <w:t>1080</w:t>
      </w:r>
      <w:r>
        <w:t>人次</w:t>
      </w:r>
      <w:r>
        <w:rPr>
          <w:rFonts w:hint="eastAsia"/>
        </w:rPr>
        <w:t>，</w:t>
      </w:r>
      <w:r>
        <w:t>主要为接待</w:t>
      </w:r>
      <w:r>
        <w:rPr>
          <w:rFonts w:ascii="仿宋_GB2312" w:hAnsi="仿宋" w:hint="eastAsia"/>
          <w:color w:val="000000" w:themeColor="text1"/>
        </w:rPr>
        <w:t>中央、省，及环保系统各级领导、兄弟城市等来常调研、考察、环境监测、执法监察、固废辐射监管</w:t>
      </w:r>
      <w:r>
        <w:rPr>
          <w:rFonts w:ascii="仿宋_GB2312" w:hAnsi="仿宋_GB2312"/>
        </w:rPr>
        <w:t>等</w:t>
      </w:r>
      <w:r>
        <w:rPr>
          <w:rFonts w:ascii="仿宋_GB2312" w:hAnsi="仿宋_GB2312" w:hint="eastAsia"/>
        </w:rPr>
        <w:t>；</w:t>
      </w:r>
      <w:r>
        <w:rPr>
          <w:rFonts w:hint="eastAsia"/>
        </w:rPr>
        <w:t>国</w:t>
      </w:r>
      <w:r>
        <w:t>（</w:t>
      </w:r>
      <w:r>
        <w:rPr>
          <w:rFonts w:hint="eastAsia"/>
        </w:rPr>
        <w:t>境</w:t>
      </w:r>
      <w:r>
        <w:t>）</w:t>
      </w:r>
      <w:r>
        <w:rPr>
          <w:rFonts w:hint="eastAsia"/>
        </w:rPr>
        <w:t>外公务</w:t>
      </w:r>
      <w:r>
        <w:t>接待支出</w:t>
      </w:r>
      <w:r>
        <w:rPr>
          <w:rFonts w:hint="eastAsia"/>
        </w:rPr>
        <w:t>0</w:t>
      </w:r>
      <w:r>
        <w:t>万元，接待</w:t>
      </w:r>
      <w:r>
        <w:rPr>
          <w:rFonts w:hint="eastAsia"/>
        </w:rPr>
        <w:t>0</w:t>
      </w:r>
      <w:r>
        <w:t>批次，</w:t>
      </w:r>
      <w:r>
        <w:rPr>
          <w:rFonts w:hint="eastAsia"/>
        </w:rPr>
        <w:t>0</w:t>
      </w:r>
      <w:r>
        <w:t>人次</w:t>
      </w:r>
      <w:r>
        <w:rPr>
          <w:rFonts w:hint="eastAsia"/>
        </w:rPr>
        <w:t>，</w:t>
      </w:r>
      <w:r>
        <w:rPr>
          <w:rFonts w:hint="eastAsia"/>
        </w:rPr>
        <w:t>本年度无</w:t>
      </w:r>
      <w:r>
        <w:rPr>
          <w:rFonts w:hint="eastAsia"/>
        </w:rPr>
        <w:t>国</w:t>
      </w:r>
      <w:r>
        <w:t>（</w:t>
      </w:r>
      <w:r>
        <w:rPr>
          <w:rFonts w:hint="eastAsia"/>
        </w:rPr>
        <w:t>境</w:t>
      </w:r>
      <w:r>
        <w:t>）</w:t>
      </w:r>
      <w:r>
        <w:rPr>
          <w:rFonts w:hint="eastAsia"/>
        </w:rPr>
        <w:t>外公务</w:t>
      </w:r>
      <w:r>
        <w:t>接待支出</w:t>
      </w:r>
      <w:r>
        <w:rPr>
          <w:rFonts w:hint="eastAsia"/>
        </w:rPr>
        <w:t>。</w:t>
      </w:r>
    </w:p>
    <w:p w:rsidR="000C0FB9" w:rsidRDefault="009E755C">
      <w:pPr>
        <w:spacing w:line="550" w:lineRule="exact"/>
        <w:ind w:firstLine="640"/>
      </w:pPr>
      <w:r>
        <w:rPr>
          <w:rFonts w:ascii="仿宋_GB2312" w:hAnsi="仿宋_GB2312" w:hint="eastAsia"/>
        </w:rPr>
        <w:t>常州市环境保护局</w:t>
      </w:r>
      <w:r>
        <w:t>2018</w:t>
      </w:r>
      <w:r>
        <w:t>年度一般公共预算拨款安排的会议费决算支出</w:t>
      </w:r>
      <w:r>
        <w:rPr>
          <w:rFonts w:ascii="仿宋_GB2312" w:hAnsi="仿宋_GB2312" w:hint="eastAsia"/>
        </w:rPr>
        <w:t>40.69</w:t>
      </w:r>
      <w:r>
        <w:t>万元，完成预算的</w:t>
      </w:r>
      <w:r>
        <w:rPr>
          <w:rFonts w:hint="eastAsia"/>
        </w:rPr>
        <w:t>90.2</w:t>
      </w:r>
      <w:r>
        <w:t>%</w:t>
      </w:r>
      <w:r>
        <w:t>，比上年决算增加</w:t>
      </w:r>
      <w:r>
        <w:rPr>
          <w:rFonts w:hint="eastAsia"/>
        </w:rPr>
        <w:t>5.53</w:t>
      </w:r>
      <w:r>
        <w:t>万元，主要原因为</w:t>
      </w:r>
      <w:r>
        <w:rPr>
          <w:rFonts w:ascii="仿宋_GB2312" w:hint="eastAsia"/>
        </w:rPr>
        <w:t>环保垂改工作</w:t>
      </w:r>
      <w:r>
        <w:rPr>
          <w:rFonts w:ascii="仿宋_GB2312" w:hint="eastAsia"/>
        </w:rPr>
        <w:t>推进，条线会议增加</w:t>
      </w:r>
      <w:r>
        <w:t>；决算数小于预算数的主要原因</w:t>
      </w:r>
      <w:r w:rsidR="007337CC">
        <w:rPr>
          <w:rFonts w:ascii="仿宋_GB2312" w:hAnsi="仿宋" w:hint="eastAsia"/>
          <w:color w:val="000000"/>
        </w:rPr>
        <w:t>严格执行中央</w:t>
      </w:r>
      <w:r>
        <w:rPr>
          <w:rFonts w:ascii="仿宋_GB2312" w:hAnsi="仿宋" w:hint="eastAsia"/>
          <w:color w:val="000000"/>
        </w:rPr>
        <w:t>八项规定</w:t>
      </w:r>
      <w:r>
        <w:rPr>
          <w:rFonts w:ascii="仿宋_GB2312" w:hAnsi="仿宋" w:hint="eastAsia"/>
          <w:color w:val="000000"/>
        </w:rPr>
        <w:t>，厉行节约，反对浪费，降低</w:t>
      </w:r>
      <w:r>
        <w:rPr>
          <w:rFonts w:ascii="仿宋_GB2312" w:hAnsi="仿宋" w:hint="eastAsia"/>
          <w:color w:val="000000"/>
        </w:rPr>
        <w:t>会议</w:t>
      </w:r>
      <w:r>
        <w:rPr>
          <w:rFonts w:ascii="仿宋_GB2312" w:hAnsi="仿宋" w:hint="eastAsia"/>
          <w:color w:val="000000"/>
        </w:rPr>
        <w:t>成本</w:t>
      </w:r>
      <w:r>
        <w:t>。</w:t>
      </w:r>
      <w:r>
        <w:t xml:space="preserve">2018 </w:t>
      </w:r>
      <w:r>
        <w:t>年度全年召开会议</w:t>
      </w:r>
      <w:r>
        <w:rPr>
          <w:rFonts w:hint="eastAsia"/>
        </w:rPr>
        <w:t>106</w:t>
      </w:r>
      <w:r>
        <w:t>个，参加会议</w:t>
      </w:r>
      <w:r>
        <w:rPr>
          <w:rFonts w:hint="eastAsia"/>
        </w:rPr>
        <w:t>3204</w:t>
      </w:r>
      <w:r>
        <w:t>人次。</w:t>
      </w:r>
      <w:r>
        <w:rPr>
          <w:rFonts w:ascii="仿宋_GB2312" w:hAnsi="仿宋_GB2312"/>
        </w:rPr>
        <w:t>主要为召开</w:t>
      </w:r>
      <w:r>
        <w:rPr>
          <w:rFonts w:ascii="仿宋_GB2312" w:hAnsi="仿宋" w:hint="eastAsia"/>
          <w:color w:val="000000" w:themeColor="text1"/>
        </w:rPr>
        <w:t>全市环保工作会议，参加部、省业务条线会议及全市环保业务条线会议发生的费用</w:t>
      </w:r>
      <w:r>
        <w:rPr>
          <w:rFonts w:ascii="仿宋_GB2312" w:hAnsi="仿宋" w:hint="eastAsia"/>
          <w:color w:val="000000" w:themeColor="text1"/>
        </w:rPr>
        <w:t>。</w:t>
      </w:r>
    </w:p>
    <w:p w:rsidR="000C0FB9" w:rsidRDefault="009E755C">
      <w:pPr>
        <w:spacing w:line="550" w:lineRule="exact"/>
        <w:ind w:firstLine="640"/>
      </w:pPr>
      <w:r>
        <w:rPr>
          <w:rFonts w:hint="eastAsia"/>
        </w:rPr>
        <w:t>常州市环境保护局</w:t>
      </w:r>
      <w:r>
        <w:t>2018</w:t>
      </w:r>
      <w:r>
        <w:t>年度一般公共预算拨款安排的培训费决算支出</w:t>
      </w:r>
      <w:r>
        <w:rPr>
          <w:rFonts w:hint="eastAsia"/>
        </w:rPr>
        <w:t>12.26</w:t>
      </w:r>
      <w:r>
        <w:t>万元，完成预算的</w:t>
      </w:r>
      <w:r>
        <w:rPr>
          <w:rFonts w:hint="eastAsia"/>
        </w:rPr>
        <w:t>33</w:t>
      </w:r>
      <w:r>
        <w:t>%</w:t>
      </w:r>
      <w:r>
        <w:t>，比上年决算减少</w:t>
      </w:r>
      <w:r>
        <w:rPr>
          <w:rFonts w:hint="eastAsia"/>
        </w:rPr>
        <w:t>30.46</w:t>
      </w:r>
      <w:r>
        <w:t>万元，主要原因为</w:t>
      </w:r>
      <w:r w:rsidR="007337CC">
        <w:rPr>
          <w:rFonts w:ascii="仿宋_GB2312" w:hAnsi="仿宋" w:hint="eastAsia"/>
          <w:color w:val="000000"/>
        </w:rPr>
        <w:t>严格执行中央</w:t>
      </w:r>
      <w:r>
        <w:rPr>
          <w:rFonts w:ascii="仿宋_GB2312" w:hAnsi="仿宋" w:hint="eastAsia"/>
          <w:color w:val="000000"/>
        </w:rPr>
        <w:t>八项规定</w:t>
      </w:r>
      <w:r>
        <w:rPr>
          <w:rFonts w:ascii="仿宋_GB2312" w:hAnsi="仿宋" w:hint="eastAsia"/>
          <w:color w:val="000000"/>
        </w:rPr>
        <w:t>，厉行节约，反对浪费，降低</w:t>
      </w:r>
      <w:r>
        <w:rPr>
          <w:rFonts w:ascii="仿宋_GB2312" w:hAnsi="仿宋" w:hint="eastAsia"/>
          <w:color w:val="000000"/>
        </w:rPr>
        <w:t>培训</w:t>
      </w:r>
      <w:r>
        <w:rPr>
          <w:rFonts w:ascii="仿宋_GB2312" w:hAnsi="仿宋" w:hint="eastAsia"/>
          <w:color w:val="000000"/>
        </w:rPr>
        <w:t>成本</w:t>
      </w:r>
      <w:r>
        <w:t>；决算数小于预算数的主要</w:t>
      </w:r>
      <w:r>
        <w:lastRenderedPageBreak/>
        <w:t>原因</w:t>
      </w:r>
      <w:r w:rsidR="007337CC">
        <w:rPr>
          <w:rFonts w:ascii="仿宋_GB2312" w:hAnsi="仿宋" w:hint="eastAsia"/>
          <w:color w:val="000000"/>
        </w:rPr>
        <w:t>严格执行中央</w:t>
      </w:r>
      <w:r>
        <w:rPr>
          <w:rFonts w:ascii="仿宋_GB2312" w:hAnsi="仿宋" w:hint="eastAsia"/>
          <w:color w:val="000000"/>
        </w:rPr>
        <w:t>八项规定</w:t>
      </w:r>
      <w:r>
        <w:rPr>
          <w:rFonts w:ascii="仿宋_GB2312" w:hAnsi="仿宋" w:hint="eastAsia"/>
          <w:color w:val="000000"/>
        </w:rPr>
        <w:t>，厉行节约，反对浪费，降低</w:t>
      </w:r>
      <w:r>
        <w:rPr>
          <w:rFonts w:ascii="仿宋_GB2312" w:hAnsi="仿宋" w:hint="eastAsia"/>
          <w:color w:val="000000"/>
        </w:rPr>
        <w:t>培训</w:t>
      </w:r>
      <w:r>
        <w:rPr>
          <w:rFonts w:ascii="仿宋_GB2312" w:hAnsi="仿宋" w:hint="eastAsia"/>
          <w:color w:val="000000"/>
        </w:rPr>
        <w:t>成本</w:t>
      </w:r>
      <w:r>
        <w:rPr>
          <w:rFonts w:ascii="仿宋_GB2312" w:hAnsi="仿宋_GB2312"/>
        </w:rPr>
        <w:t>。</w:t>
      </w:r>
      <w:r>
        <w:rPr>
          <w:rFonts w:ascii="仿宋_GB2312" w:hAnsi="仿宋_GB2312"/>
        </w:rPr>
        <w:t>2018</w:t>
      </w:r>
      <w:r>
        <w:rPr>
          <w:rFonts w:ascii="仿宋_GB2312" w:hAnsi="仿宋_GB2312"/>
        </w:rPr>
        <w:t>年度全年组织培训</w:t>
      </w:r>
      <w:r>
        <w:rPr>
          <w:rFonts w:ascii="仿宋_GB2312" w:hAnsi="仿宋_GB2312" w:hint="eastAsia"/>
        </w:rPr>
        <w:t>28</w:t>
      </w:r>
      <w:r>
        <w:rPr>
          <w:rFonts w:ascii="仿宋_GB2312" w:hAnsi="仿宋_GB2312"/>
        </w:rPr>
        <w:t>个，组织培训</w:t>
      </w:r>
      <w:r>
        <w:rPr>
          <w:rFonts w:ascii="仿宋_GB2312" w:hAnsi="仿宋_GB2312" w:hint="eastAsia"/>
        </w:rPr>
        <w:t>579</w:t>
      </w:r>
      <w:r>
        <w:rPr>
          <w:rFonts w:ascii="仿宋_GB2312" w:hAnsi="仿宋_GB2312"/>
        </w:rPr>
        <w:t>人次。主要为培训</w:t>
      </w:r>
      <w:r>
        <w:rPr>
          <w:rFonts w:ascii="仿宋_GB2312" w:hAnsi="仿宋" w:hint="eastAsia"/>
          <w:color w:val="000000" w:themeColor="text1"/>
        </w:rPr>
        <w:t>为组织全市环保系统各项业务培训，参加部、省条线业务培训及监测</w:t>
      </w:r>
      <w:r>
        <w:rPr>
          <w:rFonts w:ascii="仿宋_GB2312" w:hAnsi="仿宋" w:hint="eastAsia"/>
          <w:color w:val="000000"/>
        </w:rPr>
        <w:t>监察人员的专业业务培训费用。</w:t>
      </w:r>
    </w:p>
    <w:p w:rsidR="000C0FB9" w:rsidRDefault="009E755C">
      <w:pPr>
        <w:spacing w:line="570" w:lineRule="exact"/>
        <w:ind w:firstLine="640"/>
        <w:rPr>
          <w:rFonts w:ascii="黑体" w:eastAsia="黑体" w:hAnsi="黑体"/>
        </w:rPr>
      </w:pPr>
      <w:r>
        <w:rPr>
          <w:rFonts w:ascii="黑体" w:eastAsia="黑体" w:hAnsi="黑体" w:hint="eastAsia"/>
        </w:rPr>
        <w:t>十、政府性基金预算财政拨款收入支出决算情况说明</w:t>
      </w:r>
    </w:p>
    <w:p w:rsidR="000C0FB9" w:rsidRDefault="009E755C">
      <w:pPr>
        <w:spacing w:line="550" w:lineRule="exact"/>
        <w:ind w:firstLine="640"/>
        <w:rPr>
          <w:rFonts w:ascii="仿宋_GB2312" w:hAnsi="仿宋_GB2312"/>
        </w:rPr>
      </w:pPr>
      <w:r>
        <w:rPr>
          <w:rFonts w:ascii="仿宋_GB2312" w:hAnsi="仿宋_GB2312" w:hint="eastAsia"/>
        </w:rPr>
        <w:t>常州市环境保护局</w:t>
      </w:r>
      <w:r>
        <w:rPr>
          <w:rFonts w:ascii="仿宋_GB2312" w:hAnsi="仿宋_GB2312"/>
        </w:rPr>
        <w:t>2018</w:t>
      </w:r>
      <w:r>
        <w:rPr>
          <w:rFonts w:ascii="仿宋_GB2312" w:hAnsi="仿宋_GB2312"/>
        </w:rPr>
        <w:t>年政府性基金预算财政拨款年初结转和结余</w:t>
      </w:r>
      <w:r>
        <w:rPr>
          <w:rFonts w:ascii="仿宋_GB2312" w:hAnsi="仿宋_GB2312" w:hint="eastAsia"/>
        </w:rPr>
        <w:t>0</w:t>
      </w:r>
      <w:r>
        <w:rPr>
          <w:rFonts w:ascii="仿宋_GB2312" w:hAnsi="仿宋_GB2312"/>
        </w:rPr>
        <w:t>万元，本年收入决算</w:t>
      </w:r>
      <w:r>
        <w:rPr>
          <w:rFonts w:ascii="仿宋_GB2312" w:hAnsi="仿宋_GB2312" w:hint="eastAsia"/>
        </w:rPr>
        <w:t>0</w:t>
      </w:r>
      <w:r>
        <w:rPr>
          <w:rFonts w:ascii="仿宋_GB2312" w:hAnsi="仿宋_GB2312"/>
        </w:rPr>
        <w:t>万元，本年支出决算万元，年末结转和结余</w:t>
      </w:r>
      <w:r>
        <w:rPr>
          <w:rFonts w:ascii="仿宋_GB2312" w:hAnsi="仿宋_GB2312" w:hint="eastAsia"/>
        </w:rPr>
        <w:t>0</w:t>
      </w:r>
      <w:r>
        <w:rPr>
          <w:rFonts w:ascii="仿宋_GB2312" w:hAnsi="仿宋_GB2312"/>
        </w:rPr>
        <w:t>万元。</w:t>
      </w:r>
      <w:r>
        <w:t>（</w:t>
      </w:r>
      <w:r>
        <w:rPr>
          <w:i/>
        </w:rPr>
        <w:t>按</w:t>
      </w:r>
      <w:r>
        <w:rPr>
          <w:i/>
        </w:rPr>
        <w:t>“</w:t>
      </w:r>
      <w:r>
        <w:rPr>
          <w:i/>
        </w:rPr>
        <w:t>公开</w:t>
      </w:r>
      <w:r>
        <w:rPr>
          <w:i/>
        </w:rPr>
        <w:t>10</w:t>
      </w:r>
      <w:r>
        <w:rPr>
          <w:i/>
        </w:rPr>
        <w:t>表</w:t>
      </w:r>
      <w:r>
        <w:rPr>
          <w:i/>
        </w:rPr>
        <w:t xml:space="preserve"> </w:t>
      </w:r>
      <w:r>
        <w:rPr>
          <w:i/>
        </w:rPr>
        <w:t>政府性基金预算财政拨款收入支出决算表</w:t>
      </w:r>
      <w:r>
        <w:rPr>
          <w:i/>
        </w:rPr>
        <w:t>”</w:t>
      </w:r>
      <w:r>
        <w:rPr>
          <w:i/>
        </w:rPr>
        <w:t>中支出功能分类</w:t>
      </w:r>
      <w:r>
        <w:rPr>
          <w:i/>
        </w:rPr>
        <w:t>“</w:t>
      </w:r>
      <w:r>
        <w:rPr>
          <w:i/>
        </w:rPr>
        <w:t>项</w:t>
      </w:r>
      <w:r>
        <w:rPr>
          <w:i/>
        </w:rPr>
        <w:t>”</w:t>
      </w:r>
      <w:r>
        <w:rPr>
          <w:i/>
        </w:rPr>
        <w:t>级科目，并结合部门实际情况分类填写</w:t>
      </w:r>
      <w:r>
        <w:t>）</w:t>
      </w:r>
    </w:p>
    <w:p w:rsidR="000C0FB9" w:rsidRDefault="009E755C" w:rsidP="007337CC">
      <w:pPr>
        <w:spacing w:line="570" w:lineRule="exact"/>
        <w:ind w:firstLine="624"/>
        <w:rPr>
          <w:rFonts w:ascii="仿宋_GB2312" w:hAnsi="仿宋_GB2312"/>
        </w:rPr>
      </w:pPr>
      <w:r>
        <w:rPr>
          <w:rFonts w:ascii="仿宋_GB2312" w:hAnsi="仿宋" w:hint="eastAsia"/>
          <w:snapToGrid w:val="0"/>
          <w:color w:val="000000"/>
          <w:spacing w:val="-4"/>
          <w:kern w:val="0"/>
        </w:rPr>
        <w:t>主要原因为本部门没有政府性基金预算，也没有政府性基金支出，故本表无数据。</w:t>
      </w:r>
    </w:p>
    <w:p w:rsidR="000C0FB9" w:rsidRDefault="009E755C">
      <w:pPr>
        <w:spacing w:line="570" w:lineRule="exact"/>
        <w:ind w:firstLine="640"/>
        <w:rPr>
          <w:rFonts w:ascii="黑体" w:eastAsia="黑体" w:hAnsi="黑体"/>
        </w:rPr>
      </w:pPr>
      <w:r>
        <w:rPr>
          <w:rFonts w:ascii="黑体" w:eastAsia="黑体" w:hAnsi="黑体" w:hint="eastAsia"/>
        </w:rPr>
        <w:t>十一、机关运行经费支出决算情况说明</w:t>
      </w:r>
    </w:p>
    <w:p w:rsidR="000C0FB9" w:rsidRDefault="009E755C">
      <w:pPr>
        <w:spacing w:line="570" w:lineRule="exact"/>
        <w:ind w:firstLine="640"/>
        <w:rPr>
          <w:rFonts w:ascii="仿宋_GB2312" w:hAnsi="仿宋_GB2312"/>
        </w:rPr>
      </w:pPr>
      <w:r>
        <w:rPr>
          <w:rFonts w:ascii="仿宋_GB2312" w:hAnsi="仿宋_GB2312"/>
        </w:rPr>
        <w:t>2018</w:t>
      </w:r>
      <w:r>
        <w:rPr>
          <w:rFonts w:ascii="仿宋_GB2312" w:hAnsi="仿宋_GB2312"/>
        </w:rPr>
        <w:t>年本部门机关运行经费支出</w:t>
      </w:r>
      <w:r>
        <w:rPr>
          <w:rFonts w:ascii="仿宋_GB2312" w:hAnsi="仿宋_GB2312" w:hint="eastAsia"/>
        </w:rPr>
        <w:t>212.18</w:t>
      </w:r>
      <w:r>
        <w:rPr>
          <w:rFonts w:ascii="仿宋_GB2312" w:hAnsi="仿宋_GB2312"/>
        </w:rPr>
        <w:t>万元，比</w:t>
      </w:r>
      <w:r>
        <w:rPr>
          <w:rFonts w:ascii="仿宋_GB2312" w:hAnsi="仿宋_GB2312"/>
        </w:rPr>
        <w:t>201</w:t>
      </w:r>
      <w:r>
        <w:rPr>
          <w:rFonts w:ascii="仿宋_GB2312" w:hAnsi="仿宋_GB2312" w:hint="eastAsia"/>
        </w:rPr>
        <w:t>7</w:t>
      </w:r>
      <w:r>
        <w:rPr>
          <w:rFonts w:ascii="仿宋_GB2312" w:hAnsi="仿宋_GB2312"/>
        </w:rPr>
        <w:t>年减少</w:t>
      </w:r>
      <w:r>
        <w:rPr>
          <w:rFonts w:ascii="仿宋_GB2312" w:hAnsi="仿宋_GB2312" w:hint="eastAsia"/>
        </w:rPr>
        <w:t>87.96</w:t>
      </w:r>
      <w:r>
        <w:rPr>
          <w:rFonts w:ascii="仿宋_GB2312" w:hAnsi="仿宋_GB2312"/>
        </w:rPr>
        <w:t>万元，降低</w:t>
      </w:r>
      <w:r>
        <w:rPr>
          <w:rFonts w:ascii="仿宋_GB2312" w:hAnsi="仿宋_GB2312" w:hint="eastAsia"/>
        </w:rPr>
        <w:t>29.3</w:t>
      </w:r>
      <w:r>
        <w:rPr>
          <w:rFonts w:ascii="仿宋_GB2312" w:hAnsi="仿宋_GB2312"/>
        </w:rPr>
        <w:t>%</w:t>
      </w:r>
      <w:r>
        <w:rPr>
          <w:rFonts w:ascii="仿宋_GB2312" w:hAnsi="仿宋_GB2312"/>
        </w:rPr>
        <w:t>。主要原因是：</w:t>
      </w:r>
      <w:r w:rsidR="007337CC">
        <w:rPr>
          <w:rFonts w:ascii="仿宋_GB2312" w:hAnsi="仿宋" w:hint="eastAsia"/>
          <w:color w:val="000000"/>
        </w:rPr>
        <w:t>严格执行中央八项规定</w:t>
      </w:r>
      <w:r>
        <w:rPr>
          <w:rFonts w:ascii="仿宋_GB2312" w:hAnsi="仿宋" w:hint="eastAsia"/>
          <w:color w:val="000000"/>
        </w:rPr>
        <w:t>，厉行节约，反对浪费，降低</w:t>
      </w:r>
      <w:r>
        <w:rPr>
          <w:rFonts w:ascii="仿宋_GB2312" w:hAnsi="仿宋" w:hint="eastAsia"/>
          <w:color w:val="000000"/>
        </w:rPr>
        <w:t>机关运行经费</w:t>
      </w:r>
      <w:r>
        <w:rPr>
          <w:rFonts w:ascii="仿宋_GB2312" w:hAnsi="仿宋_GB2312"/>
        </w:rPr>
        <w:t>。</w:t>
      </w:r>
      <w:r>
        <w:rPr>
          <w:i/>
        </w:rPr>
        <w:t>（具体增减原因由部门根据实际情况填列）</w:t>
      </w:r>
      <w:bookmarkStart w:id="8" w:name="_GoBack"/>
      <w:bookmarkEnd w:id="8"/>
    </w:p>
    <w:p w:rsidR="000C0FB9" w:rsidRDefault="009E755C">
      <w:pPr>
        <w:spacing w:line="570" w:lineRule="exact"/>
        <w:ind w:firstLine="640"/>
        <w:rPr>
          <w:rFonts w:ascii="黑体" w:eastAsia="黑体" w:hAnsi="黑体"/>
        </w:rPr>
      </w:pPr>
      <w:r>
        <w:rPr>
          <w:rFonts w:ascii="黑体" w:eastAsia="黑体" w:hAnsi="黑体" w:hint="eastAsia"/>
        </w:rPr>
        <w:t>十二、政府采购支出决算情况说明</w:t>
      </w:r>
    </w:p>
    <w:p w:rsidR="000C0FB9" w:rsidRDefault="009E755C">
      <w:pPr>
        <w:spacing w:line="570" w:lineRule="exact"/>
        <w:ind w:firstLine="640"/>
        <w:rPr>
          <w:rFonts w:ascii="仿宋_GB2312" w:hAnsi="仿宋_GB2312"/>
          <w:color w:val="000000" w:themeColor="text1"/>
        </w:rPr>
      </w:pPr>
      <w:r>
        <w:rPr>
          <w:rFonts w:ascii="仿宋_GB2312" w:hAnsi="仿宋_GB2312"/>
        </w:rPr>
        <w:t>2018</w:t>
      </w:r>
      <w:r>
        <w:rPr>
          <w:rFonts w:ascii="仿宋_GB2312" w:hAnsi="仿宋_GB2312"/>
        </w:rPr>
        <w:t>年度政府采购支出总额</w:t>
      </w:r>
      <w:r>
        <w:rPr>
          <w:rFonts w:ascii="仿宋_GB2312" w:hAnsi="仿宋_GB2312" w:hint="eastAsia"/>
        </w:rPr>
        <w:t>1303.64</w:t>
      </w:r>
      <w:r>
        <w:rPr>
          <w:rFonts w:ascii="仿宋_GB2312" w:hAnsi="仿宋_GB2312"/>
        </w:rPr>
        <w:t>万元，其中：政府采购货物支出</w:t>
      </w:r>
      <w:r>
        <w:rPr>
          <w:rFonts w:ascii="仿宋_GB2312" w:hAnsi="仿宋_GB2312" w:hint="eastAsia"/>
        </w:rPr>
        <w:t>123.96</w:t>
      </w:r>
      <w:r>
        <w:rPr>
          <w:rFonts w:ascii="仿宋_GB2312" w:hAnsi="仿宋_GB2312"/>
        </w:rPr>
        <w:t>万元、政府采购工程支出</w:t>
      </w:r>
      <w:r>
        <w:rPr>
          <w:rFonts w:ascii="仿宋_GB2312" w:hAnsi="仿宋_GB2312" w:hint="eastAsia"/>
        </w:rPr>
        <w:t>107.39</w:t>
      </w:r>
      <w:r>
        <w:rPr>
          <w:rFonts w:ascii="仿宋_GB2312" w:hAnsi="仿宋_GB2312"/>
        </w:rPr>
        <w:t>万元、政府采购服务支出</w:t>
      </w:r>
      <w:r>
        <w:rPr>
          <w:rFonts w:ascii="仿宋_GB2312" w:hAnsi="仿宋_GB2312" w:hint="eastAsia"/>
        </w:rPr>
        <w:t>1072.29</w:t>
      </w:r>
      <w:r>
        <w:rPr>
          <w:rFonts w:ascii="仿宋_GB2312" w:hAnsi="仿宋_GB2312"/>
        </w:rPr>
        <w:t>万元。</w:t>
      </w:r>
      <w:r>
        <w:rPr>
          <w:rFonts w:ascii="仿宋_GB2312" w:hAnsi="仿宋_GB2312"/>
          <w:color w:val="000000" w:themeColor="text1"/>
        </w:rPr>
        <w:t>授</w:t>
      </w:r>
      <w:r>
        <w:rPr>
          <w:rFonts w:ascii="仿宋_GB2312" w:hAnsi="仿宋_GB2312"/>
          <w:color w:val="000000" w:themeColor="text1"/>
        </w:rPr>
        <w:t>予中小企业合同金额</w:t>
      </w:r>
      <w:r>
        <w:rPr>
          <w:rFonts w:ascii="仿宋_GB2312" w:hAnsi="仿宋_GB2312" w:hint="eastAsia"/>
          <w:color w:val="000000" w:themeColor="text1"/>
        </w:rPr>
        <w:t>1303.64</w:t>
      </w:r>
      <w:r>
        <w:rPr>
          <w:rFonts w:ascii="仿宋_GB2312" w:hAnsi="仿宋_GB2312"/>
          <w:color w:val="000000" w:themeColor="text1"/>
        </w:rPr>
        <w:t>万元，占政府采购支出总额的</w:t>
      </w:r>
      <w:r>
        <w:rPr>
          <w:rFonts w:ascii="仿宋_GB2312" w:hAnsi="仿宋_GB2312" w:hint="eastAsia"/>
          <w:color w:val="000000" w:themeColor="text1"/>
        </w:rPr>
        <w:t>100</w:t>
      </w:r>
      <w:r>
        <w:rPr>
          <w:rFonts w:ascii="仿宋_GB2312" w:hAnsi="仿宋_GB2312"/>
          <w:color w:val="000000" w:themeColor="text1"/>
        </w:rPr>
        <w:t>%</w:t>
      </w:r>
      <w:r>
        <w:rPr>
          <w:rFonts w:ascii="仿宋_GB2312" w:hAnsi="仿宋_GB2312"/>
          <w:color w:val="000000" w:themeColor="text1"/>
        </w:rPr>
        <w:t>，其中：授予小微企业合同金额</w:t>
      </w:r>
      <w:r>
        <w:rPr>
          <w:rFonts w:ascii="仿宋_GB2312" w:hAnsi="仿宋_GB2312" w:hint="eastAsia"/>
          <w:color w:val="000000" w:themeColor="text1"/>
        </w:rPr>
        <w:t>0</w:t>
      </w:r>
      <w:r>
        <w:rPr>
          <w:rFonts w:ascii="仿宋_GB2312" w:hAnsi="仿宋_GB2312"/>
          <w:color w:val="000000" w:themeColor="text1"/>
        </w:rPr>
        <w:t>万元，占政府采购支出总额的</w:t>
      </w:r>
      <w:r>
        <w:rPr>
          <w:rFonts w:ascii="仿宋_GB2312" w:hAnsi="仿宋_GB2312" w:hint="eastAsia"/>
          <w:color w:val="000000" w:themeColor="text1"/>
        </w:rPr>
        <w:t>0</w:t>
      </w:r>
      <w:r>
        <w:rPr>
          <w:rFonts w:ascii="仿宋_GB2312" w:hAnsi="仿宋_GB2312"/>
          <w:color w:val="000000" w:themeColor="text1"/>
        </w:rPr>
        <w:t>%</w:t>
      </w:r>
      <w:r>
        <w:rPr>
          <w:rFonts w:ascii="仿宋_GB2312" w:hAnsi="仿宋_GB2312"/>
          <w:color w:val="000000" w:themeColor="text1"/>
        </w:rPr>
        <w:t>。</w:t>
      </w:r>
    </w:p>
    <w:p w:rsidR="000C0FB9" w:rsidRDefault="009E755C">
      <w:pPr>
        <w:spacing w:line="570" w:lineRule="exact"/>
        <w:ind w:firstLine="640"/>
        <w:rPr>
          <w:rFonts w:ascii="黑体" w:eastAsia="黑体" w:hAnsi="黑体"/>
        </w:rPr>
      </w:pPr>
      <w:r>
        <w:rPr>
          <w:rFonts w:ascii="黑体" w:eastAsia="黑体" w:hAnsi="黑体" w:hint="eastAsia"/>
        </w:rPr>
        <w:t>十三、国有资产占用情况</w:t>
      </w:r>
    </w:p>
    <w:p w:rsidR="000C0FB9" w:rsidRDefault="009E755C">
      <w:pPr>
        <w:spacing w:line="550" w:lineRule="exact"/>
        <w:ind w:firstLine="640"/>
      </w:pPr>
      <w:r>
        <w:lastRenderedPageBreak/>
        <w:t>截至</w:t>
      </w:r>
      <w:r>
        <w:t>2018</w:t>
      </w:r>
      <w:r>
        <w:t>年</w:t>
      </w:r>
      <w:r>
        <w:t>12</w:t>
      </w:r>
      <w:r>
        <w:t>月</w:t>
      </w:r>
      <w:r>
        <w:t>31</w:t>
      </w:r>
      <w:r>
        <w:t>日，本部门共有车辆</w:t>
      </w:r>
      <w:r>
        <w:rPr>
          <w:rFonts w:hint="eastAsia"/>
        </w:rPr>
        <w:t>16</w:t>
      </w:r>
      <w:r>
        <w:t>辆，其中，</w:t>
      </w:r>
      <w:r>
        <w:rPr>
          <w:rFonts w:hint="eastAsia"/>
        </w:rPr>
        <w:t>副</w:t>
      </w:r>
      <w:r>
        <w:t>部</w:t>
      </w:r>
      <w:r>
        <w:rPr>
          <w:rFonts w:hint="eastAsia"/>
        </w:rPr>
        <w:t>（省</w:t>
      </w:r>
      <w:r>
        <w:t>）级</w:t>
      </w:r>
      <w:r>
        <w:rPr>
          <w:rFonts w:hint="eastAsia"/>
        </w:rPr>
        <w:t>及</w:t>
      </w:r>
      <w:r>
        <w:t>以上领导用车</w:t>
      </w:r>
      <w:r>
        <w:rPr>
          <w:rFonts w:hint="eastAsia"/>
        </w:rPr>
        <w:t>0</w:t>
      </w:r>
      <w:r>
        <w:t>辆、</w:t>
      </w:r>
      <w:r>
        <w:rPr>
          <w:rFonts w:ascii="方正仿宋_GBK" w:hAnsi="Calibri" w:hint="eastAsia"/>
        </w:rPr>
        <w:t>主要领导干部用车</w:t>
      </w:r>
      <w:r>
        <w:rPr>
          <w:rFonts w:ascii="方正仿宋_GBK" w:hAnsi="Calibri" w:hint="eastAsia"/>
        </w:rPr>
        <w:t>0</w:t>
      </w:r>
      <w:r>
        <w:t>辆、</w:t>
      </w:r>
      <w:r>
        <w:rPr>
          <w:rFonts w:hint="eastAsia"/>
        </w:rPr>
        <w:t>机要通信</w:t>
      </w:r>
      <w:r>
        <w:t>用车</w:t>
      </w:r>
      <w:r>
        <w:rPr>
          <w:rFonts w:hint="eastAsia"/>
        </w:rPr>
        <w:t>0</w:t>
      </w:r>
      <w:r>
        <w:t>辆、</w:t>
      </w:r>
      <w:r>
        <w:rPr>
          <w:rFonts w:hint="eastAsia"/>
        </w:rPr>
        <w:t>应急</w:t>
      </w:r>
      <w:r>
        <w:t>保障</w:t>
      </w:r>
      <w:r>
        <w:rPr>
          <w:rFonts w:hint="eastAsia"/>
        </w:rPr>
        <w:t>用</w:t>
      </w:r>
      <w:r>
        <w:rPr>
          <w:rFonts w:hint="eastAsia"/>
        </w:rPr>
        <w:t>0</w:t>
      </w:r>
      <w:r>
        <w:t>辆</w:t>
      </w:r>
      <w:r>
        <w:rPr>
          <w:rFonts w:hint="eastAsia"/>
        </w:rPr>
        <w:t>、</w:t>
      </w:r>
      <w:r>
        <w:t>执法执勤用车</w:t>
      </w:r>
      <w:r>
        <w:rPr>
          <w:rFonts w:hint="eastAsia"/>
        </w:rPr>
        <w:t>1</w:t>
      </w:r>
      <w:r>
        <w:t>辆、特种专业技术用车</w:t>
      </w:r>
      <w:r>
        <w:rPr>
          <w:rFonts w:hint="eastAsia"/>
        </w:rPr>
        <w:t>11</w:t>
      </w:r>
      <w:r>
        <w:t>辆、</w:t>
      </w:r>
      <w:r>
        <w:rPr>
          <w:rFonts w:hint="eastAsia"/>
        </w:rPr>
        <w:t>离退休干部</w:t>
      </w:r>
      <w:r>
        <w:t>用车</w:t>
      </w:r>
      <w:r>
        <w:rPr>
          <w:rFonts w:hint="eastAsia"/>
        </w:rPr>
        <w:t>0</w:t>
      </w:r>
      <w:r>
        <w:t>辆</w:t>
      </w:r>
      <w:r>
        <w:rPr>
          <w:rFonts w:hint="eastAsia"/>
        </w:rPr>
        <w:t>、</w:t>
      </w:r>
      <w:r>
        <w:t>其他用车</w:t>
      </w:r>
      <w:r>
        <w:rPr>
          <w:rFonts w:hint="eastAsia"/>
        </w:rPr>
        <w:t>4</w:t>
      </w:r>
      <w:r>
        <w:t>辆，其他用车主要是</w:t>
      </w:r>
      <w:r>
        <w:rPr>
          <w:rFonts w:hint="eastAsia"/>
        </w:rPr>
        <w:t>一般公务用车</w:t>
      </w:r>
      <w:r>
        <w:t>；单</w:t>
      </w:r>
      <w:r>
        <w:rPr>
          <w:rFonts w:hint="eastAsia"/>
        </w:rPr>
        <w:t>价</w:t>
      </w:r>
      <w:r>
        <w:rPr>
          <w:rFonts w:hint="eastAsia"/>
        </w:rPr>
        <w:t>50</w:t>
      </w:r>
      <w:r>
        <w:rPr>
          <w:rFonts w:hint="eastAsia"/>
        </w:rPr>
        <w:t>万元</w:t>
      </w:r>
      <w:r>
        <w:t>（含）以上的通用设备</w:t>
      </w:r>
      <w:r>
        <w:rPr>
          <w:rFonts w:hint="eastAsia"/>
        </w:rPr>
        <w:t>23</w:t>
      </w:r>
      <w:r>
        <w:t>台（套）</w:t>
      </w:r>
      <w:r>
        <w:rPr>
          <w:rFonts w:hint="eastAsia"/>
        </w:rPr>
        <w:t>,</w:t>
      </w:r>
      <w:r>
        <w:t>单价</w:t>
      </w:r>
      <w:r>
        <w:rPr>
          <w:rFonts w:hint="eastAsia"/>
        </w:rPr>
        <w:t>100</w:t>
      </w:r>
      <w:r>
        <w:rPr>
          <w:rFonts w:hint="eastAsia"/>
        </w:rPr>
        <w:t>万元</w:t>
      </w:r>
      <w:r>
        <w:t>（含）以上的专用设备</w:t>
      </w:r>
      <w:r>
        <w:rPr>
          <w:rFonts w:hint="eastAsia"/>
        </w:rPr>
        <w:t>10</w:t>
      </w:r>
      <w:r>
        <w:t>台（套）。</w:t>
      </w:r>
    </w:p>
    <w:p w:rsidR="000C0FB9" w:rsidRDefault="009E755C">
      <w:pPr>
        <w:spacing w:line="570" w:lineRule="exact"/>
        <w:ind w:firstLine="640"/>
        <w:rPr>
          <w:rFonts w:ascii="黑体" w:eastAsia="黑体" w:hAnsi="黑体"/>
        </w:rPr>
      </w:pPr>
      <w:r>
        <w:rPr>
          <w:rFonts w:ascii="黑体" w:eastAsia="黑体" w:hAnsi="黑体" w:hint="eastAsia"/>
        </w:rPr>
        <w:t>十四、预算绩效评价工作开展情况</w:t>
      </w:r>
    </w:p>
    <w:p w:rsidR="000C0FB9" w:rsidRDefault="009E755C">
      <w:pPr>
        <w:spacing w:line="570" w:lineRule="exact"/>
        <w:ind w:firstLine="640"/>
        <w:rPr>
          <w:rFonts w:ascii="仿宋_GB2312" w:hAnsi="仿宋_GB2312"/>
        </w:rPr>
      </w:pPr>
      <w:r>
        <w:rPr>
          <w:rFonts w:ascii="仿宋_GB2312" w:hAnsi="仿宋_GB2312"/>
        </w:rPr>
        <w:t>本部门</w:t>
      </w:r>
      <w:r>
        <w:rPr>
          <w:rFonts w:ascii="仿宋_GB2312" w:hAnsi="仿宋_GB2312"/>
        </w:rPr>
        <w:t>2018</w:t>
      </w:r>
      <w:r>
        <w:rPr>
          <w:rFonts w:ascii="仿宋_GB2312" w:hAnsi="仿宋_GB2312"/>
        </w:rPr>
        <w:t>年度共</w:t>
      </w:r>
      <w:r>
        <w:rPr>
          <w:rFonts w:ascii="仿宋_GB2312" w:hAnsi="仿宋_GB2312" w:hint="eastAsia"/>
        </w:rPr>
        <w:t>37</w:t>
      </w:r>
      <w:r>
        <w:rPr>
          <w:rFonts w:ascii="仿宋_GB2312" w:hAnsi="仿宋_GB2312"/>
        </w:rPr>
        <w:t>个项目开展了绩效评价工作，涉及财政性资金合计</w:t>
      </w:r>
      <w:r>
        <w:rPr>
          <w:rFonts w:ascii="仿宋_GB2312" w:hAnsi="仿宋_GB2312" w:hint="eastAsia"/>
        </w:rPr>
        <w:t>2153</w:t>
      </w:r>
      <w:r>
        <w:rPr>
          <w:rFonts w:ascii="仿宋_GB2312" w:hAnsi="仿宋_GB2312"/>
        </w:rPr>
        <w:t>万元。</w:t>
      </w:r>
    </w:p>
    <w:p w:rsidR="000C0FB9" w:rsidRDefault="000C0FB9">
      <w:pPr>
        <w:spacing w:line="570" w:lineRule="exact"/>
        <w:ind w:firstLine="640"/>
        <w:rPr>
          <w:rFonts w:ascii="仿宋_GB2312" w:hAnsi="仿宋_GB2312"/>
        </w:rPr>
      </w:pPr>
    </w:p>
    <w:p w:rsidR="000C0FB9" w:rsidRDefault="009E755C">
      <w:pPr>
        <w:spacing w:line="570" w:lineRule="exact"/>
        <w:ind w:firstLineChars="0" w:firstLine="0"/>
        <w:jc w:val="center"/>
        <w:rPr>
          <w:rFonts w:ascii="黑体" w:eastAsia="黑体" w:hAnsi="黑体"/>
        </w:rPr>
      </w:pPr>
      <w:r>
        <w:rPr>
          <w:rFonts w:ascii="黑体" w:eastAsia="黑体" w:hAnsi="黑体" w:hint="eastAsia"/>
        </w:rPr>
        <w:t>第四部分</w:t>
      </w:r>
      <w:r>
        <w:rPr>
          <w:rFonts w:ascii="黑体" w:eastAsia="黑体" w:hAnsi="黑体" w:hint="eastAsia"/>
        </w:rPr>
        <w:t xml:space="preserve"> </w:t>
      </w:r>
      <w:r>
        <w:rPr>
          <w:rFonts w:ascii="黑体" w:eastAsia="黑体" w:hAnsi="黑体" w:hint="eastAsia"/>
        </w:rPr>
        <w:t>名词解释</w:t>
      </w:r>
    </w:p>
    <w:p w:rsidR="000C0FB9" w:rsidRDefault="000C0FB9">
      <w:pPr>
        <w:spacing w:line="570" w:lineRule="exact"/>
        <w:ind w:firstLineChars="0" w:firstLine="0"/>
        <w:jc w:val="center"/>
        <w:rPr>
          <w:rFonts w:ascii="黑体" w:eastAsia="黑体" w:hAnsi="黑体"/>
        </w:rPr>
      </w:pPr>
    </w:p>
    <w:p w:rsidR="000C0FB9" w:rsidRDefault="009E755C">
      <w:pPr>
        <w:spacing w:line="570" w:lineRule="exact"/>
        <w:ind w:firstLine="640"/>
        <w:rPr>
          <w:rFonts w:ascii="仿宋_GB2312" w:hAnsi="仿宋_GB2312"/>
        </w:rPr>
      </w:pPr>
      <w:r>
        <w:rPr>
          <w:rFonts w:ascii="仿宋_GB2312" w:hAnsi="仿宋_GB2312"/>
        </w:rPr>
        <w:t>一、财政拨款收入：指单位本年度从财政部门取得的财政拨款。</w:t>
      </w:r>
    </w:p>
    <w:p w:rsidR="000C0FB9" w:rsidRDefault="009E755C">
      <w:pPr>
        <w:spacing w:line="570" w:lineRule="exact"/>
        <w:ind w:firstLine="640"/>
        <w:rPr>
          <w:rFonts w:ascii="仿宋_GB2312" w:hAnsi="仿宋_GB2312"/>
        </w:rPr>
      </w:pPr>
      <w:r>
        <w:rPr>
          <w:rFonts w:ascii="仿宋_GB2312" w:hAnsi="仿宋_GB2312"/>
        </w:rPr>
        <w:t>二、上级补助收入：指事业单位从主管部门和上级单位取得的非财政补助收入。</w:t>
      </w:r>
    </w:p>
    <w:p w:rsidR="000C0FB9" w:rsidRDefault="009E755C">
      <w:pPr>
        <w:spacing w:line="570" w:lineRule="exact"/>
        <w:ind w:firstLine="640"/>
        <w:rPr>
          <w:rFonts w:ascii="仿宋_GB2312" w:hAnsi="仿宋_GB2312"/>
        </w:rPr>
      </w:pPr>
      <w:r>
        <w:rPr>
          <w:rFonts w:ascii="仿宋_GB2312" w:hAnsi="仿宋_GB2312"/>
        </w:rPr>
        <w:t>三、事业收入：指事业单位开展专业业务活动及其辅助活动取得的收入，事业单位收到的财政专户实际核拨的教育收费等资金在此反映。</w:t>
      </w:r>
    </w:p>
    <w:p w:rsidR="000C0FB9" w:rsidRDefault="009E755C">
      <w:pPr>
        <w:spacing w:line="570" w:lineRule="exact"/>
        <w:ind w:firstLine="640"/>
        <w:rPr>
          <w:rFonts w:ascii="仿宋_GB2312" w:hAnsi="仿宋_GB2312"/>
        </w:rPr>
      </w:pPr>
      <w:r>
        <w:rPr>
          <w:rFonts w:ascii="仿宋_GB2312" w:hAnsi="仿宋_GB2312"/>
        </w:rPr>
        <w:t>四、经营收入：指事业单位在专业业务活动及其辅助活动之外开展非独立核算经营活动取得的收入。</w:t>
      </w:r>
    </w:p>
    <w:p w:rsidR="000C0FB9" w:rsidRDefault="009E755C">
      <w:pPr>
        <w:spacing w:line="570" w:lineRule="exact"/>
        <w:ind w:firstLine="640"/>
        <w:rPr>
          <w:rFonts w:ascii="仿宋_GB2312" w:hAnsi="仿宋_GB2312"/>
        </w:rPr>
      </w:pPr>
      <w:r>
        <w:rPr>
          <w:rFonts w:ascii="仿宋_GB2312" w:hAnsi="仿宋_GB2312"/>
        </w:rPr>
        <w:t>五、附属单位缴款：指事业单位附属独立核算单位按照有关规定上缴的收入。</w:t>
      </w:r>
    </w:p>
    <w:p w:rsidR="000C0FB9" w:rsidRDefault="009E755C">
      <w:pPr>
        <w:spacing w:line="570" w:lineRule="exact"/>
        <w:ind w:firstLine="640"/>
        <w:rPr>
          <w:rFonts w:ascii="仿宋_GB2312" w:hAnsi="仿宋_GB2312"/>
        </w:rPr>
      </w:pPr>
      <w:r>
        <w:rPr>
          <w:rFonts w:ascii="仿宋_GB2312" w:hAnsi="仿宋_GB2312"/>
        </w:rPr>
        <w:lastRenderedPageBreak/>
        <w:t>六、其他收入：指单位取得的除上述</w:t>
      </w:r>
      <w:r>
        <w:rPr>
          <w:rFonts w:ascii="仿宋_GB2312" w:hAnsi="仿宋_GB2312"/>
        </w:rPr>
        <w:t>“</w:t>
      </w:r>
      <w:r>
        <w:rPr>
          <w:rFonts w:ascii="仿宋_GB2312" w:hAnsi="仿宋_GB2312"/>
        </w:rPr>
        <w:t>财政拨款收入</w:t>
      </w:r>
      <w:r>
        <w:rPr>
          <w:rFonts w:ascii="仿宋_GB2312" w:hAnsi="仿宋_GB2312"/>
        </w:rPr>
        <w:t>”</w:t>
      </w:r>
      <w:r>
        <w:rPr>
          <w:rFonts w:ascii="仿宋_GB2312" w:hAnsi="仿宋_GB2312"/>
        </w:rPr>
        <w:t>、</w:t>
      </w:r>
      <w:r>
        <w:rPr>
          <w:rFonts w:ascii="仿宋_GB2312" w:hAnsi="仿宋_GB2312"/>
        </w:rPr>
        <w:t>“</w:t>
      </w:r>
      <w:r>
        <w:rPr>
          <w:rFonts w:ascii="仿宋_GB2312" w:hAnsi="仿宋_GB2312"/>
        </w:rPr>
        <w:t>事业收入</w:t>
      </w:r>
      <w:r>
        <w:rPr>
          <w:rFonts w:ascii="仿宋_GB2312" w:hAnsi="仿宋_GB2312"/>
        </w:rPr>
        <w:t>”</w:t>
      </w:r>
      <w:r>
        <w:rPr>
          <w:rFonts w:ascii="仿宋_GB2312" w:hAnsi="仿宋_GB2312"/>
        </w:rPr>
        <w:t>、</w:t>
      </w:r>
      <w:r>
        <w:rPr>
          <w:rFonts w:ascii="仿宋_GB2312" w:hAnsi="仿宋_GB2312"/>
        </w:rPr>
        <w:t>“</w:t>
      </w:r>
      <w:r>
        <w:rPr>
          <w:rFonts w:ascii="仿宋_GB2312" w:hAnsi="仿宋_GB2312"/>
        </w:rPr>
        <w:t>经营收入</w:t>
      </w:r>
      <w:r>
        <w:rPr>
          <w:rFonts w:ascii="仿宋_GB2312" w:hAnsi="仿宋_GB2312"/>
        </w:rPr>
        <w:t>”</w:t>
      </w:r>
      <w:r>
        <w:rPr>
          <w:rFonts w:ascii="仿宋_GB2312" w:hAnsi="仿宋_GB2312"/>
        </w:rPr>
        <w:t>等以外的各项收入。</w:t>
      </w:r>
    </w:p>
    <w:p w:rsidR="000C0FB9" w:rsidRDefault="009E755C">
      <w:pPr>
        <w:spacing w:line="570" w:lineRule="exact"/>
        <w:ind w:firstLine="640"/>
        <w:rPr>
          <w:rFonts w:ascii="仿宋_GB2312" w:hAnsi="仿宋_GB2312"/>
        </w:rPr>
      </w:pPr>
      <w:r>
        <w:rPr>
          <w:rFonts w:ascii="仿宋_GB2312" w:hAnsi="仿宋_GB2312"/>
        </w:rPr>
        <w:t>七、用事业基金弥补收支差额：指事业单位用事业基金弥补当年收支差额的数额。</w:t>
      </w:r>
    </w:p>
    <w:p w:rsidR="000C0FB9" w:rsidRDefault="009E755C">
      <w:pPr>
        <w:spacing w:line="570" w:lineRule="exact"/>
        <w:ind w:firstLine="640"/>
        <w:rPr>
          <w:rFonts w:ascii="仿宋_GB2312" w:hAnsi="仿宋_GB2312"/>
        </w:rPr>
      </w:pPr>
      <w:r>
        <w:rPr>
          <w:rFonts w:ascii="仿宋_GB2312" w:hAnsi="仿宋_GB2312"/>
        </w:rPr>
        <w:t>八、年初结转和结余：指单位上年结转本年使用的基本支出结转、项目支出结转和结余和经营结余。</w:t>
      </w:r>
    </w:p>
    <w:p w:rsidR="000C0FB9" w:rsidRDefault="009E755C">
      <w:pPr>
        <w:spacing w:line="570" w:lineRule="exact"/>
        <w:ind w:firstLine="640"/>
        <w:rPr>
          <w:rFonts w:ascii="仿宋_GB2312" w:hAnsi="仿宋_GB2312"/>
        </w:rPr>
      </w:pPr>
      <w:r>
        <w:rPr>
          <w:rFonts w:ascii="仿宋_GB2312" w:hAnsi="仿宋_GB2312"/>
        </w:rPr>
        <w:t>九、结余分配：指事业单位按规定对非财政补助结余资金提取的职工福利基金、事业基金和缴纳的所得税，以及减少单位按规定应缴回的基本建设竣工项目结余资金。</w:t>
      </w:r>
    </w:p>
    <w:p w:rsidR="000C0FB9" w:rsidRDefault="009E755C">
      <w:pPr>
        <w:spacing w:line="570" w:lineRule="exact"/>
        <w:ind w:firstLine="640"/>
        <w:rPr>
          <w:rFonts w:ascii="仿宋_GB2312" w:hAnsi="仿宋_GB2312"/>
        </w:rPr>
      </w:pPr>
      <w:r>
        <w:rPr>
          <w:rFonts w:ascii="仿宋_GB2312" w:hAnsi="仿宋_GB2312"/>
        </w:rPr>
        <w:t>十、年末结转和结余资金：指本年度或</w:t>
      </w:r>
      <w:r>
        <w:rPr>
          <w:rFonts w:ascii="仿宋_GB2312" w:hAnsi="仿宋_GB2312"/>
        </w:rPr>
        <w:t>以前年度预算安排、因客观条件发生变化无法按原计划实施，需要延迟到以后年度按有关规定继续使用的资金。</w:t>
      </w:r>
    </w:p>
    <w:p w:rsidR="000C0FB9" w:rsidRDefault="009E755C">
      <w:pPr>
        <w:spacing w:line="570" w:lineRule="exact"/>
        <w:ind w:firstLine="640"/>
        <w:rPr>
          <w:rFonts w:ascii="仿宋_GB2312" w:hAnsi="仿宋_GB2312"/>
        </w:rPr>
      </w:pPr>
      <w:r>
        <w:rPr>
          <w:rFonts w:ascii="仿宋_GB2312" w:hAnsi="仿宋_GB2312"/>
        </w:rPr>
        <w:t>十一、基本支出：指为保障机构正常运转、完成日常工作任务而发生的人员支出和公用支出。</w:t>
      </w:r>
    </w:p>
    <w:p w:rsidR="000C0FB9" w:rsidRDefault="009E755C">
      <w:pPr>
        <w:spacing w:line="570" w:lineRule="exact"/>
        <w:ind w:firstLine="640"/>
        <w:rPr>
          <w:rFonts w:ascii="仿宋_GB2312" w:hAnsi="仿宋_GB2312"/>
        </w:rPr>
      </w:pPr>
      <w:r>
        <w:rPr>
          <w:rFonts w:ascii="仿宋_GB2312" w:hAnsi="仿宋_GB2312"/>
        </w:rPr>
        <w:t>十二、项目支出：指在基本支出之外为完成特定的行政任务或事业发展目标所发生的支出。</w:t>
      </w:r>
    </w:p>
    <w:p w:rsidR="000C0FB9" w:rsidRDefault="009E755C">
      <w:pPr>
        <w:spacing w:line="570" w:lineRule="exact"/>
        <w:ind w:firstLine="640"/>
        <w:rPr>
          <w:rFonts w:ascii="仿宋_GB2312" w:hAnsi="仿宋_GB2312"/>
          <w:i/>
          <w:iCs/>
        </w:rPr>
      </w:pPr>
      <w:r>
        <w:rPr>
          <w:rFonts w:ascii="仿宋_GB2312" w:hAnsi="仿宋_GB2312"/>
        </w:rPr>
        <w:t>十三、上缴上级支出：指事业单位按照财政部门和主管部门的规定上缴上级单位的支出。</w:t>
      </w:r>
    </w:p>
    <w:p w:rsidR="000C0FB9" w:rsidRDefault="009E755C">
      <w:pPr>
        <w:spacing w:line="570" w:lineRule="exact"/>
        <w:ind w:firstLine="640"/>
        <w:rPr>
          <w:rFonts w:ascii="仿宋_GB2312" w:hAnsi="仿宋_GB2312"/>
          <w:b/>
          <w:bCs/>
        </w:rPr>
      </w:pPr>
      <w:r>
        <w:rPr>
          <w:rFonts w:ascii="仿宋_GB2312" w:hAnsi="仿宋_GB2312"/>
        </w:rPr>
        <w:t>十四、经营支出：指事业单位在专业业务活动及其辅助活动之外开展非独立核算经营活动发生的支出。</w:t>
      </w:r>
    </w:p>
    <w:p w:rsidR="000C0FB9" w:rsidRDefault="009E755C">
      <w:pPr>
        <w:spacing w:line="570" w:lineRule="exact"/>
        <w:ind w:firstLine="640"/>
        <w:rPr>
          <w:rFonts w:ascii="仿宋_GB2312" w:hAnsi="仿宋_GB2312"/>
        </w:rPr>
      </w:pPr>
      <w:r>
        <w:rPr>
          <w:rFonts w:ascii="仿宋_GB2312" w:hAnsi="仿宋_GB2312"/>
        </w:rPr>
        <w:t>十五、对附属单位补助支出：指事业单位用财政补助收入之外的收入对附属单位补助</w:t>
      </w:r>
      <w:r>
        <w:rPr>
          <w:rFonts w:ascii="仿宋_GB2312" w:hAnsi="仿宋_GB2312"/>
        </w:rPr>
        <w:t>发生的支出。</w:t>
      </w:r>
    </w:p>
    <w:p w:rsidR="000C0FB9" w:rsidRDefault="009E755C">
      <w:pPr>
        <w:spacing w:line="570" w:lineRule="exact"/>
        <w:ind w:firstLine="640"/>
        <w:rPr>
          <w:rFonts w:ascii="仿宋_GB2312" w:hAnsi="仿宋_GB2312"/>
          <w:b/>
          <w:bCs/>
        </w:rPr>
      </w:pPr>
      <w:r>
        <w:rPr>
          <w:rFonts w:ascii="仿宋_GB2312" w:hAnsi="仿宋_GB2312"/>
        </w:rPr>
        <w:t>十六、</w:t>
      </w:r>
      <w:r>
        <w:rPr>
          <w:rFonts w:ascii="仿宋_GB2312" w:hAnsi="仿宋_GB2312"/>
        </w:rPr>
        <w:t>“</w:t>
      </w:r>
      <w:r>
        <w:rPr>
          <w:rFonts w:ascii="仿宋_GB2312" w:hAnsi="仿宋_GB2312"/>
        </w:rPr>
        <w:t>三公</w:t>
      </w:r>
      <w:r>
        <w:rPr>
          <w:rFonts w:ascii="仿宋_GB2312" w:hAnsi="仿宋_GB2312"/>
        </w:rPr>
        <w:t>”</w:t>
      </w:r>
      <w:r>
        <w:rPr>
          <w:rFonts w:ascii="仿宋_GB2312" w:hAnsi="仿宋_GB2312"/>
        </w:rPr>
        <w:t>经费：指部门用一般公共预算财政拨款安排的因公出国（境）费、公务用车购置及运行费和公务接</w:t>
      </w:r>
      <w:r>
        <w:rPr>
          <w:rFonts w:ascii="仿宋_GB2312" w:hAnsi="仿宋_GB2312"/>
        </w:rPr>
        <w:lastRenderedPageBreak/>
        <w:t>待费。其中，因公出国（境）费反映单位公务出国（境）的住宿费、旅费、伙食补助费、杂费、培训费等支出；公务用车购置及运行费反映单位公务用车购置费、燃料费、维修费、过路过桥费、保险费、安全奖励费用等支出；公务接待费反映单位按规定开支的各类公务接待（含外宾接待）支出。</w:t>
      </w:r>
    </w:p>
    <w:p w:rsidR="000C0FB9" w:rsidRDefault="009E755C">
      <w:pPr>
        <w:spacing w:line="570" w:lineRule="exact"/>
        <w:ind w:firstLine="640"/>
        <w:rPr>
          <w:rFonts w:ascii="仿宋_GB2312" w:hAnsi="仿宋_GB2312"/>
        </w:rPr>
      </w:pPr>
      <w:r>
        <w:rPr>
          <w:rFonts w:ascii="仿宋_GB2312" w:hAnsi="仿宋_GB2312"/>
        </w:rPr>
        <w:t>十七、机关运行经费：指行政单位（含参照公务员法管理的事业单位）使用一般公共预算安排的基本支出中的日常公用经费支出，包括办公及印刷费、邮电</w:t>
      </w:r>
      <w:r>
        <w:rPr>
          <w:rFonts w:ascii="仿宋_GB2312" w:hAnsi="仿宋_GB2312"/>
        </w:rPr>
        <w:t>费、差旅费、会议费、福利费、日常维修费、专用材料及一般设备购置费、办公用房水电费、办公用房取暖费、办公用房物业管理费、公务用车运行维护费及其他费用。</w:t>
      </w:r>
    </w:p>
    <w:p w:rsidR="000C0FB9" w:rsidRDefault="009E755C">
      <w:pPr>
        <w:spacing w:line="570" w:lineRule="exact"/>
        <w:ind w:firstLine="640"/>
        <w:rPr>
          <w:rFonts w:ascii="仿宋_GB2312" w:hAnsi="仿宋_GB2312"/>
        </w:rPr>
      </w:pPr>
      <w:r>
        <w:rPr>
          <w:rFonts w:ascii="仿宋_GB2312" w:hAnsi="仿宋_GB2312"/>
        </w:rPr>
        <w:t>（</w:t>
      </w:r>
      <w:r>
        <w:rPr>
          <w:rFonts w:ascii="仿宋_GB2312" w:hAnsi="仿宋_GB2312"/>
          <w:i/>
          <w:iCs/>
        </w:rPr>
        <w:t>各部门应根据公开决算表中对应的经费情况进行名词解释，对未涉及的名词可以删除</w:t>
      </w:r>
      <w:r>
        <w:rPr>
          <w:rFonts w:ascii="仿宋_GB2312" w:hAnsi="仿宋_GB2312"/>
        </w:rPr>
        <w:t>）</w:t>
      </w:r>
    </w:p>
    <w:p w:rsidR="000C0FB9" w:rsidRDefault="000C0FB9">
      <w:pPr>
        <w:ind w:firstLine="640"/>
      </w:pPr>
    </w:p>
    <w:sectPr w:rsidR="000C0FB9" w:rsidSect="000C0F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755C" w:rsidRDefault="009E755C" w:rsidP="007337CC">
      <w:pPr>
        <w:ind w:firstLine="640"/>
      </w:pPr>
      <w:r>
        <w:separator/>
      </w:r>
    </w:p>
  </w:endnote>
  <w:endnote w:type="continuationSeparator" w:id="1">
    <w:p w:rsidR="009E755C" w:rsidRDefault="009E755C" w:rsidP="007337CC">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00000000"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Times New Roman"/>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altName w:val="Arial Unicode MS"/>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7CC" w:rsidRDefault="007337CC" w:rsidP="007337CC">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7CC" w:rsidRDefault="007337CC" w:rsidP="007337CC">
    <w:pPr>
      <w:pStyle w:val="a3"/>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7CC" w:rsidRDefault="007337CC" w:rsidP="007337CC">
    <w:pPr>
      <w:pStyle w:val="a3"/>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FB9" w:rsidRDefault="000C0FB9" w:rsidP="007337CC">
    <w:pPr>
      <w:pStyle w:val="a3"/>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FB9" w:rsidRDefault="000C0FB9" w:rsidP="007337CC">
    <w:pPr>
      <w:pStyle w:val="a3"/>
      <w:ind w:firstLine="360"/>
    </w:pPr>
    <w:r>
      <w:pict>
        <v:shapetype id="_x0000_t202" coordsize="21600,21600" o:spt="202" path="m,l,21600r21600,l21600,xe">
          <v:stroke joinstyle="miter"/>
          <v:path gradientshapeok="t" o:connecttype="rect"/>
        </v:shapetype>
        <v:shape id="文本框 1025" o:spid="_x0000_s1026" type="#_x0000_t202" style="position:absolute;left:0;text-align:left;margin-left:104pt;margin-top:0;width:2in;height:2in;z-index:251661312;mso-wrap-style:none;mso-position-horizontal:right;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du8EisQEA&#10;AE4DAAAOAAAAAAAAAAEAIAAAAB4BAABkcnMvZTJvRG9jLnhtbFBLBQYAAAAABgAGAFkBAABBBQAA&#10;AAA=&#10;" filled="f" stroked="f">
          <v:textbox style="mso-fit-shape-to-text:t" inset="0,0,0,0">
            <w:txbxContent>
              <w:p w:rsidR="000C0FB9" w:rsidRDefault="000C0FB9" w:rsidP="007337CC">
                <w:pPr>
                  <w:pStyle w:val="a3"/>
                  <w:ind w:firstLine="360"/>
                </w:pPr>
                <w:r>
                  <w:rPr>
                    <w:rFonts w:hint="eastAsia"/>
                  </w:rPr>
                  <w:fldChar w:fldCharType="begin"/>
                </w:r>
                <w:r w:rsidR="009E755C">
                  <w:rPr>
                    <w:rFonts w:hint="eastAsia"/>
                  </w:rPr>
                  <w:instrText xml:space="preserve"> PAGE  \* MERGEFORMAT </w:instrText>
                </w:r>
                <w:r>
                  <w:rPr>
                    <w:rFonts w:hint="eastAsia"/>
                  </w:rPr>
                  <w:fldChar w:fldCharType="separate"/>
                </w:r>
                <w:r w:rsidR="007337CC">
                  <w:rPr>
                    <w:noProof/>
                  </w:rPr>
                  <w:t>37</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755C" w:rsidRDefault="009E755C" w:rsidP="007337CC">
      <w:pPr>
        <w:ind w:firstLine="640"/>
      </w:pPr>
      <w:r>
        <w:separator/>
      </w:r>
    </w:p>
  </w:footnote>
  <w:footnote w:type="continuationSeparator" w:id="1">
    <w:p w:rsidR="009E755C" w:rsidRDefault="009E755C" w:rsidP="007337CC">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7CC" w:rsidRDefault="007337CC" w:rsidP="007337CC">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7CC" w:rsidRDefault="007337CC" w:rsidP="007337CC">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7CC" w:rsidRDefault="007337CC" w:rsidP="007337CC">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C63148"/>
    <w:multiLevelType w:val="singleLevel"/>
    <w:tmpl w:val="80C63148"/>
    <w:lvl w:ilvl="0">
      <w:start w:val="1"/>
      <w:numFmt w:val="decimal"/>
      <w:suff w:val="nothing"/>
      <w:lvlText w:val="%1、"/>
      <w:lvlJc w:val="left"/>
    </w:lvl>
  </w:abstractNum>
  <w:abstractNum w:abstractNumId="1">
    <w:nsid w:val="DB731769"/>
    <w:multiLevelType w:val="singleLevel"/>
    <w:tmpl w:val="DB731769"/>
    <w:lvl w:ilvl="0">
      <w:start w:val="1"/>
      <w:numFmt w:val="chineseCounting"/>
      <w:suff w:val="nothing"/>
      <w:lvlText w:val="（%1）"/>
      <w:lvlJc w:val="left"/>
      <w:rPr>
        <w:rFonts w:hint="eastAsia"/>
      </w:rPr>
    </w:lvl>
  </w:abstractNum>
  <w:abstractNum w:abstractNumId="2">
    <w:nsid w:val="ECCC4539"/>
    <w:multiLevelType w:val="singleLevel"/>
    <w:tmpl w:val="ECCC4539"/>
    <w:lvl w:ilvl="0">
      <w:start w:val="1"/>
      <w:numFmt w:val="decimal"/>
      <w:suff w:val="nothing"/>
      <w:lvlText w:val="%1、"/>
      <w:lvlJc w:val="left"/>
    </w:lvl>
  </w:abstractNum>
  <w:abstractNum w:abstractNumId="3">
    <w:nsid w:val="0F81E456"/>
    <w:multiLevelType w:val="singleLevel"/>
    <w:tmpl w:val="0F81E456"/>
    <w:lvl w:ilvl="0">
      <w:start w:val="5"/>
      <w:numFmt w:val="chineseCounting"/>
      <w:suff w:val="nothing"/>
      <w:lvlText w:val="%1、"/>
      <w:lvlJc w:val="left"/>
      <w:rPr>
        <w:rFonts w:hint="eastAsia"/>
      </w:rPr>
    </w:lvl>
  </w:abstractNum>
  <w:abstractNum w:abstractNumId="4">
    <w:nsid w:val="4F60F30C"/>
    <w:multiLevelType w:val="singleLevel"/>
    <w:tmpl w:val="4F60F30C"/>
    <w:lvl w:ilvl="0">
      <w:start w:val="1"/>
      <w:numFmt w:val="chineseCounting"/>
      <w:suff w:val="nothing"/>
      <w:lvlText w:val="（%1）"/>
      <w:lvlJc w:val="left"/>
      <w:rPr>
        <w:rFonts w:hint="eastAsia"/>
      </w:rPr>
    </w:lvl>
  </w:abstractNum>
  <w:abstractNum w:abstractNumId="5">
    <w:nsid w:val="70029680"/>
    <w:multiLevelType w:val="singleLevel"/>
    <w:tmpl w:val="70029680"/>
    <w:lvl w:ilvl="0">
      <w:start w:val="9"/>
      <w:numFmt w:val="chineseCounting"/>
      <w:suff w:val="nothing"/>
      <w:lvlText w:val="%1、"/>
      <w:lvlJc w:val="left"/>
      <w:rPr>
        <w:rFonts w:hint="eastAsia"/>
      </w:rPr>
    </w:lvl>
  </w:abstractNum>
  <w:abstractNum w:abstractNumId="6">
    <w:nsid w:val="74473E1B"/>
    <w:multiLevelType w:val="singleLevel"/>
    <w:tmpl w:val="74473E1B"/>
    <w:lvl w:ilvl="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6"/>
  </w:num>
  <w:num w:numId="5">
    <w:abstractNumId w:val="4"/>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6146"/>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61F6"/>
    <w:rsid w:val="000C0FB9"/>
    <w:rsid w:val="0018752B"/>
    <w:rsid w:val="005261F6"/>
    <w:rsid w:val="007337CC"/>
    <w:rsid w:val="009E755C"/>
    <w:rsid w:val="00EB6753"/>
    <w:rsid w:val="09DE12C1"/>
    <w:rsid w:val="0C743A7A"/>
    <w:rsid w:val="0EFC18DE"/>
    <w:rsid w:val="11C83F40"/>
    <w:rsid w:val="14416168"/>
    <w:rsid w:val="1868344F"/>
    <w:rsid w:val="1E2321E1"/>
    <w:rsid w:val="204F477A"/>
    <w:rsid w:val="2F487A67"/>
    <w:rsid w:val="3B563E5B"/>
    <w:rsid w:val="3D153B1C"/>
    <w:rsid w:val="401200EB"/>
    <w:rsid w:val="42F21C51"/>
    <w:rsid w:val="4332711A"/>
    <w:rsid w:val="54170FC2"/>
    <w:rsid w:val="55372323"/>
    <w:rsid w:val="59BF207C"/>
    <w:rsid w:val="59FF7E85"/>
    <w:rsid w:val="65A801DB"/>
    <w:rsid w:val="67AC3323"/>
    <w:rsid w:val="6A4F0BCD"/>
    <w:rsid w:val="6EF9738E"/>
    <w:rsid w:val="729F23FA"/>
    <w:rsid w:val="7617008B"/>
    <w:rsid w:val="76B34724"/>
    <w:rsid w:val="7BCD3500"/>
    <w:rsid w:val="7D820FDD"/>
    <w:rsid w:val="7D881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FB9"/>
    <w:pPr>
      <w:widowControl w:val="0"/>
      <w:ind w:firstLineChars="200" w:firstLine="200"/>
      <w:jc w:val="both"/>
    </w:pPr>
    <w:rPr>
      <w:rFonts w:ascii="Times New Roman" w:eastAsia="仿宋_GB2312"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qFormat/>
    <w:rsid w:val="000C0FB9"/>
    <w:pPr>
      <w:tabs>
        <w:tab w:val="center" w:pos="4153"/>
        <w:tab w:val="right" w:pos="8306"/>
      </w:tabs>
      <w:snapToGrid w:val="0"/>
      <w:jc w:val="left"/>
    </w:pPr>
    <w:rPr>
      <w:sz w:val="18"/>
    </w:rPr>
  </w:style>
  <w:style w:type="paragraph" w:styleId="a4">
    <w:name w:val="header"/>
    <w:basedOn w:val="a"/>
    <w:uiPriority w:val="99"/>
    <w:semiHidden/>
    <w:unhideWhenUsed/>
    <w:qFormat/>
    <w:rsid w:val="000C0FB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hart" Target="charts/chart2.xml"/><Relationship Id="rId2" Type="http://schemas.openxmlformats.org/officeDocument/2006/relationships/numbering" Target="numbering.xml"/><Relationship Id="rId16"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plotArea>
      <c:layout/>
      <c:pieChart>
        <c:varyColors val="1"/>
        <c:ser>
          <c:idx val="0"/>
          <c:order val="0"/>
          <c:tx>
            <c:strRef>
              <c:f>Sheet1!$B$1</c:f>
              <c:strCache>
                <c:ptCount val="1"/>
                <c:pt idx="0">
                  <c:v>2018年度收入结构图</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cat>
            <c:strRef>
              <c:f>Sheet1!$A$2:$A$5</c:f>
              <c:strCache>
                <c:ptCount val="4"/>
                <c:pt idx="0">
                  <c:v>财政拨款收入</c:v>
                </c:pt>
                <c:pt idx="1">
                  <c:v>上级补助收入</c:v>
                </c:pt>
                <c:pt idx="2">
                  <c:v>事业收入</c:v>
                </c:pt>
                <c:pt idx="3">
                  <c:v>经营收入</c:v>
                </c:pt>
              </c:strCache>
            </c:strRef>
          </c:cat>
          <c:val>
            <c:numRef>
              <c:f>Sheet1!$B$2:$B$5</c:f>
              <c:numCache>
                <c:formatCode>General</c:formatCode>
                <c:ptCount val="4"/>
                <c:pt idx="0">
                  <c:v>10401.949999999997</c:v>
                </c:pt>
                <c:pt idx="1">
                  <c:v>636.03</c:v>
                </c:pt>
                <c:pt idx="2">
                  <c:v>77.930000000000007</c:v>
                </c:pt>
                <c:pt idx="3">
                  <c:v>373.61</c:v>
                </c:pt>
              </c:numCache>
            </c:numRef>
          </c:val>
        </c:ser>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8243750000000006"/>
          <c:y val="3.6666666666666715E-2"/>
          <c:w val="0.63837500000000025"/>
          <c:h val="0.85116666666666696"/>
        </c:manualLayout>
      </c:layout>
      <c:pieChart>
        <c:varyColors val="1"/>
        <c:ser>
          <c:idx val="0"/>
          <c:order val="0"/>
          <c:dPt>
            <c:idx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dPt>
          <c:dPt>
            <c:idx val="1"/>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dPt>
          <c:dPt>
            <c:idx val="2"/>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dPt>
          <c:cat>
            <c:strRef>
              <c:f>Sheet1!$A$2:$A$4</c:f>
              <c:strCache>
                <c:ptCount val="3"/>
                <c:pt idx="0">
                  <c:v>基本支出</c:v>
                </c:pt>
                <c:pt idx="1">
                  <c:v>项目支出</c:v>
                </c:pt>
                <c:pt idx="2">
                  <c:v>经营支出</c:v>
                </c:pt>
              </c:strCache>
            </c:strRef>
          </c:cat>
          <c:val>
            <c:numRef>
              <c:f>Sheet1!$B$2:$B$4</c:f>
              <c:numCache>
                <c:formatCode>General</c:formatCode>
                <c:ptCount val="3"/>
                <c:pt idx="0">
                  <c:v>6022.33</c:v>
                </c:pt>
                <c:pt idx="1">
                  <c:v>5455.1500000000015</c:v>
                </c:pt>
                <c:pt idx="2">
                  <c:v>370.40999999999991</c:v>
                </c:pt>
              </c:numCache>
            </c:numRef>
          </c:val>
        </c:ser>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endParaRPr lang="zh-CN"/>
        </a:p>
      </c:txPr>
    </c:legend>
    <c:plotVisOnly val="1"/>
    <c:dispBlanksAs val="zero"/>
  </c:chart>
  <c:spPr>
    <a:solidFill>
      <a:schemeClr val="bg1"/>
    </a:solidFill>
    <a:ln w="9525" cap="flat" cmpd="sng" algn="ctr">
      <a:solidFill>
        <a:schemeClr val="tx2">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3513</Words>
  <Characters>20027</Characters>
  <Application>Microsoft Office Word</Application>
  <DocSecurity>0</DocSecurity>
  <Lines>166</Lines>
  <Paragraphs>46</Paragraphs>
  <ScaleCrop>false</ScaleCrop>
  <Company>Microsoft</Company>
  <LinksUpToDate>false</LinksUpToDate>
  <CharactersWithSpaces>23494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系统管理员</dc:creator>
  <cp:lastModifiedBy>AutoBVT</cp:lastModifiedBy>
  <cp:revision>2</cp:revision>
  <cp:lastPrinted>2019-12-13T02:50:00Z</cp:lastPrinted>
  <dcterms:created xsi:type="dcterms:W3CDTF">2025-08-22T02:26:00Z</dcterms:created>
  <dcterms:modified xsi:type="dcterms:W3CDTF">2025-08-22T02:26:00Z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