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5FFC74">
      <w:pPr>
        <w:overflowPunct w:val="0"/>
        <w:autoSpaceDE w:val="0"/>
        <w:autoSpaceDN w:val="0"/>
        <w:adjustRightInd w:val="0"/>
        <w:snapToGrid w:val="0"/>
        <w:spacing w:line="580" w:lineRule="exact"/>
        <w:rPr>
          <w:rFonts w:eastAsia="黑体"/>
          <w:sz w:val="32"/>
          <w:szCs w:val="32"/>
        </w:rPr>
      </w:pPr>
      <w:r>
        <w:rPr>
          <w:rFonts w:hAnsi="黑体" w:eastAsia="黑体"/>
          <w:sz w:val="32"/>
          <w:szCs w:val="32"/>
        </w:rPr>
        <w:t>附件</w:t>
      </w:r>
      <w:r>
        <w:rPr>
          <w:rFonts w:eastAsia="黑体"/>
          <w:sz w:val="32"/>
          <w:szCs w:val="32"/>
        </w:rPr>
        <w:t>2</w:t>
      </w:r>
    </w:p>
    <w:p w14:paraId="667068ED">
      <w:pPr>
        <w:overflowPunct w:val="0"/>
        <w:autoSpaceDE w:val="0"/>
        <w:autoSpaceDN w:val="0"/>
        <w:adjustRightInd w:val="0"/>
        <w:snapToGrid w:val="0"/>
        <w:spacing w:before="240" w:line="540" w:lineRule="exact"/>
        <w:jc w:val="center"/>
        <w:rPr>
          <w:rFonts w:eastAsia="方正小标宋简体"/>
          <w:sz w:val="44"/>
          <w:szCs w:val="44"/>
        </w:rPr>
      </w:pPr>
      <w:r>
        <w:rPr>
          <w:rFonts w:hint="eastAsia" w:eastAsia="方正小标宋简体"/>
          <w:sz w:val="44"/>
          <w:szCs w:val="44"/>
        </w:rPr>
        <w:t>曳引驱动乘客电梯和载货电梯维保质量</w:t>
      </w:r>
    </w:p>
    <w:p w14:paraId="2CEA4ADC">
      <w:pPr>
        <w:overflowPunct w:val="0"/>
        <w:autoSpaceDE w:val="0"/>
        <w:autoSpaceDN w:val="0"/>
        <w:adjustRightInd w:val="0"/>
        <w:snapToGrid w:val="0"/>
        <w:spacing w:before="120" w:after="240" w:line="540" w:lineRule="exact"/>
        <w:jc w:val="center"/>
        <w:rPr>
          <w:rFonts w:eastAsia="方正小标宋简体"/>
          <w:sz w:val="44"/>
          <w:szCs w:val="44"/>
        </w:rPr>
      </w:pPr>
      <w:r>
        <w:rPr>
          <w:rFonts w:hint="eastAsia" w:eastAsia="方正小标宋简体"/>
          <w:sz w:val="44"/>
          <w:szCs w:val="44"/>
        </w:rPr>
        <w:t>监督抽查项目内容、要求与方法</w:t>
      </w:r>
    </w:p>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36"/>
        <w:gridCol w:w="6133"/>
        <w:gridCol w:w="1354"/>
      </w:tblGrid>
      <w:tr w14:paraId="3C0AB3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101" w:type="dxa"/>
            <w:vAlign w:val="center"/>
          </w:tcPr>
          <w:p w14:paraId="1B75769E">
            <w:pPr>
              <w:adjustRightInd w:val="0"/>
              <w:snapToGrid w:val="0"/>
              <w:spacing w:line="320" w:lineRule="exact"/>
              <w:ind w:left="-57" w:right="-57"/>
              <w:jc w:val="center"/>
              <w:rPr>
                <w:rFonts w:eastAsia="黑体"/>
                <w:bCs/>
                <w:snapToGrid w:val="0"/>
                <w:color w:val="000000" w:themeColor="text1"/>
                <w:kern w:val="0"/>
                <w:szCs w:val="21"/>
                <w14:textFill>
                  <w14:solidFill>
                    <w14:schemeClr w14:val="tx1"/>
                  </w14:solidFill>
                </w14:textFill>
              </w:rPr>
            </w:pPr>
            <w:r>
              <w:rPr>
                <w:rFonts w:hAnsi="黑体" w:eastAsia="黑体"/>
                <w:bCs/>
                <w:snapToGrid w:val="0"/>
                <w:color w:val="000000" w:themeColor="text1"/>
                <w:kern w:val="0"/>
                <w:szCs w:val="21"/>
                <w14:textFill>
                  <w14:solidFill>
                    <w14:schemeClr w14:val="tx1"/>
                  </w14:solidFill>
                </w14:textFill>
              </w:rPr>
              <w:t>项目</w:t>
            </w:r>
          </w:p>
        </w:tc>
        <w:tc>
          <w:tcPr>
            <w:tcW w:w="6520" w:type="dxa"/>
            <w:vAlign w:val="center"/>
          </w:tcPr>
          <w:p w14:paraId="4A83C06F">
            <w:pPr>
              <w:spacing w:line="320" w:lineRule="exact"/>
              <w:jc w:val="center"/>
              <w:rPr>
                <w:rFonts w:eastAsia="黑体"/>
                <w:bCs/>
                <w:snapToGrid w:val="0"/>
                <w:color w:val="000000" w:themeColor="text1"/>
                <w:kern w:val="0"/>
                <w:szCs w:val="21"/>
                <w14:textFill>
                  <w14:solidFill>
                    <w14:schemeClr w14:val="tx1"/>
                  </w14:solidFill>
                </w14:textFill>
              </w:rPr>
            </w:pPr>
            <w:r>
              <w:rPr>
                <w:rFonts w:hAnsi="黑体" w:eastAsia="黑体"/>
                <w:bCs/>
                <w:snapToGrid w:val="0"/>
                <w:color w:val="000000" w:themeColor="text1"/>
                <w:kern w:val="0"/>
                <w:szCs w:val="21"/>
                <w14:textFill>
                  <w14:solidFill>
                    <w14:schemeClr w14:val="tx1"/>
                  </w14:solidFill>
                </w14:textFill>
              </w:rPr>
              <w:t>抽查内容和要求</w:t>
            </w:r>
          </w:p>
        </w:tc>
        <w:tc>
          <w:tcPr>
            <w:tcW w:w="1439" w:type="dxa"/>
            <w:vAlign w:val="center"/>
          </w:tcPr>
          <w:p w14:paraId="0F0636A2">
            <w:pPr>
              <w:spacing w:line="320" w:lineRule="exact"/>
              <w:jc w:val="center"/>
              <w:rPr>
                <w:rFonts w:eastAsia="黑体"/>
                <w:bCs/>
                <w:snapToGrid w:val="0"/>
                <w:color w:val="000000" w:themeColor="text1"/>
                <w:kern w:val="0"/>
                <w:szCs w:val="21"/>
                <w14:textFill>
                  <w14:solidFill>
                    <w14:schemeClr w14:val="tx1"/>
                  </w14:solidFill>
                </w14:textFill>
              </w:rPr>
            </w:pPr>
            <w:r>
              <w:rPr>
                <w:rFonts w:hAnsi="黑体" w:eastAsia="黑体"/>
                <w:bCs/>
                <w:snapToGrid w:val="0"/>
                <w:color w:val="000000" w:themeColor="text1"/>
                <w:kern w:val="0"/>
                <w:szCs w:val="21"/>
                <w14:textFill>
                  <w14:solidFill>
                    <w14:schemeClr w14:val="tx1"/>
                  </w14:solidFill>
                </w14:textFill>
              </w:rPr>
              <w:t>抽查方法</w:t>
            </w:r>
          </w:p>
        </w:tc>
      </w:tr>
      <w:tr w14:paraId="3702BD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3E0AC257">
            <w:pPr>
              <w:spacing w:line="320" w:lineRule="exact"/>
              <w:ind w:left="-57" w:right="-57"/>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必备条件</w:t>
            </w:r>
          </w:p>
        </w:tc>
        <w:tc>
          <w:tcPr>
            <w:tcW w:w="6520" w:type="dxa"/>
            <w:vAlign w:val="center"/>
          </w:tcPr>
          <w:p w14:paraId="599A33C7">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电梯应能正常运行，无故障；</w:t>
            </w:r>
          </w:p>
          <w:p w14:paraId="4B7E396E">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现场抽查时，应采取合适的安全防护措施；</w:t>
            </w:r>
          </w:p>
          <w:p w14:paraId="09368A2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作业人员应持证上岗（需记录作业人员证件号）；</w:t>
            </w:r>
          </w:p>
          <w:p w14:paraId="47229DC5">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作业人员应配备合适的个人防护用品。</w:t>
            </w:r>
          </w:p>
        </w:tc>
        <w:tc>
          <w:tcPr>
            <w:tcW w:w="1439" w:type="dxa"/>
            <w:vAlign w:val="center"/>
          </w:tcPr>
          <w:p w14:paraId="20B988E5">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目测；审查相应资料</w:t>
            </w:r>
            <w:r>
              <w:rPr>
                <w:rFonts w:hint="eastAsia" w:hAnsiTheme="minorEastAsia" w:eastAsiaTheme="minorEastAsia"/>
                <w:snapToGrid w:val="0"/>
                <w:color w:val="000000" w:themeColor="text1"/>
                <w:kern w:val="0"/>
                <w:szCs w:val="21"/>
                <w14:textFill>
                  <w14:solidFill>
                    <w14:schemeClr w14:val="tx1"/>
                  </w14:solidFill>
                </w14:textFill>
              </w:rPr>
              <w:t>。</w:t>
            </w:r>
          </w:p>
        </w:tc>
      </w:tr>
      <w:tr w14:paraId="188499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191D2E6F">
            <w:pPr>
              <w:spacing w:line="320" w:lineRule="exact"/>
              <w:ind w:left="-57" w:right="-57"/>
              <w:jc w:val="center"/>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机房</w:t>
            </w:r>
          </w:p>
        </w:tc>
        <w:tc>
          <w:tcPr>
            <w:tcW w:w="6520" w:type="dxa"/>
            <w:vAlign w:val="center"/>
          </w:tcPr>
          <w:p w14:paraId="665E14E8">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通往机房的通道保持通畅，相关人员能够安全、方便、无阻碍地使用；</w:t>
            </w:r>
          </w:p>
          <w:p w14:paraId="137DC56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机房门锁应完好，且能从机房内不用钥匙也能打开；门外侧应有</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电梯机器一一危险</w:t>
            </w:r>
            <w:r>
              <w:rPr>
                <w:rFonts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未经允许禁止入内</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的类似标志；</w:t>
            </w:r>
          </w:p>
          <w:p w14:paraId="29862F5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机房内应设有一个开关，控制机房照明，功能正常；</w:t>
            </w:r>
          </w:p>
          <w:p w14:paraId="1C020258">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机房不应用于电梯以外的其它用途，不应放置与电梯无关的设施或物品；机房应有合适的消防设施。</w:t>
            </w:r>
          </w:p>
        </w:tc>
        <w:tc>
          <w:tcPr>
            <w:tcW w:w="1439" w:type="dxa"/>
            <w:vAlign w:val="center"/>
          </w:tcPr>
          <w:p w14:paraId="48824C65">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操作验证各开关的功能</w:t>
            </w:r>
            <w:r>
              <w:rPr>
                <w:rFonts w:hint="eastAsia" w:hAnsiTheme="minorEastAsia" w:eastAsiaTheme="minorEastAsia"/>
                <w:snapToGrid w:val="0"/>
                <w:color w:val="000000" w:themeColor="text1"/>
                <w:kern w:val="0"/>
                <w:szCs w:val="21"/>
                <w14:textFill>
                  <w14:solidFill>
                    <w14:schemeClr w14:val="tx1"/>
                  </w14:solidFill>
                </w14:textFill>
              </w:rPr>
              <w:t>。</w:t>
            </w:r>
          </w:p>
        </w:tc>
      </w:tr>
      <w:tr w14:paraId="43E2D2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3C5D3ECF">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主开关</w:t>
            </w:r>
          </w:p>
        </w:tc>
        <w:tc>
          <w:tcPr>
            <w:tcW w:w="6520" w:type="dxa"/>
            <w:vAlign w:val="center"/>
          </w:tcPr>
          <w:p w14:paraId="2E849767">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每台电梯应单独由一个主开关控制，从机房入口处易于直接接近，并且在断开位置上能够被锁住；</w:t>
            </w:r>
          </w:p>
          <w:p w14:paraId="310F6094">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主电源开关不能切断机房照明、井道照明、机房插座、底坑插座等的电源；</w:t>
            </w:r>
          </w:p>
          <w:p w14:paraId="0F1AA0CA">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主电源开关出线端不应接电梯以外的用电设备。</w:t>
            </w:r>
          </w:p>
        </w:tc>
        <w:tc>
          <w:tcPr>
            <w:tcW w:w="1439" w:type="dxa"/>
            <w:vAlign w:val="center"/>
          </w:tcPr>
          <w:p w14:paraId="47F24B10">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204496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0598A7DF">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紧急</w:t>
            </w:r>
          </w:p>
          <w:p w14:paraId="289CA209">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操作装置</w:t>
            </w:r>
          </w:p>
        </w:tc>
        <w:tc>
          <w:tcPr>
            <w:tcW w:w="6520" w:type="dxa"/>
            <w:vAlign w:val="center"/>
          </w:tcPr>
          <w:p w14:paraId="460402DA">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应设有紧急情况下移动轿厢的装置（手动或电动），设备齐全，放在指定位置；</w:t>
            </w:r>
          </w:p>
          <w:p w14:paraId="144CDDA4">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紧急操作装置旁边设有操作说明且应清晰易于阅读，说明中的操作方法应适用于现场实物；</w:t>
            </w:r>
          </w:p>
          <w:p w14:paraId="766DDD5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电梯紧急救援操作功能应当有效。</w:t>
            </w:r>
          </w:p>
        </w:tc>
        <w:tc>
          <w:tcPr>
            <w:tcW w:w="1439" w:type="dxa"/>
            <w:vAlign w:val="center"/>
          </w:tcPr>
          <w:p w14:paraId="4B8BCB9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7760FC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054F9028">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4</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曳引机和减速机</w:t>
            </w:r>
          </w:p>
        </w:tc>
        <w:tc>
          <w:tcPr>
            <w:tcW w:w="6520" w:type="dxa"/>
            <w:vAlign w:val="center"/>
          </w:tcPr>
          <w:p w14:paraId="26D3EDFB">
            <w:pPr>
              <w:spacing w:line="32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驱动主机工作正常，运行时无异常声响和异常振动；</w:t>
            </w:r>
          </w:p>
          <w:p w14:paraId="5A637D39">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减速箱润滑油油量适宜，除蜗杆外伸出端无渗漏；</w:t>
            </w:r>
          </w:p>
          <w:p w14:paraId="5C8AC924">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驱动主机的防护装置应齐全，安装正确，固定可靠；</w:t>
            </w:r>
          </w:p>
          <w:p w14:paraId="1EBBE88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电动机与减速机联轴器连接无松动，弹性元件外观良好，无老化现象。</w:t>
            </w:r>
          </w:p>
        </w:tc>
        <w:tc>
          <w:tcPr>
            <w:tcW w:w="1439" w:type="dxa"/>
            <w:vAlign w:val="center"/>
          </w:tcPr>
          <w:p w14:paraId="52BD882E">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65986B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5D81BF11">
            <w:pPr>
              <w:spacing w:line="320" w:lineRule="exact"/>
              <w:ind w:left="-57" w:right="-57"/>
              <w:jc w:val="center"/>
              <w:rPr>
                <w:rFonts w:hint="eastAsia"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5</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曳引轮、导向轮、曳引钢丝绳及绳头</w:t>
            </w:r>
          </w:p>
          <w:p w14:paraId="609BCD8C">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组合</w:t>
            </w:r>
          </w:p>
        </w:tc>
        <w:tc>
          <w:tcPr>
            <w:tcW w:w="6520" w:type="dxa"/>
            <w:vAlign w:val="center"/>
          </w:tcPr>
          <w:p w14:paraId="4366ABF8">
            <w:pPr>
              <w:spacing w:line="32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曳引轮不得有严重的不均匀磨损；</w:t>
            </w:r>
          </w:p>
          <w:p w14:paraId="60535AFD">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驱动轮、导向轮无异响、润滑良好；</w:t>
            </w:r>
          </w:p>
          <w:p w14:paraId="6DDA524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绳头组合各部件齐全、无破损、变形；绳头各部件连接可靠，紧固件（如螺母）无松动；</w:t>
            </w:r>
          </w:p>
          <w:p w14:paraId="260BDF8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曳引钢丝绳张力应均匀，无断丝、变形、绳芯脱出等异常情况；采用其他类型悬挂装置的，悬挂装置的磨损、变形等应当不超过制造单位设定的报废指标。</w:t>
            </w:r>
          </w:p>
        </w:tc>
        <w:tc>
          <w:tcPr>
            <w:tcW w:w="1439" w:type="dxa"/>
            <w:vAlign w:val="center"/>
          </w:tcPr>
          <w:p w14:paraId="2A98C8BD">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目测；测试验证功能有效性；必要时进行数据测量</w:t>
            </w:r>
            <w:r>
              <w:rPr>
                <w:rFonts w:hint="eastAsia" w:hAnsiTheme="minorEastAsia" w:eastAsiaTheme="minorEastAsia"/>
                <w:snapToGrid w:val="0"/>
                <w:color w:val="000000" w:themeColor="text1"/>
                <w:kern w:val="0"/>
                <w:szCs w:val="21"/>
                <w14:textFill>
                  <w14:solidFill>
                    <w14:schemeClr w14:val="tx1"/>
                  </w14:solidFill>
                </w14:textFill>
              </w:rPr>
              <w:t>。</w:t>
            </w:r>
          </w:p>
        </w:tc>
      </w:tr>
      <w:tr w14:paraId="7885F8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6627AD10">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*6</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制动器</w:t>
            </w:r>
          </w:p>
        </w:tc>
        <w:tc>
          <w:tcPr>
            <w:tcW w:w="6520" w:type="dxa"/>
            <w:vAlign w:val="center"/>
          </w:tcPr>
          <w:p w14:paraId="3A918005">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制动器各销轴固定可靠，无严重油污，润滑适当，动作灵活；</w:t>
            </w:r>
          </w:p>
          <w:p w14:paraId="1F9FA1A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制动器铁芯（柱塞）动作可靠，磨损量不超过制造单位要求；</w:t>
            </w:r>
          </w:p>
          <w:p w14:paraId="6B642BE1">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制动器动作（张开或抱紧）时不应有任何延迟；制动器打开时，制动衬与制动轮不应发生摩擦，间隙值符合制造单位要求；</w:t>
            </w:r>
          </w:p>
          <w:p w14:paraId="73B8D3C1">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制动衬表面应清洁，无油污，磨损量不超过制造单位要求；</w:t>
            </w:r>
          </w:p>
          <w:p w14:paraId="2DF85984">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制动器动作状态监测装置工作正常，制动器动作可靠。</w:t>
            </w:r>
          </w:p>
        </w:tc>
        <w:tc>
          <w:tcPr>
            <w:tcW w:w="1439" w:type="dxa"/>
            <w:vAlign w:val="center"/>
          </w:tcPr>
          <w:p w14:paraId="68134489">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263DC6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074AA94A">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7</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编码器</w:t>
            </w:r>
          </w:p>
        </w:tc>
        <w:tc>
          <w:tcPr>
            <w:tcW w:w="6520" w:type="dxa"/>
            <w:vAlign w:val="center"/>
          </w:tcPr>
          <w:p w14:paraId="2A493CC6">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清洁，固定可靠、无松动，接线可靠，无破损；</w:t>
            </w:r>
          </w:p>
          <w:p w14:paraId="1CB85985">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电梯运行时编码器无异常声响。</w:t>
            </w:r>
          </w:p>
        </w:tc>
        <w:tc>
          <w:tcPr>
            <w:tcW w:w="1439" w:type="dxa"/>
            <w:vAlign w:val="center"/>
          </w:tcPr>
          <w:p w14:paraId="2EBB3D5D">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5CDC37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271D56EC">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8</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控制柜</w:t>
            </w:r>
          </w:p>
        </w:tc>
        <w:tc>
          <w:tcPr>
            <w:tcW w:w="6520" w:type="dxa"/>
            <w:vAlign w:val="center"/>
          </w:tcPr>
          <w:p w14:paraId="22227AB8">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控制柜内各接线端线号齐全、清晰；各仪表显示正常；</w:t>
            </w:r>
          </w:p>
          <w:p w14:paraId="34343C58">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接触器、继电器运行时无异常声响和振动，动作灵活，触点接触良好；</w:t>
            </w:r>
          </w:p>
          <w:p w14:paraId="34E20BD1">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供电电源有错、断相时，电梯应立即停止或无法启动；</w:t>
            </w:r>
          </w:p>
          <w:p w14:paraId="61434143">
            <w:pPr>
              <w:spacing w:line="32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层门旁路、轿门旁路装置工作正常；</w:t>
            </w:r>
          </w:p>
          <w:p w14:paraId="2849B0E4">
            <w:pPr>
              <w:spacing w:line="32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安全回路无短接。</w:t>
            </w:r>
          </w:p>
        </w:tc>
        <w:tc>
          <w:tcPr>
            <w:tcW w:w="1439" w:type="dxa"/>
            <w:vAlign w:val="center"/>
          </w:tcPr>
          <w:p w14:paraId="474F7A0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4D821E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3C1CADB6">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9</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限速器</w:t>
            </w:r>
          </w:p>
        </w:tc>
        <w:tc>
          <w:tcPr>
            <w:tcW w:w="6520" w:type="dxa"/>
            <w:vAlign w:val="center"/>
          </w:tcPr>
          <w:p w14:paraId="566B35DE">
            <w:pPr>
              <w:spacing w:line="320" w:lineRule="exact"/>
              <w:rPr>
                <w:rFonts w:eastAsiaTheme="minorEastAsia"/>
                <w:snapToGrid w:val="0"/>
                <w:color w:val="000000" w:themeColor="text1"/>
                <w:spacing w:val="-6"/>
                <w:kern w:val="0"/>
                <w:szCs w:val="21"/>
                <w14:textFill>
                  <w14:solidFill>
                    <w14:schemeClr w14:val="tx1"/>
                  </w14:solidFill>
                </w14:textFill>
              </w:rPr>
            </w:pPr>
            <w:r>
              <w:rPr>
                <w:rFonts w:eastAsiaTheme="minorEastAsia"/>
                <w:snapToGrid w:val="0"/>
                <w:color w:val="000000" w:themeColor="text1"/>
                <w:spacing w:val="-6"/>
                <w:kern w:val="0"/>
                <w:szCs w:val="21"/>
                <w14:textFill>
                  <w14:solidFill>
                    <w14:schemeClr w14:val="tx1"/>
                  </w14:solidFill>
                </w14:textFill>
              </w:rPr>
              <w:t>*</w:t>
            </w:r>
            <w:r>
              <w:rPr>
                <w:rFonts w:hAnsiTheme="minorEastAsia" w:eastAsiaTheme="minorEastAsia"/>
                <w:snapToGrid w:val="0"/>
                <w:color w:val="000000" w:themeColor="text1"/>
                <w:spacing w:val="-6"/>
                <w:kern w:val="0"/>
                <w:szCs w:val="21"/>
                <w14:textFill>
                  <w14:solidFill>
                    <w14:schemeClr w14:val="tx1"/>
                  </w14:solidFill>
                </w14:textFill>
              </w:rPr>
              <w:t>限速器各销轴部位动作灵活可靠，电气开关完好，固定可靠，接线正确；</w:t>
            </w:r>
          </w:p>
          <w:p w14:paraId="75BE2AD4">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限速器应在校验有效期内，且限速器调整封记完好；</w:t>
            </w:r>
          </w:p>
          <w:p w14:paraId="75470489">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限速器轮槽和钢丝绳表面应清洁；轮槽磨损、钢丝绳断丝和磨损应满足要求。</w:t>
            </w:r>
          </w:p>
        </w:tc>
        <w:tc>
          <w:tcPr>
            <w:tcW w:w="1439" w:type="dxa"/>
            <w:vAlign w:val="center"/>
          </w:tcPr>
          <w:p w14:paraId="432C84CE">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2DD893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2326990E">
            <w:pPr>
              <w:spacing w:line="320" w:lineRule="exact"/>
              <w:ind w:left="-57" w:right="-57"/>
              <w:jc w:val="center"/>
              <w:rPr>
                <w:rFonts w:hint="eastAsia"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10</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上行超速保护</w:t>
            </w:r>
          </w:p>
          <w:p w14:paraId="051A7C94">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装置</w:t>
            </w:r>
          </w:p>
        </w:tc>
        <w:tc>
          <w:tcPr>
            <w:tcW w:w="6520" w:type="dxa"/>
            <w:vAlign w:val="center"/>
          </w:tcPr>
          <w:p w14:paraId="676BE3BE">
            <w:pPr>
              <w:spacing w:line="32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固定可靠，部件无缺失；动作（包括触发、复位、电气抽查等）机构连接可靠，动作灵活；未被人为失效；</w:t>
            </w:r>
          </w:p>
          <w:p w14:paraId="58A97511">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制动元件磨损量应符合要求。</w:t>
            </w:r>
          </w:p>
        </w:tc>
        <w:tc>
          <w:tcPr>
            <w:tcW w:w="1439" w:type="dxa"/>
            <w:vAlign w:val="center"/>
          </w:tcPr>
          <w:p w14:paraId="017B720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目测；测试验证功能有效性；必要时进行数据测量</w:t>
            </w:r>
            <w:r>
              <w:rPr>
                <w:rFonts w:hint="eastAsia" w:hAnsiTheme="minorEastAsia" w:eastAsiaTheme="minorEastAsia"/>
                <w:snapToGrid w:val="0"/>
                <w:color w:val="000000" w:themeColor="text1"/>
                <w:kern w:val="0"/>
                <w:szCs w:val="21"/>
                <w14:textFill>
                  <w14:solidFill>
                    <w14:schemeClr w14:val="tx1"/>
                  </w14:solidFill>
                </w14:textFill>
              </w:rPr>
              <w:t>。</w:t>
            </w:r>
          </w:p>
        </w:tc>
      </w:tr>
      <w:tr w14:paraId="0573D1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0E6EBE52">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11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轿顶</w:t>
            </w:r>
          </w:p>
        </w:tc>
        <w:tc>
          <w:tcPr>
            <w:tcW w:w="6520" w:type="dxa"/>
            <w:vAlign w:val="center"/>
          </w:tcPr>
          <w:p w14:paraId="15C9C5B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轿顶应清洁，无严重油污和杂物；</w:t>
            </w:r>
          </w:p>
          <w:p w14:paraId="0392937B">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轿顶护栏应有关于俯伏或斜靠护栏危险的警示符号或须知，固定在护栏的适当位置；</w:t>
            </w:r>
          </w:p>
          <w:p w14:paraId="585EFEBB">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轿顶操作开关固定可靠，标记清晰；轿顶照明装置固定可靠，亮度适中，并有防护装置；</w:t>
            </w:r>
          </w:p>
          <w:p w14:paraId="199D65AA">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轿顶护栏应有一定的强度，防止人员从轿顶跌落。</w:t>
            </w:r>
          </w:p>
        </w:tc>
        <w:tc>
          <w:tcPr>
            <w:tcW w:w="1439" w:type="dxa"/>
            <w:vAlign w:val="center"/>
          </w:tcPr>
          <w:p w14:paraId="3E9BEA7A">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3FE857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4B8A597D">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12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轿顶检修开关、急停开关</w:t>
            </w:r>
          </w:p>
        </w:tc>
        <w:tc>
          <w:tcPr>
            <w:tcW w:w="6520" w:type="dxa"/>
            <w:vAlign w:val="center"/>
          </w:tcPr>
          <w:p w14:paraId="31513739">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轿顶检修开关、急停开关外观完好，固定可靠；</w:t>
            </w:r>
          </w:p>
          <w:p w14:paraId="129EA47A">
            <w:pPr>
              <w:spacing w:line="32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轿顶检修开关、急停开关接线正确，停止装置应工作正常；</w:t>
            </w:r>
          </w:p>
          <w:p w14:paraId="32AAC7F8">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轿顶应当装设一个从入口处易于接近的停止装置（急停开关）。</w:t>
            </w:r>
          </w:p>
        </w:tc>
        <w:tc>
          <w:tcPr>
            <w:tcW w:w="1439" w:type="dxa"/>
            <w:vAlign w:val="center"/>
          </w:tcPr>
          <w:p w14:paraId="5DD9D3FA">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3F68FB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20DF42C6">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13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导靴、滚轮及</w:t>
            </w:r>
          </w:p>
          <w:p w14:paraId="7B26EA3C">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油杯</w:t>
            </w:r>
          </w:p>
        </w:tc>
        <w:tc>
          <w:tcPr>
            <w:tcW w:w="6520" w:type="dxa"/>
            <w:vAlign w:val="center"/>
          </w:tcPr>
          <w:p w14:paraId="0EC5B6F7">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导靴固定可靠，无严重油污；</w:t>
            </w:r>
          </w:p>
          <w:p w14:paraId="7C4202C7">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靴衬或滚轮工作面应无明显磨损；滚轮架固定可靠，滚轮表面无油污、变形、老化等现象；</w:t>
            </w:r>
          </w:p>
          <w:p w14:paraId="3CAE0D7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油杯固定可靠，无泄漏，油毡齐全，油杯内油量及油品适当。</w:t>
            </w:r>
          </w:p>
        </w:tc>
        <w:tc>
          <w:tcPr>
            <w:tcW w:w="1439" w:type="dxa"/>
            <w:vAlign w:val="center"/>
          </w:tcPr>
          <w:p w14:paraId="1D81BC3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4DB7EE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63C698E7">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14</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对重块及其</w:t>
            </w:r>
          </w:p>
          <w:p w14:paraId="0F62C13A">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压板</w:t>
            </w:r>
          </w:p>
        </w:tc>
        <w:tc>
          <w:tcPr>
            <w:tcW w:w="6520" w:type="dxa"/>
            <w:vAlign w:val="center"/>
          </w:tcPr>
          <w:p w14:paraId="40FD450D">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对重块应无开裂、破损、严重变形等异常情况；</w:t>
            </w:r>
          </w:p>
          <w:p w14:paraId="21790EDC">
            <w:pPr>
              <w:spacing w:line="32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对重块压板齐全，对重块被压实无松动；</w:t>
            </w:r>
          </w:p>
          <w:p w14:paraId="1D1E5A86">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具有能够快速识别对重块数量的措施。</w:t>
            </w:r>
          </w:p>
        </w:tc>
        <w:tc>
          <w:tcPr>
            <w:tcW w:w="1439" w:type="dxa"/>
            <w:vAlign w:val="center"/>
          </w:tcPr>
          <w:p w14:paraId="4F0D46F6">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6E6414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2E92E4F7">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*15</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井道、对重、轿顶各反绳轮轴承部</w:t>
            </w:r>
          </w:p>
        </w:tc>
        <w:tc>
          <w:tcPr>
            <w:tcW w:w="6520" w:type="dxa"/>
            <w:vAlign w:val="center"/>
          </w:tcPr>
          <w:p w14:paraId="2C82F6CB">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轴承、防脱落装置固定可靠；</w:t>
            </w:r>
          </w:p>
          <w:p w14:paraId="7E0BCF2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电梯运行时轴承无异常声音和振动、轴承润滑良好。</w:t>
            </w:r>
          </w:p>
        </w:tc>
        <w:tc>
          <w:tcPr>
            <w:tcW w:w="1439" w:type="dxa"/>
            <w:vAlign w:val="center"/>
          </w:tcPr>
          <w:p w14:paraId="176AA1A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693B84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4484FBFA">
            <w:pPr>
              <w:spacing w:line="320" w:lineRule="exact"/>
              <w:ind w:left="-57" w:right="-57"/>
              <w:jc w:val="center"/>
              <w:rPr>
                <w:rFonts w:hint="eastAsia"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16</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井道</w:t>
            </w:r>
          </w:p>
          <w:p w14:paraId="1B0FA3E0">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照明</w:t>
            </w:r>
          </w:p>
        </w:tc>
        <w:tc>
          <w:tcPr>
            <w:tcW w:w="6520" w:type="dxa"/>
            <w:vAlign w:val="center"/>
          </w:tcPr>
          <w:p w14:paraId="07A3D54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井道内应设有永久性的电气照明装置；</w:t>
            </w:r>
          </w:p>
          <w:p w14:paraId="7B36E9FD">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在机房和底坑易于接近处应设有井道照明开关，开关应可靠固定，开关上或附近应有清晰明显的标志；</w:t>
            </w:r>
          </w:p>
          <w:p w14:paraId="112D5697">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机房或底坑的井道照明控制开关应能分别独立控制井道照明。</w:t>
            </w:r>
          </w:p>
        </w:tc>
        <w:tc>
          <w:tcPr>
            <w:tcW w:w="1439" w:type="dxa"/>
            <w:vAlign w:val="center"/>
          </w:tcPr>
          <w:p w14:paraId="5011F1D6">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17898C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38CF8621">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17</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轿厢照明、风扇</w:t>
            </w:r>
          </w:p>
        </w:tc>
        <w:tc>
          <w:tcPr>
            <w:tcW w:w="6520" w:type="dxa"/>
            <w:vAlign w:val="center"/>
          </w:tcPr>
          <w:p w14:paraId="12CFB9B9">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轿厢应设有永久性的电气照明装置，应清洁，固定可靠；</w:t>
            </w:r>
          </w:p>
          <w:p w14:paraId="4D457EE8">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轿厢应设有通风装置，能有效工作；</w:t>
            </w:r>
          </w:p>
          <w:p w14:paraId="2B383AF0">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轿厢应急照明应有效。</w:t>
            </w:r>
          </w:p>
        </w:tc>
        <w:tc>
          <w:tcPr>
            <w:tcW w:w="1439" w:type="dxa"/>
            <w:vAlign w:val="center"/>
          </w:tcPr>
          <w:p w14:paraId="2B541B41">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4832DF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241F161C">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18</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轿厢内环境</w:t>
            </w:r>
          </w:p>
        </w:tc>
        <w:tc>
          <w:tcPr>
            <w:tcW w:w="6520" w:type="dxa"/>
            <w:vAlign w:val="center"/>
          </w:tcPr>
          <w:p w14:paraId="288935B8">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（半</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）新版</w:t>
            </w:r>
            <w:r>
              <w:rPr>
                <w:rFonts w:eastAsiaTheme="minorEastAsia"/>
                <w:snapToGrid w:val="0"/>
                <w:color w:val="000000" w:themeColor="text1"/>
                <w:kern w:val="0"/>
                <w:szCs w:val="21"/>
                <w14:textFill>
                  <w14:solidFill>
                    <w14:schemeClr w14:val="tx1"/>
                  </w14:solidFill>
                </w14:textFill>
              </w:rPr>
              <w:t>96333</w:t>
            </w:r>
            <w:r>
              <w:rPr>
                <w:rFonts w:hAnsiTheme="minorEastAsia" w:eastAsiaTheme="minorEastAsia"/>
                <w:snapToGrid w:val="0"/>
                <w:color w:val="000000" w:themeColor="text1"/>
                <w:kern w:val="0"/>
                <w:szCs w:val="21"/>
                <w14:textFill>
                  <w14:solidFill>
                    <w14:schemeClr w14:val="tx1"/>
                  </w14:solidFill>
                </w14:textFill>
              </w:rPr>
              <w:t>标识牌张贴规范，二维码扫描显示信息准确；</w:t>
            </w:r>
          </w:p>
          <w:p w14:paraId="720A8028">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轿壁、轿顶板、地板等无明显锈蚀、变形、破损等异常情况。</w:t>
            </w:r>
          </w:p>
        </w:tc>
        <w:tc>
          <w:tcPr>
            <w:tcW w:w="1439" w:type="dxa"/>
            <w:vAlign w:val="center"/>
          </w:tcPr>
          <w:p w14:paraId="778FCE0A">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目测；扫码验证信息是否准确</w:t>
            </w:r>
            <w:r>
              <w:rPr>
                <w:rFonts w:hint="eastAsia" w:hAnsiTheme="minorEastAsia" w:eastAsiaTheme="minorEastAsia"/>
                <w:snapToGrid w:val="0"/>
                <w:color w:val="000000" w:themeColor="text1"/>
                <w:kern w:val="0"/>
                <w:szCs w:val="21"/>
                <w14:textFill>
                  <w14:solidFill>
                    <w14:schemeClr w14:val="tx1"/>
                  </w14:solidFill>
                </w14:textFill>
              </w:rPr>
              <w:t>。</w:t>
            </w:r>
          </w:p>
        </w:tc>
      </w:tr>
      <w:tr w14:paraId="056148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585A8846">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19</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轿内报警装置、对讲系统</w:t>
            </w:r>
          </w:p>
        </w:tc>
        <w:tc>
          <w:tcPr>
            <w:tcW w:w="6520" w:type="dxa"/>
            <w:vAlign w:val="center"/>
          </w:tcPr>
          <w:p w14:paraId="63E07568">
            <w:pPr>
              <w:spacing w:line="32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轿厢报警装置、对讲系统工作正常；</w:t>
            </w:r>
          </w:p>
          <w:p w14:paraId="6F976C0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视频监控设施正常运行（</w:t>
            </w:r>
            <w:r>
              <w:rPr>
                <w:rFonts w:eastAsiaTheme="minorEastAsia"/>
                <w:snapToGrid w:val="0"/>
                <w:color w:val="000000" w:themeColor="text1"/>
                <w:kern w:val="0"/>
                <w:szCs w:val="21"/>
                <w14:textFill>
                  <w14:solidFill>
                    <w14:schemeClr w14:val="tx1"/>
                  </w14:solidFill>
                </w14:textFill>
              </w:rPr>
              <w:t>2018</w:t>
            </w:r>
            <w:r>
              <w:rPr>
                <w:rFonts w:hAnsiTheme="minorEastAsia" w:eastAsiaTheme="minorEastAsia"/>
                <w:snapToGrid w:val="0"/>
                <w:color w:val="000000" w:themeColor="text1"/>
                <w:kern w:val="0"/>
                <w:szCs w:val="21"/>
                <w14:textFill>
                  <w14:solidFill>
                    <w14:schemeClr w14:val="tx1"/>
                  </w14:solidFill>
                </w14:textFill>
              </w:rPr>
              <w:t>年</w:t>
            </w:r>
            <w:r>
              <w:rPr>
                <w:rFonts w:eastAsiaTheme="minorEastAsia"/>
                <w:snapToGrid w:val="0"/>
                <w:color w:val="000000" w:themeColor="text1"/>
                <w:kern w:val="0"/>
                <w:szCs w:val="21"/>
                <w14:textFill>
                  <w14:solidFill>
                    <w14:schemeClr w14:val="tx1"/>
                  </w14:solidFill>
                </w14:textFill>
              </w:rPr>
              <w:t>3</w:t>
            </w:r>
            <w:r>
              <w:rPr>
                <w:rFonts w:hAnsiTheme="minorEastAsia" w:eastAsiaTheme="minorEastAsia"/>
                <w:snapToGrid w:val="0"/>
                <w:color w:val="000000" w:themeColor="text1"/>
                <w:kern w:val="0"/>
                <w:szCs w:val="21"/>
                <w14:textFill>
                  <w14:solidFill>
                    <w14:schemeClr w14:val="tx1"/>
                  </w14:solidFill>
                </w14:textFill>
              </w:rPr>
              <w:t>月</w:t>
            </w:r>
            <w:r>
              <w:rPr>
                <w:rFonts w:eastAsiaTheme="minorEastAsia"/>
                <w:snapToGrid w:val="0"/>
                <w:color w:val="000000" w:themeColor="text1"/>
                <w:kern w:val="0"/>
                <w:szCs w:val="21"/>
                <w14:textFill>
                  <w14:solidFill>
                    <w14:schemeClr w14:val="tx1"/>
                  </w14:solidFill>
                </w14:textFill>
              </w:rPr>
              <w:t>1</w:t>
            </w:r>
            <w:r>
              <w:rPr>
                <w:rFonts w:hAnsiTheme="minorEastAsia" w:eastAsiaTheme="minorEastAsia"/>
                <w:snapToGrid w:val="0"/>
                <w:color w:val="000000" w:themeColor="text1"/>
                <w:kern w:val="0"/>
                <w:szCs w:val="21"/>
                <w14:textFill>
                  <w14:solidFill>
                    <w14:schemeClr w14:val="tx1"/>
                  </w14:solidFill>
                </w14:textFill>
              </w:rPr>
              <w:t>日以后经监督检验合格的公众聚集场所和住宅小区电梯需配备视频监控设施）。</w:t>
            </w:r>
          </w:p>
        </w:tc>
        <w:tc>
          <w:tcPr>
            <w:tcW w:w="1439" w:type="dxa"/>
            <w:vAlign w:val="center"/>
          </w:tcPr>
          <w:p w14:paraId="535B271E">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6388C3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4D87A471">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*20</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轿门防夹人</w:t>
            </w:r>
          </w:p>
          <w:p w14:paraId="5946F470">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装置</w:t>
            </w:r>
          </w:p>
        </w:tc>
        <w:tc>
          <w:tcPr>
            <w:tcW w:w="6520" w:type="dxa"/>
            <w:vAlign w:val="center"/>
          </w:tcPr>
          <w:p w14:paraId="1940366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轿门防夹人保护装置（光幕、安全触板等）功能正常。</w:t>
            </w:r>
          </w:p>
        </w:tc>
        <w:tc>
          <w:tcPr>
            <w:tcW w:w="1439" w:type="dxa"/>
            <w:vAlign w:val="center"/>
          </w:tcPr>
          <w:p w14:paraId="26A4C58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模拟动作试验</w:t>
            </w:r>
            <w:r>
              <w:rPr>
                <w:rFonts w:hint="eastAsia" w:hAnsiTheme="minorEastAsia" w:eastAsiaTheme="minorEastAsia"/>
                <w:snapToGrid w:val="0"/>
                <w:color w:val="000000" w:themeColor="text1"/>
                <w:kern w:val="0"/>
                <w:szCs w:val="21"/>
                <w14:textFill>
                  <w14:solidFill>
                    <w14:schemeClr w14:val="tx1"/>
                  </w14:solidFill>
                </w14:textFill>
              </w:rPr>
              <w:t>。</w:t>
            </w:r>
          </w:p>
        </w:tc>
      </w:tr>
      <w:tr w14:paraId="629284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566C52C6">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21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轿门锁闭装置</w:t>
            </w:r>
          </w:p>
        </w:tc>
        <w:tc>
          <w:tcPr>
            <w:tcW w:w="6520" w:type="dxa"/>
            <w:vAlign w:val="center"/>
          </w:tcPr>
          <w:p w14:paraId="4CC5A236">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轿门门锁（如有）应清洁，固定可靠，动作灵活、无阻碍</w:t>
            </w:r>
            <w:r>
              <w:rPr>
                <w:rFonts w:hint="eastAsia" w:hAnsiTheme="minorEastAsia" w:eastAsiaTheme="minorEastAsia"/>
                <w:snapToGrid w:val="0"/>
                <w:color w:val="000000" w:themeColor="text1"/>
                <w:kern w:val="0"/>
                <w:szCs w:val="21"/>
                <w14:textFill>
                  <w14:solidFill>
                    <w14:schemeClr w14:val="tx1"/>
                  </w14:solidFill>
                </w14:textFill>
              </w:rPr>
              <w:t>；</w:t>
            </w:r>
          </w:p>
          <w:p w14:paraId="356E598F">
            <w:pPr>
              <w:spacing w:line="32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触点清洁，接触良好，接线可靠，无破损等现象。</w:t>
            </w:r>
          </w:p>
        </w:tc>
        <w:tc>
          <w:tcPr>
            <w:tcW w:w="1439" w:type="dxa"/>
            <w:vAlign w:val="center"/>
          </w:tcPr>
          <w:p w14:paraId="1A4B86EA">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526021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25B369CE">
            <w:pPr>
              <w:spacing w:line="320" w:lineRule="exact"/>
              <w:ind w:left="-57" w:right="-57"/>
              <w:jc w:val="center"/>
              <w:rPr>
                <w:rFonts w:hint="eastAsia"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22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轿门</w:t>
            </w:r>
          </w:p>
          <w:p w14:paraId="1E6FAA75">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运行</w:t>
            </w:r>
          </w:p>
        </w:tc>
        <w:tc>
          <w:tcPr>
            <w:tcW w:w="6520" w:type="dxa"/>
            <w:vAlign w:val="center"/>
          </w:tcPr>
          <w:p w14:paraId="5CFF82D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轿门各部件清洁，齐全，固定可靠；</w:t>
            </w:r>
          </w:p>
          <w:p w14:paraId="12FAA5C9">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轿门导向装置和应急导向装置固定可靠；</w:t>
            </w:r>
          </w:p>
          <w:p w14:paraId="20BCBEDF">
            <w:pPr>
              <w:spacing w:line="320" w:lineRule="exact"/>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轿门运行中无脱轨、机械卡阻或行程终端时错位；</w:t>
            </w:r>
          </w:p>
          <w:p w14:paraId="4B7B343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门挂轮及其导轨无明显变形现象。</w:t>
            </w:r>
          </w:p>
        </w:tc>
        <w:tc>
          <w:tcPr>
            <w:tcW w:w="1439" w:type="dxa"/>
            <w:vAlign w:val="center"/>
          </w:tcPr>
          <w:p w14:paraId="70FAAE21">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目测；测量相关数据</w:t>
            </w:r>
            <w:r>
              <w:rPr>
                <w:rFonts w:hint="eastAsia" w:hAnsiTheme="minorEastAsia" w:eastAsiaTheme="minorEastAsia"/>
                <w:snapToGrid w:val="0"/>
                <w:color w:val="000000" w:themeColor="text1"/>
                <w:kern w:val="0"/>
                <w:szCs w:val="21"/>
                <w14:textFill>
                  <w14:solidFill>
                    <w14:schemeClr w14:val="tx1"/>
                  </w14:solidFill>
                </w14:textFill>
              </w:rPr>
              <w:t>。</w:t>
            </w:r>
          </w:p>
        </w:tc>
      </w:tr>
      <w:tr w14:paraId="1C084A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3BF76558">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*23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验证轿门关闭的电气安全装置</w:t>
            </w:r>
          </w:p>
        </w:tc>
        <w:tc>
          <w:tcPr>
            <w:tcW w:w="6520" w:type="dxa"/>
            <w:vAlign w:val="center"/>
          </w:tcPr>
          <w:p w14:paraId="1D0233BE">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轿门电气安全装置的数量和安装部位应能满足要求；</w:t>
            </w:r>
          </w:p>
          <w:p w14:paraId="43AFCDE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触点清洁，接触良好，接线可靠，无破损等现象。</w:t>
            </w:r>
          </w:p>
        </w:tc>
        <w:tc>
          <w:tcPr>
            <w:tcW w:w="1439" w:type="dxa"/>
            <w:vAlign w:val="center"/>
          </w:tcPr>
          <w:p w14:paraId="0CAF514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6F5ADB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05D87985">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24</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轿厢平层精度</w:t>
            </w:r>
          </w:p>
        </w:tc>
        <w:tc>
          <w:tcPr>
            <w:tcW w:w="6520" w:type="dxa"/>
            <w:vAlign w:val="center"/>
          </w:tcPr>
          <w:p w14:paraId="2D34BFDE">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电梯轿厢的平层准确度宜在</w:t>
            </w:r>
            <w:r>
              <w:rPr>
                <w:rFonts w:eastAsiaTheme="minorEastAsia"/>
                <w:snapToGrid w:val="0"/>
                <w:color w:val="000000" w:themeColor="text1"/>
                <w:kern w:val="0"/>
                <w:szCs w:val="21"/>
                <w14:textFill>
                  <w14:solidFill>
                    <w14:schemeClr w14:val="tx1"/>
                  </w14:solidFill>
                </w14:textFill>
              </w:rPr>
              <w:t>±10mm</w:t>
            </w:r>
            <w:r>
              <w:rPr>
                <w:rFonts w:hAnsiTheme="minorEastAsia" w:eastAsiaTheme="minorEastAsia"/>
                <w:snapToGrid w:val="0"/>
                <w:color w:val="000000" w:themeColor="text1"/>
                <w:kern w:val="0"/>
                <w:szCs w:val="21"/>
                <w14:textFill>
                  <w14:solidFill>
                    <w14:schemeClr w14:val="tx1"/>
                  </w14:solidFill>
                </w14:textFill>
              </w:rPr>
              <w:t>范围内。</w:t>
            </w:r>
          </w:p>
        </w:tc>
        <w:tc>
          <w:tcPr>
            <w:tcW w:w="1439" w:type="dxa"/>
            <w:vAlign w:val="center"/>
          </w:tcPr>
          <w:p w14:paraId="0640F0F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目测；测量相关数据</w:t>
            </w:r>
            <w:r>
              <w:rPr>
                <w:rFonts w:hint="eastAsia" w:hAnsiTheme="minorEastAsia" w:eastAsiaTheme="minorEastAsia"/>
                <w:snapToGrid w:val="0"/>
                <w:color w:val="000000" w:themeColor="text1"/>
                <w:kern w:val="0"/>
                <w:szCs w:val="21"/>
                <w14:textFill>
                  <w14:solidFill>
                    <w14:schemeClr w14:val="tx1"/>
                  </w14:solidFill>
                </w14:textFill>
              </w:rPr>
              <w:t>。</w:t>
            </w:r>
          </w:p>
        </w:tc>
      </w:tr>
      <w:tr w14:paraId="184FB3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634A2817">
            <w:pPr>
              <w:spacing w:line="320" w:lineRule="exact"/>
              <w:ind w:left="-57" w:right="-57"/>
              <w:jc w:val="center"/>
              <w:rPr>
                <w:rFonts w:hint="eastAsia"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25</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层站召唤、层楼</w:t>
            </w:r>
          </w:p>
          <w:p w14:paraId="601B7D73">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显示</w:t>
            </w:r>
          </w:p>
        </w:tc>
        <w:tc>
          <w:tcPr>
            <w:tcW w:w="6520" w:type="dxa"/>
            <w:vAlign w:val="center"/>
          </w:tcPr>
          <w:p w14:paraId="0B34DA08">
            <w:pPr>
              <w:spacing w:line="320" w:lineRule="exact"/>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各层站显示清晰，正确；</w:t>
            </w:r>
          </w:p>
          <w:p w14:paraId="6BF9ED66">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各层站按钮齐全，固定可靠；</w:t>
            </w:r>
          </w:p>
          <w:p w14:paraId="1C273746">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按钮标志清晰且与其对应功能一致，按钮灯显示清晰。</w:t>
            </w:r>
          </w:p>
        </w:tc>
        <w:tc>
          <w:tcPr>
            <w:tcW w:w="1439" w:type="dxa"/>
            <w:vAlign w:val="center"/>
          </w:tcPr>
          <w:p w14:paraId="3B81B608">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52F7F6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5764BB82">
            <w:pPr>
              <w:spacing w:line="320" w:lineRule="exact"/>
              <w:ind w:left="-57" w:right="-57"/>
              <w:jc w:val="center"/>
              <w:rPr>
                <w:rFonts w:hint="eastAsia"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26</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层门</w:t>
            </w:r>
          </w:p>
          <w:p w14:paraId="0FA59E07">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地坎</w:t>
            </w:r>
          </w:p>
        </w:tc>
        <w:tc>
          <w:tcPr>
            <w:tcW w:w="6520" w:type="dxa"/>
            <w:vAlign w:val="center"/>
          </w:tcPr>
          <w:p w14:paraId="59CD67A5">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层门地坎固定可靠，无变形、磨损、锈蚀等异常情况；</w:t>
            </w:r>
          </w:p>
          <w:p w14:paraId="56674CE8">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地坎内无明显杂物。</w:t>
            </w:r>
          </w:p>
        </w:tc>
        <w:tc>
          <w:tcPr>
            <w:tcW w:w="1439" w:type="dxa"/>
            <w:vAlign w:val="center"/>
          </w:tcPr>
          <w:p w14:paraId="223EB59A">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1BDD68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4E63DE13">
            <w:pPr>
              <w:spacing w:line="320" w:lineRule="exact"/>
              <w:ind w:left="-57" w:right="-57"/>
              <w:jc w:val="center"/>
              <w:rPr>
                <w:rFonts w:hint="eastAsia"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27</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层门自动关门</w:t>
            </w:r>
          </w:p>
          <w:p w14:paraId="707EF56C">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装置</w:t>
            </w:r>
          </w:p>
        </w:tc>
        <w:tc>
          <w:tcPr>
            <w:tcW w:w="6520" w:type="dxa"/>
            <w:vAlign w:val="center"/>
          </w:tcPr>
          <w:p w14:paraId="4DD677F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层门自动关闭装置部件齐全，动作可靠；</w:t>
            </w:r>
          </w:p>
          <w:p w14:paraId="49CE6BD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如采用重块作为自动关门装置时，应有防止重块坠落的措施。</w:t>
            </w:r>
          </w:p>
        </w:tc>
        <w:tc>
          <w:tcPr>
            <w:tcW w:w="1439" w:type="dxa"/>
            <w:vAlign w:val="center"/>
          </w:tcPr>
          <w:p w14:paraId="2EC617E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00C4ED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6E096CA4">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*28</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层门门锁</w:t>
            </w:r>
          </w:p>
        </w:tc>
        <w:tc>
          <w:tcPr>
            <w:tcW w:w="6520" w:type="dxa"/>
            <w:vAlign w:val="center"/>
          </w:tcPr>
          <w:p w14:paraId="319D02FB">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层门门锁应清洁，固定可靠，零部件无缺失，活动部位动作灵活无阻碍；</w:t>
            </w:r>
          </w:p>
          <w:p w14:paraId="79383D0D">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用开锁装置打开门锁并释放后，层门门锁应能自动复位。</w:t>
            </w:r>
          </w:p>
        </w:tc>
        <w:tc>
          <w:tcPr>
            <w:tcW w:w="1439" w:type="dxa"/>
            <w:vAlign w:val="center"/>
          </w:tcPr>
          <w:p w14:paraId="421F5151">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57219B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6C442236">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*29</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层门电气安全装置</w:t>
            </w:r>
          </w:p>
        </w:tc>
        <w:tc>
          <w:tcPr>
            <w:tcW w:w="6520" w:type="dxa"/>
            <w:vAlign w:val="center"/>
          </w:tcPr>
          <w:p w14:paraId="5491D573">
            <w:pPr>
              <w:spacing w:line="320" w:lineRule="exact"/>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层门门锁电气触点应清洁，连接或固定可靠；</w:t>
            </w:r>
          </w:p>
          <w:p w14:paraId="6675AFC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电气触点及附件无扭曲变形锈蚀破损等，触点表面无污垢、积炭等；</w:t>
            </w:r>
          </w:p>
          <w:p w14:paraId="32E9D971">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触点接触良好，接线正确、可靠，不能有短接、虚接或并联</w:t>
            </w:r>
            <w:r>
              <w:rPr>
                <w:rFonts w:hint="eastAsia" w:hAnsiTheme="minorEastAsia" w:eastAsiaTheme="minorEastAsia"/>
                <w:snapToGrid w:val="0"/>
                <w:color w:val="000000" w:themeColor="text1"/>
                <w:kern w:val="0"/>
                <w:szCs w:val="21"/>
                <w14:textFill>
                  <w14:solidFill>
                    <w14:schemeClr w14:val="tx1"/>
                  </w14:solidFill>
                </w14:textFill>
              </w:rPr>
              <w:t>；</w:t>
            </w:r>
          </w:p>
          <w:p w14:paraId="5A9E8D9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层门打开后，电气安全装置应能可靠断开；层门未关闭到位前，电梯应不能继续运行或不能启动。</w:t>
            </w:r>
          </w:p>
        </w:tc>
        <w:tc>
          <w:tcPr>
            <w:tcW w:w="1439" w:type="dxa"/>
            <w:vAlign w:val="center"/>
          </w:tcPr>
          <w:p w14:paraId="5E399BC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28126C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293C583C">
            <w:pPr>
              <w:spacing w:line="320" w:lineRule="exact"/>
              <w:ind w:left="-57" w:right="-57"/>
              <w:jc w:val="center"/>
              <w:rPr>
                <w:rFonts w:hint="eastAsia"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30</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层门锁紧元件</w:t>
            </w:r>
          </w:p>
          <w:p w14:paraId="74F94A7C">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啮合</w:t>
            </w:r>
          </w:p>
        </w:tc>
        <w:tc>
          <w:tcPr>
            <w:tcW w:w="6520" w:type="dxa"/>
            <w:vAlign w:val="center"/>
          </w:tcPr>
          <w:p w14:paraId="41AD1B21">
            <w:pPr>
              <w:spacing w:line="32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层门门锁触点接通前，门锁锁勾啮合长度不小于</w:t>
            </w:r>
            <w:r>
              <w:rPr>
                <w:rFonts w:eastAsiaTheme="minorEastAsia"/>
                <w:snapToGrid w:val="0"/>
                <w:color w:val="000000" w:themeColor="text1"/>
                <w:kern w:val="0"/>
                <w:szCs w:val="21"/>
                <w14:textFill>
                  <w14:solidFill>
                    <w14:schemeClr w14:val="tx1"/>
                  </w14:solidFill>
                </w14:textFill>
              </w:rPr>
              <w:t>7mm</w:t>
            </w:r>
            <w:r>
              <w:rPr>
                <w:rFonts w:hAnsiTheme="minorEastAsia" w:eastAsiaTheme="minorEastAsia"/>
                <w:snapToGrid w:val="0"/>
                <w:color w:val="000000" w:themeColor="text1"/>
                <w:kern w:val="0"/>
                <w:szCs w:val="21"/>
                <w14:textFill>
                  <w14:solidFill>
                    <w14:schemeClr w14:val="tx1"/>
                  </w14:solidFill>
                </w14:textFill>
              </w:rPr>
              <w:t>；</w:t>
            </w:r>
          </w:p>
          <w:p w14:paraId="2EBA489E">
            <w:pPr>
              <w:spacing w:line="320" w:lineRule="exact"/>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保持门锁锁紧的元件（如压紧弹簧等）应无缺失并能可靠动作；</w:t>
            </w:r>
          </w:p>
          <w:p w14:paraId="7252A5BB">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锁紧元件的径向游动间隙不应导致机械锁紧失效；</w:t>
            </w:r>
          </w:p>
          <w:p w14:paraId="78A7586B">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层门门锁侧隙不应使层门电气安全装置断开。</w:t>
            </w:r>
          </w:p>
        </w:tc>
        <w:tc>
          <w:tcPr>
            <w:tcW w:w="1439" w:type="dxa"/>
            <w:vAlign w:val="center"/>
          </w:tcPr>
          <w:p w14:paraId="6ED98454">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目测；测量相关数据</w:t>
            </w:r>
            <w:r>
              <w:rPr>
                <w:rFonts w:hint="eastAsia" w:hAnsiTheme="minorEastAsia" w:eastAsiaTheme="minorEastAsia"/>
                <w:snapToGrid w:val="0"/>
                <w:color w:val="000000" w:themeColor="text1"/>
                <w:kern w:val="0"/>
                <w:szCs w:val="21"/>
                <w14:textFill>
                  <w14:solidFill>
                    <w14:schemeClr w14:val="tx1"/>
                  </w14:solidFill>
                </w14:textFill>
              </w:rPr>
              <w:t>。</w:t>
            </w:r>
          </w:p>
        </w:tc>
      </w:tr>
      <w:tr w14:paraId="4F20AF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14D71D27">
            <w:pPr>
              <w:spacing w:line="320" w:lineRule="exact"/>
              <w:ind w:left="-57" w:right="-57"/>
              <w:jc w:val="center"/>
              <w:rPr>
                <w:rFonts w:hint="eastAsia"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31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层门</w:t>
            </w:r>
          </w:p>
          <w:p w14:paraId="2C0576B4">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运行</w:t>
            </w:r>
          </w:p>
        </w:tc>
        <w:tc>
          <w:tcPr>
            <w:tcW w:w="6520" w:type="dxa"/>
            <w:vAlign w:val="center"/>
          </w:tcPr>
          <w:p w14:paraId="11C376E9">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层门各部件清洁，齐全，固定可靠；</w:t>
            </w:r>
          </w:p>
          <w:p w14:paraId="465DBF4D">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层门导向装置和应急导向装置固定可靠；</w:t>
            </w:r>
          </w:p>
          <w:p w14:paraId="0B03689C">
            <w:pPr>
              <w:spacing w:line="320" w:lineRule="exact"/>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层门运行中无脱轨、机械卡阻或行程终端时错位；</w:t>
            </w:r>
          </w:p>
          <w:p w14:paraId="7DC1AAE7">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门挂轮及其导轨无明显变形现象；</w:t>
            </w:r>
          </w:p>
          <w:p w14:paraId="5063B363">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（半</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）门滑块应无缺失或异常磨损。</w:t>
            </w:r>
          </w:p>
        </w:tc>
        <w:tc>
          <w:tcPr>
            <w:tcW w:w="1439" w:type="dxa"/>
            <w:vAlign w:val="center"/>
          </w:tcPr>
          <w:p w14:paraId="202A0FE1">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目测；测量相关数据</w:t>
            </w:r>
            <w:r>
              <w:rPr>
                <w:rFonts w:hint="eastAsia" w:hAnsiTheme="minorEastAsia" w:eastAsiaTheme="minorEastAsia"/>
                <w:snapToGrid w:val="0"/>
                <w:color w:val="000000" w:themeColor="text1"/>
                <w:kern w:val="0"/>
                <w:szCs w:val="21"/>
                <w14:textFill>
                  <w14:solidFill>
                    <w14:schemeClr w14:val="tx1"/>
                  </w14:solidFill>
                </w14:textFill>
              </w:rPr>
              <w:t>。</w:t>
            </w:r>
          </w:p>
        </w:tc>
      </w:tr>
      <w:tr w14:paraId="6425BB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0DF29EE9">
            <w:pPr>
              <w:spacing w:line="320" w:lineRule="exact"/>
              <w:ind w:left="-57" w:right="-57"/>
              <w:jc w:val="center"/>
              <w:rPr>
                <w:rFonts w:hint="eastAsia"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32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底坑</w:t>
            </w:r>
          </w:p>
          <w:p w14:paraId="62625A43">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环境</w:t>
            </w:r>
          </w:p>
        </w:tc>
        <w:tc>
          <w:tcPr>
            <w:tcW w:w="6520" w:type="dxa"/>
            <w:vAlign w:val="center"/>
          </w:tcPr>
          <w:p w14:paraId="363F2AA4">
            <w:pPr>
              <w:spacing w:line="30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（半</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）底坑内应清洁，无杂物及严重油污；</w:t>
            </w:r>
          </w:p>
          <w:p w14:paraId="62E9B903">
            <w:pPr>
              <w:spacing w:line="30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（半</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）底坑无渗水、积水（使用单位）；</w:t>
            </w:r>
          </w:p>
          <w:p w14:paraId="409C324A">
            <w:pPr>
              <w:spacing w:line="30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底坑照明工作正常，底坑爬梯</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如有</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应固定可靠；</w:t>
            </w:r>
          </w:p>
          <w:p w14:paraId="61A089F8">
            <w:pPr>
              <w:spacing w:line="30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对重防护装置齐全、固定可靠；</w:t>
            </w:r>
          </w:p>
          <w:p w14:paraId="04064E85">
            <w:pPr>
              <w:spacing w:line="30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底坑急停装置工作正常。</w:t>
            </w:r>
          </w:p>
        </w:tc>
        <w:tc>
          <w:tcPr>
            <w:tcW w:w="1439" w:type="dxa"/>
            <w:vAlign w:val="center"/>
          </w:tcPr>
          <w:p w14:paraId="25C55507">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53F041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387490B7">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33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缓冲器</w:t>
            </w:r>
          </w:p>
        </w:tc>
        <w:tc>
          <w:tcPr>
            <w:tcW w:w="6520" w:type="dxa"/>
            <w:vAlign w:val="center"/>
          </w:tcPr>
          <w:p w14:paraId="76FDCD5C">
            <w:pPr>
              <w:spacing w:line="30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缓冲器固定可靠，无松动，无锈蚀变形或老化等现象；</w:t>
            </w:r>
          </w:p>
          <w:p w14:paraId="0A4EFDCA">
            <w:pPr>
              <w:spacing w:line="30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液压缓冲器固定可靠，柱塞有防尘防锈措施，油量适宜；</w:t>
            </w:r>
          </w:p>
          <w:p w14:paraId="4DDC2F7C">
            <w:pPr>
              <w:spacing w:line="300" w:lineRule="exact"/>
              <w:rPr>
                <w:rFonts w:eastAsiaTheme="minorEastAsia"/>
                <w:snapToGrid w:val="0"/>
                <w:color w:val="000000" w:themeColor="text1"/>
                <w:kern w:val="0"/>
                <w:szCs w:val="21"/>
                <w14:textFill>
                  <w14:solidFill>
                    <w14:schemeClr w14:val="tx1"/>
                  </w14:solidFill>
                </w14:textFill>
              </w:rPr>
            </w:pP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液压缓冲器电气安全装置动作可靠；</w:t>
            </w:r>
          </w:p>
          <w:p w14:paraId="54070543">
            <w:pPr>
              <w:spacing w:line="30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对重缓冲器附近应有清晰的对重越程距离标识。</w:t>
            </w:r>
          </w:p>
        </w:tc>
        <w:tc>
          <w:tcPr>
            <w:tcW w:w="1439" w:type="dxa"/>
            <w:vAlign w:val="center"/>
          </w:tcPr>
          <w:p w14:paraId="7107051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720F7E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706C3488">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*34</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限速器张紧轮装置和电气安全</w:t>
            </w:r>
          </w:p>
          <w:p w14:paraId="4D4D2587">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装置</w:t>
            </w:r>
          </w:p>
        </w:tc>
        <w:tc>
          <w:tcPr>
            <w:tcW w:w="6520" w:type="dxa"/>
            <w:vAlign w:val="center"/>
          </w:tcPr>
          <w:p w14:paraId="4DCDD45B">
            <w:pPr>
              <w:spacing w:line="30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张紧轮装置各部件固定可靠，无严重油污；</w:t>
            </w:r>
          </w:p>
          <w:p w14:paraId="67B42501">
            <w:pPr>
              <w:spacing w:line="30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张紧轮动作灵活，运转时无异声，导向装置无阻碍；</w:t>
            </w:r>
          </w:p>
          <w:p w14:paraId="6055D8E8">
            <w:pPr>
              <w:spacing w:line="30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电气安全装置安装位置正确，动作灵敏、可靠。</w:t>
            </w:r>
          </w:p>
        </w:tc>
        <w:tc>
          <w:tcPr>
            <w:tcW w:w="1439" w:type="dxa"/>
            <w:vAlign w:val="center"/>
          </w:tcPr>
          <w:p w14:paraId="52BDC8CD">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目测；测试验证功能有效性</w:t>
            </w:r>
            <w:r>
              <w:rPr>
                <w:rFonts w:hint="eastAsia" w:hAnsiTheme="minorEastAsia" w:eastAsiaTheme="minorEastAsia"/>
                <w:snapToGrid w:val="0"/>
                <w:color w:val="000000" w:themeColor="text1"/>
                <w:kern w:val="0"/>
                <w:szCs w:val="21"/>
                <w14:textFill>
                  <w14:solidFill>
                    <w14:schemeClr w14:val="tx1"/>
                  </w14:solidFill>
                </w14:textFill>
              </w:rPr>
              <w:t>。</w:t>
            </w:r>
          </w:p>
        </w:tc>
      </w:tr>
      <w:tr w14:paraId="6E56E6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505238BB">
            <w:pPr>
              <w:spacing w:line="320" w:lineRule="exact"/>
              <w:ind w:left="-57" w:right="-57"/>
              <w:jc w:val="center"/>
              <w:rPr>
                <w:rFonts w:hAnsiTheme="minorEastAsia" w:eastAsiaTheme="minorEastAsia"/>
                <w:snapToGrid w:val="0"/>
                <w:color w:val="000000" w:themeColor="text1"/>
                <w:spacing w:val="-6"/>
                <w:kern w:val="0"/>
                <w:szCs w:val="21"/>
                <w14:textFill>
                  <w14:solidFill>
                    <w14:schemeClr w14:val="tx1"/>
                  </w14:solidFill>
                </w14:textFill>
              </w:rPr>
            </w:pPr>
            <w:r>
              <w:rPr>
                <w:rFonts w:hAnsiTheme="minorEastAsia" w:eastAsiaTheme="minorEastAsia"/>
                <w:snapToGrid w:val="0"/>
                <w:color w:val="000000" w:themeColor="text1"/>
                <w:spacing w:val="-6"/>
                <w:kern w:val="0"/>
                <w:szCs w:val="21"/>
                <w14:textFill>
                  <w14:solidFill>
                    <w14:schemeClr w14:val="tx1"/>
                  </w14:solidFill>
                </w14:textFill>
              </w:rPr>
              <w:t>35</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spacing w:val="-6"/>
                <w:kern w:val="0"/>
                <w:szCs w:val="21"/>
                <w14:textFill>
                  <w14:solidFill>
                    <w14:schemeClr w14:val="tx1"/>
                  </w14:solidFill>
                </w14:textFill>
              </w:rPr>
              <w:t>补偿链（绳）与轿厢、对重接合处</w:t>
            </w:r>
          </w:p>
        </w:tc>
        <w:tc>
          <w:tcPr>
            <w:tcW w:w="6520" w:type="dxa"/>
            <w:vAlign w:val="center"/>
          </w:tcPr>
          <w:p w14:paraId="764F00A0">
            <w:pPr>
              <w:spacing w:line="30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固定可靠，无变形扭曲，接合处的连接方法应满足技术要求；</w:t>
            </w:r>
          </w:p>
          <w:p w14:paraId="72F2F7C2">
            <w:pPr>
              <w:spacing w:line="30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应设二次保护，其安装应符合制造单位的要求；</w:t>
            </w:r>
          </w:p>
        </w:tc>
        <w:tc>
          <w:tcPr>
            <w:tcW w:w="1439" w:type="dxa"/>
            <w:vAlign w:val="center"/>
          </w:tcPr>
          <w:p w14:paraId="36CB9C66">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379124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3C286BF5">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*36</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上下极限开关</w:t>
            </w:r>
          </w:p>
        </w:tc>
        <w:tc>
          <w:tcPr>
            <w:tcW w:w="6520" w:type="dxa"/>
            <w:vAlign w:val="center"/>
          </w:tcPr>
          <w:p w14:paraId="5A4F2145">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位置安装正确，应在对重或轿厢撞板碰到缓冲器之前动作，并在缓冲器被压缩期间保持动作状态；</w:t>
            </w:r>
          </w:p>
          <w:p w14:paraId="3F15949A">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当极限开关动作时，应当使电梯驱动主机停止运转并保持其停止状态。</w:t>
            </w:r>
          </w:p>
        </w:tc>
        <w:tc>
          <w:tcPr>
            <w:tcW w:w="1439" w:type="dxa"/>
            <w:vAlign w:val="center"/>
          </w:tcPr>
          <w:p w14:paraId="48F4C454">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操作验证各开关的功能</w:t>
            </w:r>
            <w:r>
              <w:rPr>
                <w:rFonts w:hint="eastAsia" w:hAnsiTheme="minorEastAsia" w:eastAsiaTheme="minorEastAsia"/>
                <w:snapToGrid w:val="0"/>
                <w:color w:val="000000" w:themeColor="text1"/>
                <w:kern w:val="0"/>
                <w:szCs w:val="21"/>
                <w14:textFill>
                  <w14:solidFill>
                    <w14:schemeClr w14:val="tx1"/>
                  </w14:solidFill>
                </w14:textFill>
              </w:rPr>
              <w:t>。</w:t>
            </w:r>
          </w:p>
        </w:tc>
      </w:tr>
      <w:tr w14:paraId="4491AA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64518E30">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37</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轿厢和对重</w:t>
            </w:r>
          </w:p>
          <w:p w14:paraId="5AB7016C">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导轨</w:t>
            </w:r>
          </w:p>
        </w:tc>
        <w:tc>
          <w:tcPr>
            <w:tcW w:w="6520" w:type="dxa"/>
            <w:vAlign w:val="center"/>
          </w:tcPr>
          <w:p w14:paraId="10D526B7">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导轨无扭曲变形，无严重油污；</w:t>
            </w:r>
          </w:p>
          <w:p w14:paraId="33893C6B">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导轨连接板和压板应固定可靠无松动。</w:t>
            </w:r>
          </w:p>
        </w:tc>
        <w:tc>
          <w:tcPr>
            <w:tcW w:w="1439" w:type="dxa"/>
            <w:vAlign w:val="center"/>
          </w:tcPr>
          <w:p w14:paraId="455346A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081DB6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5F2CBB55">
            <w:pPr>
              <w:spacing w:line="320" w:lineRule="exact"/>
              <w:ind w:left="-57" w:right="-57"/>
              <w:jc w:val="center"/>
              <w:rPr>
                <w:rFonts w:hint="eastAsia"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38</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随行</w:t>
            </w:r>
          </w:p>
          <w:p w14:paraId="5636E72B">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电缆</w:t>
            </w:r>
          </w:p>
        </w:tc>
        <w:tc>
          <w:tcPr>
            <w:tcW w:w="6520" w:type="dxa"/>
            <w:vAlign w:val="center"/>
          </w:tcPr>
          <w:p w14:paraId="56ECC533">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表面清洁无严重油污，无变形、扭曲、破损；</w:t>
            </w:r>
          </w:p>
          <w:p w14:paraId="4840E6BD">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随行电缆应当避免与限速器绳、选层器钢带、限位与极限开关等装置干涉，当轿厢压实在缓冲器上时，电缆不得与地面和轿厢底边框接触。</w:t>
            </w:r>
          </w:p>
        </w:tc>
        <w:tc>
          <w:tcPr>
            <w:tcW w:w="1439" w:type="dxa"/>
            <w:vAlign w:val="center"/>
          </w:tcPr>
          <w:p w14:paraId="03734730">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31E6F6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25DB7D60">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*39</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空载上行制动</w:t>
            </w:r>
          </w:p>
        </w:tc>
        <w:tc>
          <w:tcPr>
            <w:tcW w:w="6520" w:type="dxa"/>
            <w:vAlign w:val="center"/>
          </w:tcPr>
          <w:p w14:paraId="6E2FC6B4">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应能使轿厢可靠停止，制动距离恰当；</w:t>
            </w:r>
          </w:p>
          <w:p w14:paraId="22BACAE0">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制动过程中，曳引钢丝绳不应在曳引轮槽内产生滑移。</w:t>
            </w:r>
          </w:p>
        </w:tc>
        <w:tc>
          <w:tcPr>
            <w:tcW w:w="1439" w:type="dxa"/>
            <w:vAlign w:val="center"/>
          </w:tcPr>
          <w:p w14:paraId="57237BEF">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w:t>
            </w:r>
            <w:r>
              <w:rPr>
                <w:rFonts w:hint="eastAsia" w:hAnsiTheme="minorEastAsia" w:eastAsiaTheme="minorEastAsia"/>
                <w:snapToGrid w:val="0"/>
                <w:color w:val="000000" w:themeColor="text1"/>
                <w:kern w:val="0"/>
                <w:szCs w:val="21"/>
                <w14:textFill>
                  <w14:solidFill>
                    <w14:schemeClr w14:val="tx1"/>
                  </w14:solidFill>
                </w14:textFill>
              </w:rPr>
              <w:t>。</w:t>
            </w:r>
          </w:p>
        </w:tc>
      </w:tr>
      <w:tr w14:paraId="42C845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2C8FD690">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*40</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轿厢意外移动保护装置</w:t>
            </w:r>
          </w:p>
        </w:tc>
        <w:tc>
          <w:tcPr>
            <w:tcW w:w="6520" w:type="dxa"/>
            <w:vAlign w:val="center"/>
          </w:tcPr>
          <w:p w14:paraId="12D0D8F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轿厢意外移动保护装置动作试验工作正常。</w:t>
            </w:r>
          </w:p>
        </w:tc>
        <w:tc>
          <w:tcPr>
            <w:tcW w:w="1439" w:type="dxa"/>
            <w:vAlign w:val="center"/>
          </w:tcPr>
          <w:p w14:paraId="2A5B8115">
            <w:pPr>
              <w:spacing w:line="320" w:lineRule="exact"/>
              <w:rPr>
                <w:rFonts w:eastAsiaTheme="minorEastAsia"/>
                <w:snapToGrid w:val="0"/>
                <w:color w:val="000000" w:themeColor="text1"/>
                <w:spacing w:val="-6"/>
                <w:kern w:val="0"/>
                <w:szCs w:val="21"/>
                <w14:textFill>
                  <w14:solidFill>
                    <w14:schemeClr w14:val="tx1"/>
                  </w14:solidFill>
                </w14:textFill>
              </w:rPr>
            </w:pPr>
            <w:r>
              <w:rPr>
                <w:rFonts w:hAnsiTheme="minorEastAsia" w:eastAsiaTheme="minorEastAsia"/>
                <w:snapToGrid w:val="0"/>
                <w:color w:val="000000" w:themeColor="text1"/>
                <w:spacing w:val="-6"/>
                <w:kern w:val="0"/>
                <w:szCs w:val="21"/>
                <w14:textFill>
                  <w14:solidFill>
                    <w14:schemeClr w14:val="tx1"/>
                  </w14:solidFill>
                </w14:textFill>
              </w:rPr>
              <w:t>操作验证其功能</w:t>
            </w:r>
            <w:r>
              <w:rPr>
                <w:rFonts w:hint="eastAsia" w:hAnsiTheme="minorEastAsia" w:eastAsiaTheme="minorEastAsia"/>
                <w:snapToGrid w:val="0"/>
                <w:color w:val="000000" w:themeColor="text1"/>
                <w:spacing w:val="-6"/>
                <w:kern w:val="0"/>
                <w:szCs w:val="21"/>
                <w14:textFill>
                  <w14:solidFill>
                    <w14:schemeClr w14:val="tx1"/>
                  </w14:solidFill>
                </w14:textFill>
              </w:rPr>
              <w:t>。</w:t>
            </w:r>
          </w:p>
        </w:tc>
      </w:tr>
      <w:tr w14:paraId="781B6D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43AEF11B">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*41</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限速器安全钳联动试验</w:t>
            </w:r>
          </w:p>
        </w:tc>
        <w:tc>
          <w:tcPr>
            <w:tcW w:w="6520" w:type="dxa"/>
            <w:vAlign w:val="center"/>
          </w:tcPr>
          <w:p w14:paraId="1AFADC40">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轿厢空载，以检修速度下行，进行限速器</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安全钳联动试验，限速器、安全钳动作应当可靠。</w:t>
            </w:r>
          </w:p>
        </w:tc>
        <w:tc>
          <w:tcPr>
            <w:tcW w:w="1439" w:type="dxa"/>
            <w:vAlign w:val="center"/>
          </w:tcPr>
          <w:p w14:paraId="147519F0">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目测；人为动作限速器，观察轿厢制停情况</w:t>
            </w:r>
            <w:r>
              <w:rPr>
                <w:rFonts w:hint="eastAsia" w:hAnsiTheme="minorEastAsia" w:eastAsiaTheme="minorEastAsia"/>
                <w:snapToGrid w:val="0"/>
                <w:color w:val="000000" w:themeColor="text1"/>
                <w:kern w:val="0"/>
                <w:szCs w:val="21"/>
                <w14:textFill>
                  <w14:solidFill>
                    <w14:schemeClr w14:val="tx1"/>
                  </w14:solidFill>
                </w14:textFill>
              </w:rPr>
              <w:t>。</w:t>
            </w:r>
          </w:p>
        </w:tc>
      </w:tr>
      <w:tr w14:paraId="2109CA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2BB586EC">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42</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轿厢称重装置</w:t>
            </w:r>
          </w:p>
        </w:tc>
        <w:tc>
          <w:tcPr>
            <w:tcW w:w="6520" w:type="dxa"/>
            <w:vAlign w:val="center"/>
          </w:tcPr>
          <w:p w14:paraId="4E2AAE9B">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（半</w:t>
            </w:r>
            <w:r>
              <w:rPr>
                <w:rFonts w:eastAsiaTheme="minorEastAsia"/>
                <w:snapToGrid w:val="0"/>
                <w:color w:val="000000" w:themeColor="text1"/>
                <w:kern w:val="0"/>
                <w:szCs w:val="21"/>
                <w14:textFill>
                  <w14:solidFill>
                    <w14:schemeClr w14:val="tx1"/>
                  </w14:solidFill>
                </w14:textFill>
              </w:rPr>
              <w:t>*</w:t>
            </w:r>
            <w:r>
              <w:rPr>
                <w:rFonts w:hAnsiTheme="minorEastAsia" w:eastAsiaTheme="minorEastAsia"/>
                <w:snapToGrid w:val="0"/>
                <w:color w:val="000000" w:themeColor="text1"/>
                <w:kern w:val="0"/>
                <w:szCs w:val="21"/>
                <w14:textFill>
                  <w14:solidFill>
                    <w14:schemeClr w14:val="tx1"/>
                  </w14:solidFill>
                </w14:textFill>
              </w:rPr>
              <w:t>）电梯应当设置轿厢超载保护装置，准确有效，对照报修记录进行检查。</w:t>
            </w:r>
          </w:p>
        </w:tc>
        <w:tc>
          <w:tcPr>
            <w:tcW w:w="1439" w:type="dxa"/>
            <w:vAlign w:val="center"/>
          </w:tcPr>
          <w:p w14:paraId="6FFAF232">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超载保护装置的功能有效</w:t>
            </w:r>
            <w:r>
              <w:rPr>
                <w:rFonts w:hint="eastAsia" w:hAnsiTheme="minorEastAsia" w:eastAsiaTheme="minorEastAsia"/>
                <w:snapToGrid w:val="0"/>
                <w:color w:val="000000" w:themeColor="text1"/>
                <w:kern w:val="0"/>
                <w:szCs w:val="21"/>
                <w14:textFill>
                  <w14:solidFill>
                    <w14:schemeClr w14:val="tx1"/>
                  </w14:solidFill>
                </w14:textFill>
              </w:rPr>
              <w:t>。</w:t>
            </w:r>
          </w:p>
        </w:tc>
      </w:tr>
      <w:tr w14:paraId="67585E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vAlign w:val="center"/>
          </w:tcPr>
          <w:p w14:paraId="15D960C8">
            <w:pPr>
              <w:spacing w:line="320" w:lineRule="exact"/>
              <w:ind w:left="-57" w:right="-57"/>
              <w:jc w:val="center"/>
              <w:rPr>
                <w:rFonts w:hAnsiTheme="minorEastAsia"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43</w:t>
            </w:r>
            <w:r>
              <w:rPr>
                <w:rFonts w:hint="eastAsia" w:eastAsiaTheme="minorEastAsia"/>
                <w:snapToGrid w:val="0"/>
                <w:color w:val="000000" w:themeColor="text1"/>
                <w:kern w:val="0"/>
                <w:szCs w:val="21"/>
                <w14:textFill>
                  <w14:solidFill>
                    <w14:schemeClr w14:val="tx1"/>
                  </w14:solidFill>
                </w14:textFill>
              </w:rPr>
              <w:t xml:space="preserve">. </w:t>
            </w:r>
            <w:r>
              <w:rPr>
                <w:rFonts w:hAnsiTheme="minorEastAsia" w:eastAsiaTheme="minorEastAsia"/>
                <w:snapToGrid w:val="0"/>
                <w:color w:val="000000" w:themeColor="text1"/>
                <w:kern w:val="0"/>
                <w:szCs w:val="21"/>
                <w14:textFill>
                  <w14:solidFill>
                    <w14:schemeClr w14:val="tx1"/>
                  </w14:solidFill>
                </w14:textFill>
              </w:rPr>
              <w:t>电梯运行体验</w:t>
            </w:r>
          </w:p>
        </w:tc>
        <w:tc>
          <w:tcPr>
            <w:tcW w:w="6520" w:type="dxa"/>
            <w:vAlign w:val="center"/>
          </w:tcPr>
          <w:p w14:paraId="33B880F0">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电梯运行平稳，无异常响声或抖动、晃动。</w:t>
            </w:r>
          </w:p>
        </w:tc>
        <w:tc>
          <w:tcPr>
            <w:tcW w:w="1439" w:type="dxa"/>
            <w:vAlign w:val="center"/>
          </w:tcPr>
          <w:p w14:paraId="06C0CA2C">
            <w:pPr>
              <w:spacing w:line="320" w:lineRule="exact"/>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电梯上下运行各一趟，观察电梯运行状况</w:t>
            </w:r>
            <w:r>
              <w:rPr>
                <w:rFonts w:hint="eastAsia" w:hAnsiTheme="minorEastAsia" w:eastAsiaTheme="minorEastAsia"/>
                <w:snapToGrid w:val="0"/>
                <w:color w:val="000000" w:themeColor="text1"/>
                <w:kern w:val="0"/>
                <w:szCs w:val="21"/>
                <w14:textFill>
                  <w14:solidFill>
                    <w14:schemeClr w14:val="tx1"/>
                  </w14:solidFill>
                </w14:textFill>
              </w:rPr>
              <w:t>。</w:t>
            </w:r>
          </w:p>
        </w:tc>
      </w:tr>
    </w:tbl>
    <w:p w14:paraId="6C4D1837">
      <w:pPr>
        <w:pStyle w:val="3"/>
        <w:adjustRightInd w:val="0"/>
        <w:snapToGrid w:val="0"/>
        <w:spacing w:after="0" w:line="400" w:lineRule="exact"/>
        <w:ind w:left="0" w:leftChars="0" w:firstLine="0" w:firstLineChars="0"/>
        <w:rPr>
          <w:rFonts w:eastAsiaTheme="minorEastAsia"/>
          <w:snapToGrid w:val="0"/>
          <w:color w:val="000000"/>
          <w:kern w:val="0"/>
          <w:szCs w:val="21"/>
        </w:rPr>
      </w:pPr>
      <w:r>
        <w:rPr>
          <w:rFonts w:hAnsiTheme="minorEastAsia" w:eastAsiaTheme="minorEastAsia"/>
          <w:snapToGrid w:val="0"/>
          <w:color w:val="000000"/>
          <w:kern w:val="0"/>
          <w:szCs w:val="21"/>
        </w:rPr>
        <w:t>注：</w:t>
      </w:r>
      <w:r>
        <w:rPr>
          <w:rFonts w:eastAsiaTheme="minorEastAsia"/>
          <w:snapToGrid w:val="0"/>
          <w:color w:val="000000"/>
          <w:kern w:val="0"/>
          <w:szCs w:val="21"/>
        </w:rPr>
        <w:t>*</w:t>
      </w:r>
      <w:r>
        <w:rPr>
          <w:rFonts w:hAnsiTheme="minorEastAsia" w:eastAsiaTheme="minorEastAsia"/>
          <w:snapToGrid w:val="0"/>
          <w:color w:val="000000"/>
          <w:kern w:val="0"/>
          <w:szCs w:val="21"/>
        </w:rPr>
        <w:t>项为重大隐患项；半</w:t>
      </w:r>
      <w:r>
        <w:rPr>
          <w:rFonts w:eastAsiaTheme="minorEastAsia"/>
          <w:snapToGrid w:val="0"/>
          <w:color w:val="000000"/>
          <w:kern w:val="0"/>
          <w:szCs w:val="21"/>
        </w:rPr>
        <w:t>*</w:t>
      </w:r>
      <w:r>
        <w:rPr>
          <w:rFonts w:hAnsiTheme="minorEastAsia" w:eastAsiaTheme="minorEastAsia"/>
          <w:snapToGrid w:val="0"/>
          <w:color w:val="000000"/>
          <w:kern w:val="0"/>
          <w:szCs w:val="21"/>
        </w:rPr>
        <w:t>项由现场抽查人员根据现场情况进行判定，现场情况较严重也</w:t>
      </w:r>
      <w:r>
        <w:rPr>
          <w:rFonts w:hint="eastAsia" w:hAnsiTheme="minorEastAsia" w:eastAsiaTheme="minorEastAsia"/>
          <w:snapToGrid w:val="0"/>
          <w:color w:val="000000"/>
          <w:kern w:val="0"/>
          <w:szCs w:val="21"/>
        </w:rPr>
        <w:t>判定</w:t>
      </w:r>
      <w:r>
        <w:rPr>
          <w:rFonts w:hAnsiTheme="minorEastAsia" w:eastAsiaTheme="minorEastAsia"/>
          <w:snapToGrid w:val="0"/>
          <w:color w:val="000000"/>
          <w:kern w:val="0"/>
          <w:szCs w:val="21"/>
        </w:rPr>
        <w:t>为重大隐患项，其余项为一般项。</w:t>
      </w:r>
    </w:p>
    <w:p w14:paraId="38130320">
      <w:pPr>
        <w:pStyle w:val="3"/>
        <w:spacing w:after="0" w:line="360" w:lineRule="auto"/>
        <w:ind w:left="0" w:leftChars="0" w:firstLine="0" w:firstLineChars="0"/>
        <w:rPr>
          <w:color w:val="000000"/>
          <w:spacing w:val="-10"/>
          <w:szCs w:val="21"/>
        </w:rPr>
      </w:pPr>
    </w:p>
    <w:p w14:paraId="054F5D8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B637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First Indent 2"/>
    <w:basedOn w:val="2"/>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2025-09-03T07:58:01Z</dcterms:created>
  <dc:creator>Lenovo</dc:creator>
  <cp:lastModifiedBy>Ellen  章小璐</cp:lastModifiedBy>
  <dcterms:modified xsi:type="dcterms:W3CDTF">2025-09-03T07:58:22Z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eyJoZGlkIjoiN2M4NzIwMzllZjVlOTBhMjg1YTcxNDA5ODMxMzM3ZDEiLCJ1c2VySWQiOiIyNzE5Mjg3NDUifQ==</vt:lpwstr>
  </property>
  <property fmtid="{D5CDD505-2E9C-101B-9397-08002B2CF9AE}" pid="4" name="ICV">
    <vt:lpwstr>53F2D1DEFE154FDF8BE29927641C418A_12</vt:lpwstr>
  </property>
</Properties>
</file>