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36329B">
      <w:pPr>
        <w:overflowPunct w:val="0"/>
        <w:autoSpaceDE w:val="0"/>
        <w:autoSpaceDN w:val="0"/>
        <w:adjustRightInd w:val="0"/>
        <w:snapToGrid w:val="0"/>
        <w:spacing w:line="580" w:lineRule="exact"/>
        <w:jc w:val="left"/>
        <w:rPr>
          <w:rFonts w:eastAsia="黑体"/>
          <w:sz w:val="32"/>
          <w:szCs w:val="32"/>
        </w:rPr>
      </w:pPr>
      <w:r>
        <w:rPr>
          <w:rFonts w:hAnsi="黑体" w:eastAsia="黑体"/>
          <w:sz w:val="32"/>
          <w:szCs w:val="32"/>
        </w:rPr>
        <w:t>附件</w:t>
      </w:r>
      <w:r>
        <w:rPr>
          <w:rFonts w:eastAsia="黑体"/>
          <w:sz w:val="32"/>
          <w:szCs w:val="32"/>
        </w:rPr>
        <w:t>4</w:t>
      </w:r>
    </w:p>
    <w:p w14:paraId="29A67C1F">
      <w:pPr>
        <w:overflowPunct w:val="0"/>
        <w:autoSpaceDE w:val="0"/>
        <w:autoSpaceDN w:val="0"/>
        <w:adjustRightInd w:val="0"/>
        <w:snapToGrid w:val="0"/>
        <w:spacing w:before="240" w:line="580" w:lineRule="exact"/>
        <w:jc w:val="center"/>
        <w:rPr>
          <w:rFonts w:eastAsia="方正小标宋简体"/>
          <w:sz w:val="44"/>
          <w:szCs w:val="44"/>
        </w:rPr>
      </w:pPr>
      <w:r>
        <w:rPr>
          <w:rFonts w:hint="eastAsia" w:eastAsia="方正小标宋简体"/>
          <w:sz w:val="44"/>
          <w:szCs w:val="44"/>
        </w:rPr>
        <w:t>乘客电梯与载货电梯自行检测质量</w:t>
      </w:r>
    </w:p>
    <w:p w14:paraId="1304B151">
      <w:pPr>
        <w:overflowPunct w:val="0"/>
        <w:autoSpaceDE w:val="0"/>
        <w:autoSpaceDN w:val="0"/>
        <w:adjustRightInd w:val="0"/>
        <w:snapToGrid w:val="0"/>
        <w:spacing w:before="120" w:after="240" w:line="580" w:lineRule="exact"/>
        <w:jc w:val="center"/>
        <w:rPr>
          <w:rFonts w:eastAsia="方正小标宋简体"/>
          <w:sz w:val="44"/>
          <w:szCs w:val="44"/>
        </w:rPr>
      </w:pPr>
      <w:r>
        <w:rPr>
          <w:rFonts w:hint="eastAsia" w:eastAsia="方正小标宋简体"/>
          <w:sz w:val="44"/>
          <w:szCs w:val="44"/>
        </w:rPr>
        <w:t>监督抽查项目内容、要求与方法</w:t>
      </w:r>
    </w:p>
    <w:tbl>
      <w:tblPr>
        <w:tblStyle w:val="11"/>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81"/>
        <w:gridCol w:w="518"/>
        <w:gridCol w:w="857"/>
        <w:gridCol w:w="4297"/>
        <w:gridCol w:w="2805"/>
      </w:tblGrid>
      <w:tr w14:paraId="60E053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blHeader/>
          <w:jc w:val="center"/>
        </w:trPr>
        <w:tc>
          <w:tcPr>
            <w:tcW w:w="1856" w:type="dxa"/>
            <w:gridSpan w:val="3"/>
            <w:tcMar>
              <w:top w:w="0" w:type="dxa"/>
              <w:left w:w="57" w:type="dxa"/>
              <w:bottom w:w="0" w:type="dxa"/>
              <w:right w:w="57" w:type="dxa"/>
            </w:tcMar>
            <w:vAlign w:val="center"/>
          </w:tcPr>
          <w:p w14:paraId="6059DF43">
            <w:pPr>
              <w:spacing w:line="320" w:lineRule="exact"/>
              <w:jc w:val="center"/>
              <w:rPr>
                <w:rFonts w:eastAsia="黑体"/>
                <w:bCs/>
                <w:snapToGrid w:val="0"/>
                <w:color w:val="000000" w:themeColor="text1"/>
                <w:kern w:val="0"/>
                <w:szCs w:val="21"/>
                <w14:textFill>
                  <w14:solidFill>
                    <w14:schemeClr w14:val="tx1"/>
                  </w14:solidFill>
                </w14:textFill>
              </w:rPr>
            </w:pPr>
            <w:r>
              <w:rPr>
                <w:rFonts w:eastAsia="黑体"/>
                <w:bCs/>
                <w:snapToGrid w:val="0"/>
                <w:color w:val="000000" w:themeColor="text1"/>
                <w:kern w:val="0"/>
                <w:szCs w:val="21"/>
                <w14:textFill>
                  <w14:solidFill>
                    <w14:schemeClr w14:val="tx1"/>
                  </w14:solidFill>
                </w14:textFill>
              </w:rPr>
              <w:br w:type="page"/>
            </w:r>
            <w:r>
              <w:rPr>
                <w:rFonts w:hAnsi="黑体" w:eastAsia="黑体"/>
                <w:bCs/>
                <w:snapToGrid w:val="0"/>
                <w:color w:val="000000" w:themeColor="text1"/>
                <w:kern w:val="0"/>
                <w:szCs w:val="21"/>
                <w14:textFill>
                  <w14:solidFill>
                    <w14:schemeClr w14:val="tx1"/>
                  </w14:solidFill>
                </w14:textFill>
              </w:rPr>
              <w:t>项类及项目编号</w:t>
            </w:r>
          </w:p>
        </w:tc>
        <w:tc>
          <w:tcPr>
            <w:tcW w:w="4297" w:type="dxa"/>
            <w:tcMar>
              <w:top w:w="0" w:type="dxa"/>
              <w:left w:w="57" w:type="dxa"/>
              <w:bottom w:w="0" w:type="dxa"/>
              <w:right w:w="57" w:type="dxa"/>
            </w:tcMar>
            <w:vAlign w:val="center"/>
          </w:tcPr>
          <w:p w14:paraId="6F8D48F6">
            <w:pPr>
              <w:pStyle w:val="19"/>
              <w:adjustRightInd/>
              <w:spacing w:line="320" w:lineRule="exact"/>
              <w:jc w:val="center"/>
              <w:textAlignment w:val="auto"/>
              <w:rPr>
                <w:rFonts w:eastAsia="黑体"/>
                <w:bCs/>
                <w:snapToGrid w:val="0"/>
                <w:color w:val="000000" w:themeColor="text1"/>
                <w:sz w:val="21"/>
                <w:szCs w:val="21"/>
                <w14:textFill>
                  <w14:solidFill>
                    <w14:schemeClr w14:val="tx1"/>
                  </w14:solidFill>
                </w14:textFill>
              </w:rPr>
            </w:pPr>
            <w:r>
              <w:rPr>
                <w:rFonts w:hAnsi="黑体" w:eastAsia="黑体"/>
                <w:bCs/>
                <w:snapToGrid w:val="0"/>
                <w:color w:val="000000" w:themeColor="text1"/>
                <w:sz w:val="21"/>
                <w:szCs w:val="21"/>
                <w14:textFill>
                  <w14:solidFill>
                    <w14:schemeClr w14:val="tx1"/>
                  </w14:solidFill>
                </w14:textFill>
              </w:rPr>
              <w:t>抽查基本内容与要求</w:t>
            </w:r>
          </w:p>
        </w:tc>
        <w:tc>
          <w:tcPr>
            <w:tcW w:w="2805" w:type="dxa"/>
            <w:tcMar>
              <w:top w:w="0" w:type="dxa"/>
              <w:left w:w="57" w:type="dxa"/>
              <w:bottom w:w="0" w:type="dxa"/>
              <w:right w:w="57" w:type="dxa"/>
            </w:tcMar>
            <w:vAlign w:val="center"/>
          </w:tcPr>
          <w:p w14:paraId="6B92CF11">
            <w:pPr>
              <w:pStyle w:val="19"/>
              <w:adjustRightInd/>
              <w:spacing w:line="320" w:lineRule="exact"/>
              <w:jc w:val="center"/>
              <w:textAlignment w:val="auto"/>
              <w:rPr>
                <w:rFonts w:eastAsia="黑体"/>
                <w:bCs/>
                <w:snapToGrid w:val="0"/>
                <w:color w:val="000000" w:themeColor="text1"/>
                <w:sz w:val="21"/>
                <w:szCs w:val="21"/>
                <w14:textFill>
                  <w14:solidFill>
                    <w14:schemeClr w14:val="tx1"/>
                  </w14:solidFill>
                </w14:textFill>
              </w:rPr>
            </w:pPr>
            <w:r>
              <w:rPr>
                <w:rFonts w:hAnsi="黑体" w:eastAsia="黑体"/>
                <w:bCs/>
                <w:snapToGrid w:val="0"/>
                <w:color w:val="000000" w:themeColor="text1"/>
                <w:sz w:val="21"/>
                <w:szCs w:val="21"/>
                <w14:textFill>
                  <w14:solidFill>
                    <w14:schemeClr w14:val="tx1"/>
                  </w14:solidFill>
                </w14:textFill>
              </w:rPr>
              <w:t>抽查方法</w:t>
            </w:r>
          </w:p>
        </w:tc>
      </w:tr>
      <w:tr w14:paraId="63AE9A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24" w:hRule="atLeast"/>
          <w:jc w:val="center"/>
        </w:trPr>
        <w:tc>
          <w:tcPr>
            <w:tcW w:w="481" w:type="dxa"/>
            <w:tcMar>
              <w:top w:w="0" w:type="dxa"/>
              <w:left w:w="57" w:type="dxa"/>
              <w:bottom w:w="0" w:type="dxa"/>
              <w:right w:w="57" w:type="dxa"/>
            </w:tcMar>
            <w:vAlign w:val="center"/>
          </w:tcPr>
          <w:p w14:paraId="7D905E43">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A1.1</w:t>
            </w:r>
          </w:p>
          <w:p w14:paraId="52DA02BA">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技术资料审查</w:t>
            </w:r>
          </w:p>
        </w:tc>
        <w:tc>
          <w:tcPr>
            <w:tcW w:w="1375" w:type="dxa"/>
            <w:gridSpan w:val="2"/>
            <w:tcMar>
              <w:top w:w="0" w:type="dxa"/>
              <w:left w:w="57" w:type="dxa"/>
              <w:bottom w:w="0" w:type="dxa"/>
              <w:right w:w="57" w:type="dxa"/>
            </w:tcMar>
            <w:vAlign w:val="center"/>
          </w:tcPr>
          <w:p w14:paraId="72196D65">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A1.1.1</w:t>
            </w:r>
          </w:p>
          <w:p w14:paraId="362BBE38">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使用资料</w:t>
            </w:r>
          </w:p>
        </w:tc>
        <w:tc>
          <w:tcPr>
            <w:tcW w:w="4297" w:type="dxa"/>
            <w:tcMar>
              <w:top w:w="0" w:type="dxa"/>
              <w:left w:w="57" w:type="dxa"/>
              <w:bottom w:w="0" w:type="dxa"/>
              <w:right w:w="57" w:type="dxa"/>
            </w:tcMar>
            <w:vAlign w:val="center"/>
          </w:tcPr>
          <w:p w14:paraId="3CDF2B80">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审查使用单位是否提供以下适用于受检电梯的资料：</w:t>
            </w:r>
          </w:p>
          <w:p w14:paraId="6E5A6A4C">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）电气原理图、液压系统原理图、安装使用维护保养说明书、检验和检测报告；</w:t>
            </w:r>
          </w:p>
          <w:p w14:paraId="27430A79">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）日常使用状况记录、维护保养记录、运行故障和事故记录。</w:t>
            </w:r>
          </w:p>
        </w:tc>
        <w:tc>
          <w:tcPr>
            <w:tcW w:w="2805" w:type="dxa"/>
            <w:tcMar>
              <w:top w:w="0" w:type="dxa"/>
              <w:left w:w="57" w:type="dxa"/>
              <w:bottom w:w="0" w:type="dxa"/>
              <w:right w:w="57" w:type="dxa"/>
            </w:tcMar>
            <w:vAlign w:val="center"/>
          </w:tcPr>
          <w:p w14:paraId="7FB98AFF">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资料审查。</w:t>
            </w:r>
          </w:p>
        </w:tc>
      </w:tr>
      <w:tr w14:paraId="0B1D15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24" w:hRule="atLeast"/>
          <w:jc w:val="center"/>
        </w:trPr>
        <w:tc>
          <w:tcPr>
            <w:tcW w:w="481" w:type="dxa"/>
            <w:vMerge w:val="restart"/>
            <w:tcMar>
              <w:top w:w="0" w:type="dxa"/>
              <w:left w:w="57" w:type="dxa"/>
              <w:bottom w:w="0" w:type="dxa"/>
              <w:right w:w="57" w:type="dxa"/>
            </w:tcMar>
            <w:vAlign w:val="center"/>
          </w:tcPr>
          <w:p w14:paraId="45F53E20">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7C22A45D">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60572F7C">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A1.2.1</w:t>
            </w:r>
          </w:p>
          <w:p w14:paraId="1967BD4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机器空间</w:t>
            </w:r>
          </w:p>
        </w:tc>
        <w:tc>
          <w:tcPr>
            <w:tcW w:w="857" w:type="dxa"/>
            <w:tcMar>
              <w:top w:w="0" w:type="dxa"/>
              <w:left w:w="57" w:type="dxa"/>
              <w:bottom w:w="0" w:type="dxa"/>
              <w:right w:w="57" w:type="dxa"/>
            </w:tcMar>
            <w:vAlign w:val="center"/>
          </w:tcPr>
          <w:p w14:paraId="4C58F1C4">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A1.2.1.1</w:t>
            </w:r>
          </w:p>
          <w:p w14:paraId="376F6620">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通道及照明</w:t>
            </w:r>
          </w:p>
        </w:tc>
        <w:tc>
          <w:tcPr>
            <w:tcW w:w="4297" w:type="dxa"/>
            <w:tcMar>
              <w:top w:w="0" w:type="dxa"/>
              <w:left w:w="57" w:type="dxa"/>
              <w:bottom w:w="0" w:type="dxa"/>
              <w:right w:w="57" w:type="dxa"/>
            </w:tcMar>
            <w:vAlign w:val="center"/>
          </w:tcPr>
          <w:p w14:paraId="4233181E">
            <w:pPr>
              <w:pStyle w:val="19"/>
              <w:numPr>
                <w:ilvl w:val="0"/>
                <w:numId w:val="1"/>
              </w:numPr>
              <w:tabs>
                <w:tab w:val="left" w:pos="433"/>
              </w:tabs>
              <w:adjustRightInd/>
              <w:spacing w:line="32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通往机器空间的通道保持通畅，相关人员能够安全、方便、无阻碍地使用；如果通往机器空间的通道高出楼梯所到平面不超过</w:t>
            </w:r>
            <w:r>
              <w:rPr>
                <w:rFonts w:eastAsiaTheme="minorEastAsia"/>
                <w:snapToGrid w:val="0"/>
                <w:color w:val="000000" w:themeColor="text1"/>
                <w:sz w:val="21"/>
                <w:szCs w:val="21"/>
                <w14:textFill>
                  <w14:solidFill>
                    <w14:schemeClr w14:val="tx1"/>
                  </w14:solidFill>
                </w14:textFill>
              </w:rPr>
              <w:t>4.0m</w:t>
            </w:r>
            <w:r>
              <w:rPr>
                <w:rFonts w:hAnsiTheme="minorEastAsia" w:eastAsiaTheme="minorEastAsia"/>
                <w:snapToGrid w:val="0"/>
                <w:color w:val="000000" w:themeColor="text1"/>
                <w:sz w:val="21"/>
                <w:szCs w:val="21"/>
                <w14:textFill>
                  <w14:solidFill>
                    <w14:schemeClr w14:val="tx1"/>
                  </w14:solidFill>
                </w14:textFill>
              </w:rPr>
              <w:t>，可以采用固定的梯子作为通道；</w:t>
            </w:r>
          </w:p>
          <w:p w14:paraId="3B7DA02F">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）进入机器空间的门附近的通道设有永久性电气照明。</w:t>
            </w:r>
          </w:p>
        </w:tc>
        <w:tc>
          <w:tcPr>
            <w:tcW w:w="2805" w:type="dxa"/>
            <w:tcMar>
              <w:top w:w="0" w:type="dxa"/>
              <w:left w:w="57" w:type="dxa"/>
              <w:bottom w:w="0" w:type="dxa"/>
              <w:right w:w="57" w:type="dxa"/>
            </w:tcMar>
            <w:vAlign w:val="center"/>
          </w:tcPr>
          <w:p w14:paraId="0552A970">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目测；必要时测量相关数据。</w:t>
            </w:r>
          </w:p>
        </w:tc>
      </w:tr>
      <w:tr w14:paraId="2855B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23" w:hRule="atLeast"/>
          <w:jc w:val="center"/>
        </w:trPr>
        <w:tc>
          <w:tcPr>
            <w:tcW w:w="481" w:type="dxa"/>
            <w:vMerge w:val="continue"/>
            <w:tcMar>
              <w:top w:w="0" w:type="dxa"/>
              <w:left w:w="57" w:type="dxa"/>
              <w:bottom w:w="0" w:type="dxa"/>
              <w:right w:w="57" w:type="dxa"/>
            </w:tcMar>
            <w:vAlign w:val="center"/>
          </w:tcPr>
          <w:p w14:paraId="3425E6CA">
            <w:pPr>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1B60C3D1">
            <w:pPr>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1E03D446">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A1.2.1.2</w:t>
            </w:r>
          </w:p>
          <w:p w14:paraId="24E202A3">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机房通道门及警示标志</w:t>
            </w:r>
          </w:p>
        </w:tc>
        <w:tc>
          <w:tcPr>
            <w:tcW w:w="4297" w:type="dxa"/>
            <w:tcMar>
              <w:top w:w="0" w:type="dxa"/>
              <w:left w:w="57" w:type="dxa"/>
              <w:bottom w:w="0" w:type="dxa"/>
              <w:right w:w="57" w:type="dxa"/>
            </w:tcMar>
            <w:vAlign w:val="center"/>
          </w:tcPr>
          <w:p w14:paraId="5E53256F">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）机房通道门不能向机房内开启，其高度不小于</w:t>
            </w:r>
            <w:r>
              <w:rPr>
                <w:rFonts w:eastAsiaTheme="minorEastAsia"/>
                <w:snapToGrid w:val="0"/>
                <w:color w:val="000000" w:themeColor="text1"/>
                <w:sz w:val="21"/>
                <w:szCs w:val="21"/>
                <w14:textFill>
                  <w14:solidFill>
                    <w14:schemeClr w14:val="tx1"/>
                  </w14:solidFill>
                </w14:textFill>
              </w:rPr>
              <w:t>1.80m</w:t>
            </w:r>
            <w:r>
              <w:rPr>
                <w:rFonts w:hAnsiTheme="minorEastAsia" w:eastAsiaTheme="minorEastAsia"/>
                <w:snapToGrid w:val="0"/>
                <w:color w:val="000000" w:themeColor="text1"/>
                <w:sz w:val="21"/>
                <w:szCs w:val="21"/>
                <w14:textFill>
                  <w14:solidFill>
                    <w14:schemeClr w14:val="tx1"/>
                  </w14:solidFill>
                </w14:textFill>
              </w:rPr>
              <w:t>，宽度不小于</w:t>
            </w:r>
            <w:r>
              <w:rPr>
                <w:rFonts w:eastAsiaTheme="minorEastAsia"/>
                <w:snapToGrid w:val="0"/>
                <w:color w:val="000000" w:themeColor="text1"/>
                <w:sz w:val="21"/>
                <w:szCs w:val="21"/>
                <w14:textFill>
                  <w14:solidFill>
                    <w14:schemeClr w14:val="tx1"/>
                  </w14:solidFill>
                </w14:textFill>
              </w:rPr>
              <w:t>0.60m</w:t>
            </w:r>
            <w:r>
              <w:rPr>
                <w:rFonts w:hAnsiTheme="minorEastAsia" w:eastAsiaTheme="minorEastAsia"/>
                <w:snapToGrid w:val="0"/>
                <w:color w:val="000000" w:themeColor="text1"/>
                <w:sz w:val="21"/>
                <w:szCs w:val="21"/>
                <w14:textFill>
                  <w14:solidFill>
                    <w14:schemeClr w14:val="tx1"/>
                  </w14:solidFill>
                </w14:textFill>
              </w:rPr>
              <w:t>；门上装有用钥匙开启的锁，门开启后不用钥匙能够将其关闭和锁住，门锁住后不用钥匙能够从机房内将门打开；</w:t>
            </w:r>
          </w:p>
          <w:p w14:paraId="6AC51C84">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）机房通道门外侧设有包含</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电梯机器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危险，未经允许禁止入内</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文字的警示标志。</w:t>
            </w:r>
          </w:p>
        </w:tc>
        <w:tc>
          <w:tcPr>
            <w:tcW w:w="2805" w:type="dxa"/>
            <w:tcMar>
              <w:top w:w="0" w:type="dxa"/>
              <w:left w:w="57" w:type="dxa"/>
              <w:bottom w:w="0" w:type="dxa"/>
              <w:right w:w="57" w:type="dxa"/>
            </w:tcMar>
            <w:vAlign w:val="center"/>
          </w:tcPr>
          <w:p w14:paraId="67D9BA88">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目测；必要时测量相关数据。</w:t>
            </w:r>
          </w:p>
        </w:tc>
      </w:tr>
      <w:tr w14:paraId="1D8039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8" w:hRule="atLeast"/>
          <w:jc w:val="center"/>
        </w:trPr>
        <w:tc>
          <w:tcPr>
            <w:tcW w:w="481" w:type="dxa"/>
            <w:vMerge w:val="continue"/>
            <w:tcMar>
              <w:top w:w="0" w:type="dxa"/>
              <w:left w:w="57" w:type="dxa"/>
              <w:bottom w:w="0" w:type="dxa"/>
              <w:right w:w="57" w:type="dxa"/>
            </w:tcMar>
            <w:vAlign w:val="center"/>
          </w:tcPr>
          <w:p w14:paraId="57644FB5">
            <w:pPr>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tcMar>
              <w:top w:w="0" w:type="dxa"/>
              <w:left w:w="57" w:type="dxa"/>
              <w:bottom w:w="0" w:type="dxa"/>
              <w:right w:w="57" w:type="dxa"/>
            </w:tcMar>
            <w:vAlign w:val="center"/>
          </w:tcPr>
          <w:p w14:paraId="114DD400">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w:t>
            </w:r>
          </w:p>
          <w:p w14:paraId="66CD5A5A">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井道</w:t>
            </w:r>
          </w:p>
        </w:tc>
        <w:tc>
          <w:tcPr>
            <w:tcW w:w="857" w:type="dxa"/>
            <w:tcMar>
              <w:top w:w="0" w:type="dxa"/>
              <w:left w:w="57" w:type="dxa"/>
              <w:bottom w:w="0" w:type="dxa"/>
              <w:right w:w="57" w:type="dxa"/>
            </w:tcMar>
            <w:vAlign w:val="center"/>
          </w:tcPr>
          <w:p w14:paraId="34445816">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A1.2.2.1</w:t>
            </w:r>
          </w:p>
          <w:p w14:paraId="24BBAE65">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井道</w:t>
            </w:r>
          </w:p>
          <w:p w14:paraId="1C543B17">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照明</w:t>
            </w:r>
          </w:p>
        </w:tc>
        <w:tc>
          <w:tcPr>
            <w:tcW w:w="4297" w:type="dxa"/>
            <w:tcMar>
              <w:top w:w="0" w:type="dxa"/>
              <w:left w:w="57" w:type="dxa"/>
              <w:bottom w:w="0" w:type="dxa"/>
              <w:right w:w="57" w:type="dxa"/>
            </w:tcMar>
            <w:vAlign w:val="center"/>
          </w:tcPr>
          <w:p w14:paraId="12322182">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）井道内设有永久性电气照明；当部分封闭的井道附近有足够的电气照明时，井道内可以不设照明；</w:t>
            </w:r>
          </w:p>
          <w:p w14:paraId="587D26F6">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）斜行电梯的井道内设置永久性人行通道的，沿着人行通道设有应急照明。</w:t>
            </w:r>
          </w:p>
        </w:tc>
        <w:tc>
          <w:tcPr>
            <w:tcW w:w="2805" w:type="dxa"/>
            <w:tcMar>
              <w:top w:w="0" w:type="dxa"/>
              <w:left w:w="57" w:type="dxa"/>
              <w:bottom w:w="0" w:type="dxa"/>
              <w:right w:w="57" w:type="dxa"/>
            </w:tcMar>
            <w:vAlign w:val="center"/>
          </w:tcPr>
          <w:p w14:paraId="565AFB4F">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31875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35" w:hRule="atLeast"/>
          <w:jc w:val="center"/>
        </w:trPr>
        <w:tc>
          <w:tcPr>
            <w:tcW w:w="481" w:type="dxa"/>
            <w:vMerge w:val="continue"/>
            <w:tcMar>
              <w:top w:w="0" w:type="dxa"/>
              <w:left w:w="57" w:type="dxa"/>
              <w:bottom w:w="0" w:type="dxa"/>
              <w:right w:w="57" w:type="dxa"/>
            </w:tcMar>
            <w:vAlign w:val="center"/>
          </w:tcPr>
          <w:p w14:paraId="2168285B">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restart"/>
            <w:tcMar>
              <w:top w:w="0" w:type="dxa"/>
              <w:left w:w="57" w:type="dxa"/>
              <w:bottom w:w="0" w:type="dxa"/>
              <w:right w:w="57" w:type="dxa"/>
            </w:tcMar>
            <w:vAlign w:val="center"/>
          </w:tcPr>
          <w:p w14:paraId="3EF5A00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w:t>
            </w:r>
          </w:p>
          <w:p w14:paraId="14201E33">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井道</w:t>
            </w:r>
          </w:p>
        </w:tc>
        <w:tc>
          <w:tcPr>
            <w:tcW w:w="857" w:type="dxa"/>
            <w:tcMar>
              <w:top w:w="0" w:type="dxa"/>
              <w:left w:w="57" w:type="dxa"/>
              <w:bottom w:w="0" w:type="dxa"/>
              <w:right w:w="57" w:type="dxa"/>
            </w:tcMar>
            <w:vAlign w:val="center"/>
          </w:tcPr>
          <w:p w14:paraId="077FE5CA">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A1.2.2.2</w:t>
            </w:r>
          </w:p>
          <w:p w14:paraId="1F2BE3F6">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进入</w:t>
            </w:r>
          </w:p>
          <w:p w14:paraId="690054C1">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底坑的措施</w:t>
            </w:r>
          </w:p>
        </w:tc>
        <w:tc>
          <w:tcPr>
            <w:tcW w:w="4297" w:type="dxa"/>
            <w:tcMar>
              <w:top w:w="0" w:type="dxa"/>
              <w:left w:w="57" w:type="dxa"/>
              <w:bottom w:w="0" w:type="dxa"/>
              <w:right w:w="57" w:type="dxa"/>
            </w:tcMar>
            <w:vAlign w:val="center"/>
          </w:tcPr>
          <w:p w14:paraId="5EBFBD78">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检查其是否符合下列要求之一：</w:t>
            </w:r>
          </w:p>
          <w:p w14:paraId="17976B26">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）供人员从层门进入底坑的梯子为永久设置的固定式梯子，并且不凸入电梯的运行空间；</w:t>
            </w:r>
          </w:p>
          <w:p w14:paraId="5848DAD7">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）供人员从层门进入底坑的梯子为永久设置的非固定式梯子，如果该梯子在展开位置可能与运动部件发生碰撞，当其不在存放位置时，能够通过电气安全装置防止电梯运行；</w:t>
            </w:r>
          </w:p>
          <w:p w14:paraId="176AF045">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）供人员进入底坑的通道门不向底坑内开启，其高度不小于</w:t>
            </w:r>
            <w:r>
              <w:rPr>
                <w:rFonts w:eastAsiaTheme="minorEastAsia"/>
                <w:snapToGrid w:val="0"/>
                <w:color w:val="000000" w:themeColor="text1"/>
                <w:sz w:val="21"/>
                <w:szCs w:val="21"/>
                <w14:textFill>
                  <w14:solidFill>
                    <w14:schemeClr w14:val="tx1"/>
                  </w14:solidFill>
                </w14:textFill>
              </w:rPr>
              <w:t>1.80m</w:t>
            </w:r>
            <w:r>
              <w:rPr>
                <w:rFonts w:hAnsiTheme="minorEastAsia" w:eastAsiaTheme="minorEastAsia"/>
                <w:snapToGrid w:val="0"/>
                <w:color w:val="000000" w:themeColor="text1"/>
                <w:sz w:val="21"/>
                <w:szCs w:val="21"/>
                <w14:textFill>
                  <w14:solidFill>
                    <w14:schemeClr w14:val="tx1"/>
                  </w14:solidFill>
                </w14:textFill>
              </w:rPr>
              <w:t>，宽度不小于</w:t>
            </w:r>
            <w:r>
              <w:rPr>
                <w:rFonts w:eastAsiaTheme="minorEastAsia"/>
                <w:snapToGrid w:val="0"/>
                <w:color w:val="000000" w:themeColor="text1"/>
                <w:sz w:val="21"/>
                <w:szCs w:val="21"/>
                <w14:textFill>
                  <w14:solidFill>
                    <w14:schemeClr w14:val="tx1"/>
                  </w14:solidFill>
                </w14:textFill>
              </w:rPr>
              <w:t>0.60m</w:t>
            </w:r>
            <w:r>
              <w:rPr>
                <w:rFonts w:hAnsiTheme="minorEastAsia" w:eastAsiaTheme="minorEastAsia"/>
                <w:snapToGrid w:val="0"/>
                <w:color w:val="000000" w:themeColor="text1"/>
                <w:sz w:val="21"/>
                <w:szCs w:val="21"/>
                <w14:textFill>
                  <w14:solidFill>
                    <w14:schemeClr w14:val="tx1"/>
                  </w14:solidFill>
                </w14:textFill>
              </w:rPr>
              <w:t>（对于斜行电梯，可以采用尺寸不小于</w:t>
            </w:r>
            <w:r>
              <w:rPr>
                <w:rFonts w:eastAsiaTheme="minorEastAsia"/>
                <w:snapToGrid w:val="0"/>
                <w:color w:val="000000" w:themeColor="text1"/>
                <w:sz w:val="21"/>
                <w:szCs w:val="21"/>
                <w14:textFill>
                  <w14:solidFill>
                    <w14:schemeClr w14:val="tx1"/>
                  </w14:solidFill>
                </w14:textFill>
              </w:rPr>
              <w:t>0.80m×0.80m</w:t>
            </w:r>
            <w:r>
              <w:rPr>
                <w:rFonts w:hAnsiTheme="minorEastAsia" w:eastAsiaTheme="minorEastAsia"/>
                <w:snapToGrid w:val="0"/>
                <w:color w:val="000000" w:themeColor="text1"/>
                <w:sz w:val="21"/>
                <w:szCs w:val="21"/>
                <w14:textFill>
                  <w14:solidFill>
                    <w14:schemeClr w14:val="tx1"/>
                  </w14:solidFill>
                </w14:textFill>
              </w:rPr>
              <w:t>的活板门）；门上装有带钥匙的锁，门开启后不用钥匙能够将其关闭和锁住，门锁住后不用钥匙能够从底坑内将门打开；在井道外，通道门</w:t>
            </w:r>
            <w:r>
              <w:rPr>
                <w:rFonts w:hint="eastAsia" w:hAnsiTheme="minorEastAsia" w:eastAsiaTheme="minorEastAsia"/>
                <w:snapToGrid w:val="0"/>
                <w:color w:val="000000" w:themeColor="text1"/>
                <w:sz w:val="21"/>
                <w:szCs w:val="21"/>
                <w14:textFill>
                  <w14:solidFill>
                    <w14:schemeClr w14:val="tx1"/>
                  </w14:solidFill>
                </w14:textFill>
              </w:rPr>
              <w:t>附近</w:t>
            </w:r>
            <w:r>
              <w:rPr>
                <w:rFonts w:hAnsiTheme="minorEastAsia" w:eastAsiaTheme="minorEastAsia"/>
                <w:snapToGrid w:val="0"/>
                <w:color w:val="000000" w:themeColor="text1"/>
                <w:sz w:val="21"/>
                <w:szCs w:val="21"/>
                <w14:textFill>
                  <w14:solidFill>
                    <w14:schemeClr w14:val="tx1"/>
                  </w14:solidFill>
                </w14:textFill>
              </w:rPr>
              <w:t>设有包含</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电梯井道</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危险，未经允许禁止入内</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文字的警示标志。</w:t>
            </w:r>
          </w:p>
        </w:tc>
        <w:tc>
          <w:tcPr>
            <w:tcW w:w="2805" w:type="dxa"/>
            <w:tcMar>
              <w:top w:w="0" w:type="dxa"/>
              <w:left w:w="57" w:type="dxa"/>
              <w:bottom w:w="0" w:type="dxa"/>
              <w:right w:w="57" w:type="dxa"/>
            </w:tcMar>
            <w:vAlign w:val="center"/>
          </w:tcPr>
          <w:p w14:paraId="4E5EA978">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目测，必要时测量相关数据，操作验证电气安全装置功能。</w:t>
            </w:r>
          </w:p>
        </w:tc>
      </w:tr>
      <w:tr w14:paraId="45575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1" w:hRule="atLeast"/>
          <w:jc w:val="center"/>
        </w:trPr>
        <w:tc>
          <w:tcPr>
            <w:tcW w:w="481" w:type="dxa"/>
            <w:vMerge w:val="continue"/>
            <w:tcMar>
              <w:top w:w="0" w:type="dxa"/>
              <w:left w:w="57" w:type="dxa"/>
              <w:bottom w:w="0" w:type="dxa"/>
              <w:right w:w="57" w:type="dxa"/>
            </w:tcMar>
            <w:vAlign w:val="center"/>
          </w:tcPr>
          <w:p w14:paraId="509E8601">
            <w:pPr>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E211D46">
            <w:pPr>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79D2D242">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A1.2.2.3</w:t>
            </w:r>
          </w:p>
          <w:p w14:paraId="0893933C">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底坑</w:t>
            </w:r>
          </w:p>
          <w:p w14:paraId="5EA2FAB9">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设施</w:t>
            </w:r>
          </w:p>
          <w:p w14:paraId="4985561B">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和装置</w:t>
            </w:r>
          </w:p>
        </w:tc>
        <w:tc>
          <w:tcPr>
            <w:tcW w:w="4297" w:type="dxa"/>
            <w:tcMar>
              <w:top w:w="0" w:type="dxa"/>
              <w:left w:w="57" w:type="dxa"/>
              <w:bottom w:w="0" w:type="dxa"/>
              <w:right w:w="57" w:type="dxa"/>
            </w:tcMar>
            <w:vAlign w:val="center"/>
          </w:tcPr>
          <w:p w14:paraId="76166CC7">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）底坑内设有在进入底坑时以及在底坑地面上均能够方便操作的停止装置和进入底坑时方便操作的井道照明操作装置，并且功能有效；</w:t>
            </w:r>
          </w:p>
          <w:p w14:paraId="523EAB85">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）底坑地面平整，无渗水、积水；</w:t>
            </w:r>
          </w:p>
          <w:p w14:paraId="72F1F17F">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）消防员电梯的底坑内水位限制措施功能有效。</w:t>
            </w:r>
          </w:p>
        </w:tc>
        <w:tc>
          <w:tcPr>
            <w:tcW w:w="2805" w:type="dxa"/>
            <w:tcMar>
              <w:top w:w="0" w:type="dxa"/>
              <w:left w:w="57" w:type="dxa"/>
              <w:bottom w:w="0" w:type="dxa"/>
              <w:right w:w="57" w:type="dxa"/>
            </w:tcMar>
            <w:vAlign w:val="center"/>
          </w:tcPr>
          <w:p w14:paraId="06D117DC">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操作验证停止装置和井道照明操作装置功能。</w:t>
            </w:r>
          </w:p>
        </w:tc>
      </w:tr>
      <w:tr w14:paraId="2D071F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restart"/>
            <w:tcMar>
              <w:top w:w="0" w:type="dxa"/>
              <w:left w:w="57" w:type="dxa"/>
              <w:bottom w:w="0" w:type="dxa"/>
              <w:right w:w="57" w:type="dxa"/>
            </w:tcMar>
            <w:vAlign w:val="center"/>
          </w:tcPr>
          <w:p w14:paraId="6E054E1A">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25DB95F3">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34BF4695">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w:t>
            </w:r>
          </w:p>
          <w:p w14:paraId="67525A6C">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井道</w:t>
            </w:r>
          </w:p>
        </w:tc>
        <w:tc>
          <w:tcPr>
            <w:tcW w:w="857" w:type="dxa"/>
            <w:tcMar>
              <w:top w:w="0" w:type="dxa"/>
              <w:left w:w="57" w:type="dxa"/>
              <w:bottom w:w="0" w:type="dxa"/>
              <w:right w:w="57" w:type="dxa"/>
            </w:tcMar>
            <w:vAlign w:val="center"/>
          </w:tcPr>
          <w:p w14:paraId="198F8398">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A1.2.2.4</w:t>
            </w:r>
          </w:p>
          <w:p w14:paraId="4A879F74">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缓冲器</w:t>
            </w:r>
          </w:p>
        </w:tc>
        <w:tc>
          <w:tcPr>
            <w:tcW w:w="4297" w:type="dxa"/>
            <w:tcMar>
              <w:top w:w="0" w:type="dxa"/>
              <w:left w:w="57" w:type="dxa"/>
              <w:bottom w:w="0" w:type="dxa"/>
              <w:right w:w="57" w:type="dxa"/>
            </w:tcMar>
            <w:vAlign w:val="center"/>
          </w:tcPr>
          <w:p w14:paraId="1837E9F1">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）缓冲器无松动、明显倾斜、断裂、塑性变形、剥落、破损、严重锈蚀等现象；</w:t>
            </w:r>
          </w:p>
          <w:p w14:paraId="2264F8E0">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）耗能型缓冲器液位正确，验证柱塞复位的电气安全装置功能有效；</w:t>
            </w:r>
          </w:p>
          <w:p w14:paraId="472B67E1">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）对重缓冲器附近设有清晰的对重越程距离标识；</w:t>
            </w:r>
          </w:p>
          <w:p w14:paraId="3C339EA3">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）当轿厢位于顶层端站平层位置时，对重装置撞板与其缓冲器顶面间的距离不超过对重越程距离标识上标注的最大允许值；</w:t>
            </w:r>
          </w:p>
          <w:p w14:paraId="215B0354">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5</w:t>
            </w:r>
            <w:r>
              <w:rPr>
                <w:rFonts w:hAnsiTheme="minorEastAsia" w:eastAsiaTheme="minorEastAsia"/>
                <w:snapToGrid w:val="0"/>
                <w:color w:val="000000" w:themeColor="text1"/>
                <w:sz w:val="21"/>
                <w:szCs w:val="21"/>
                <w14:textFill>
                  <w14:solidFill>
                    <w14:schemeClr w14:val="tx1"/>
                  </w14:solidFill>
                </w14:textFill>
              </w:rPr>
              <w:t>）防爆电梯的缓冲器与轿厢、对重（平衡重）的撞击面采取的无火花措施保持完好。</w:t>
            </w:r>
          </w:p>
          <w:p w14:paraId="4C6EEC08">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A1-1</w:t>
            </w:r>
            <w:r>
              <w:rPr>
                <w:rFonts w:hAnsiTheme="minorEastAsia" w:eastAsiaTheme="minorEastAsia"/>
                <w:snapToGrid w:val="0"/>
                <w:color w:val="000000" w:themeColor="text1"/>
                <w:sz w:val="21"/>
                <w:szCs w:val="21"/>
                <w14:textFill>
                  <w14:solidFill>
                    <w14:schemeClr w14:val="tx1"/>
                  </w14:solidFill>
                </w14:textFill>
              </w:rPr>
              <w:t>：本条第（</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）和第（</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）项不适用于设置前置轿门的斜行电梯。</w:t>
            </w:r>
          </w:p>
        </w:tc>
        <w:tc>
          <w:tcPr>
            <w:tcW w:w="2805" w:type="dxa"/>
            <w:tcMar>
              <w:top w:w="0" w:type="dxa"/>
              <w:left w:w="57" w:type="dxa"/>
              <w:bottom w:w="0" w:type="dxa"/>
              <w:right w:w="57" w:type="dxa"/>
            </w:tcMar>
            <w:vAlign w:val="center"/>
          </w:tcPr>
          <w:p w14:paraId="56D9D969">
            <w:pPr>
              <w:pStyle w:val="19"/>
              <w:keepNext/>
              <w:keepLines/>
              <w:pageBreakBefore/>
              <w:widowControl/>
              <w:tabs>
                <w:tab w:val="left" w:pos="428"/>
              </w:tabs>
              <w:topLinePunct/>
              <w:autoSpaceDE/>
              <w:autoSpaceDN/>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测量相关数据，模拟操作验证。</w:t>
            </w:r>
          </w:p>
          <w:p w14:paraId="6788DA6C">
            <w:pPr>
              <w:pStyle w:val="19"/>
              <w:keepNext/>
              <w:keepLines/>
              <w:pageBreakBefore/>
              <w:widowControl/>
              <w:tabs>
                <w:tab w:val="left" w:pos="428"/>
              </w:tabs>
              <w:topLinePunct/>
              <w:autoSpaceDE/>
              <w:autoSpaceDN/>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）目测缓冲器的固定和完好情况；</w:t>
            </w:r>
          </w:p>
          <w:p w14:paraId="7C68D059">
            <w:pPr>
              <w:pStyle w:val="19"/>
              <w:keepNext/>
              <w:keepLines/>
              <w:pageBreakBefore/>
              <w:widowControl/>
              <w:tabs>
                <w:tab w:val="left" w:pos="428"/>
              </w:tabs>
              <w:topLinePunct/>
              <w:autoSpaceDE/>
              <w:autoSpaceDN/>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）目测耗能型缓冲器的液位，操作验证电气安全装置的功能；</w:t>
            </w:r>
          </w:p>
          <w:p w14:paraId="6C15DD31">
            <w:pPr>
              <w:pStyle w:val="19"/>
              <w:keepNext/>
              <w:keepLines/>
              <w:pageBreakBefore/>
              <w:widowControl/>
              <w:tabs>
                <w:tab w:val="left" w:pos="428"/>
              </w:tabs>
              <w:topLinePunct/>
              <w:autoSpaceDE/>
              <w:autoSpaceDN/>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）目测对重越程距离标识；</w:t>
            </w:r>
          </w:p>
          <w:p w14:paraId="5EF7CAF7">
            <w:pPr>
              <w:pStyle w:val="19"/>
              <w:keepNext/>
              <w:keepLines/>
              <w:pageBreakBefore/>
              <w:widowControl/>
              <w:tabs>
                <w:tab w:val="left" w:pos="428"/>
              </w:tabs>
              <w:topLinePunct/>
              <w:autoSpaceDE/>
              <w:autoSpaceDN/>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）查验当轿厢位于顶层端站平层位置时，对重装置撞板与其缓冲器顶面间的垂直距离；</w:t>
            </w:r>
          </w:p>
          <w:p w14:paraId="21FDB625">
            <w:pPr>
              <w:pStyle w:val="19"/>
              <w:keepNext/>
              <w:keepLines/>
              <w:pageBreakBefore/>
              <w:widowControl/>
              <w:tabs>
                <w:tab w:val="left" w:pos="428"/>
              </w:tabs>
              <w:topLinePunct/>
              <w:autoSpaceDE/>
              <w:autoSpaceDN/>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5</w:t>
            </w:r>
            <w:r>
              <w:rPr>
                <w:rFonts w:hAnsiTheme="minorEastAsia" w:eastAsiaTheme="minorEastAsia"/>
                <w:snapToGrid w:val="0"/>
                <w:color w:val="000000" w:themeColor="text1"/>
                <w:sz w:val="21"/>
                <w:szCs w:val="21"/>
                <w14:textFill>
                  <w14:solidFill>
                    <w14:schemeClr w14:val="tx1"/>
                  </w14:solidFill>
                </w14:textFill>
              </w:rPr>
              <w:t>）目测撞击面的保护措施是否完好。</w:t>
            </w:r>
          </w:p>
        </w:tc>
      </w:tr>
      <w:tr w14:paraId="076F11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2248882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766AA649">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5664DF67">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A1.2.2.5</w:t>
            </w:r>
          </w:p>
          <w:p w14:paraId="04FF15BA">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极限位置限制装置</w:t>
            </w:r>
          </w:p>
        </w:tc>
        <w:tc>
          <w:tcPr>
            <w:tcW w:w="4297" w:type="dxa"/>
            <w:tcMar>
              <w:top w:w="0" w:type="dxa"/>
              <w:left w:w="57" w:type="dxa"/>
              <w:bottom w:w="0" w:type="dxa"/>
              <w:right w:w="57" w:type="dxa"/>
            </w:tcMar>
            <w:vAlign w:val="center"/>
          </w:tcPr>
          <w:p w14:paraId="3CFEBB32">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检查极限位置限制装置是否能够在轿厢（运载装置）、对重接触缓冲器之前或者柱塞接触缓冲停止装置之前起作用，并且在缓冲器被压缩或者柱塞在缓冲停止区的期间能够保持其作用状态。</w:t>
            </w:r>
          </w:p>
          <w:p w14:paraId="08643E44">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A1-2</w:t>
            </w:r>
            <w:r>
              <w:rPr>
                <w:rFonts w:hAnsiTheme="minorEastAsia" w:eastAsiaTheme="minorEastAsia"/>
                <w:snapToGrid w:val="0"/>
                <w:color w:val="000000" w:themeColor="text1"/>
                <w:sz w:val="21"/>
                <w:szCs w:val="21"/>
                <w14:textFill>
                  <w14:solidFill>
                    <w14:schemeClr w14:val="tx1"/>
                  </w14:solidFill>
                </w14:textFill>
              </w:rPr>
              <w:t>：</w:t>
            </w:r>
          </w:p>
          <w:p w14:paraId="02D70614">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）本附件</w:t>
            </w:r>
            <w:r>
              <w:rPr>
                <w:rFonts w:eastAsiaTheme="minorEastAsia"/>
                <w:snapToGrid w:val="0"/>
                <w:color w:val="000000" w:themeColor="text1"/>
                <w:sz w:val="21"/>
                <w:szCs w:val="21"/>
                <w14:textFill>
                  <w14:solidFill>
                    <w14:schemeClr w14:val="tx1"/>
                  </w14:solidFill>
                </w14:textFill>
              </w:rPr>
              <w:t>A1</w:t>
            </w:r>
            <w:r>
              <w:rPr>
                <w:rFonts w:hAnsiTheme="minorEastAsia" w:eastAsiaTheme="minorEastAsia"/>
                <w:snapToGrid w:val="0"/>
                <w:color w:val="000000" w:themeColor="text1"/>
                <w:sz w:val="21"/>
                <w:szCs w:val="21"/>
                <w14:textFill>
                  <w14:solidFill>
                    <w14:schemeClr w14:val="tx1"/>
                  </w14:solidFill>
                </w14:textFill>
              </w:rPr>
              <w:t>节所称运载装置，指斜行电梯用于运送人员和其他载荷的部件，包括轿厢、悬挂架（承载架）和工作区（如果有）的组合；</w:t>
            </w:r>
          </w:p>
          <w:p w14:paraId="42472053">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）本条不适用于设置前置轿门的斜行电梯。</w:t>
            </w:r>
          </w:p>
        </w:tc>
        <w:tc>
          <w:tcPr>
            <w:tcW w:w="2805" w:type="dxa"/>
            <w:tcMar>
              <w:top w:w="0" w:type="dxa"/>
              <w:left w:w="57" w:type="dxa"/>
              <w:bottom w:w="0" w:type="dxa"/>
              <w:right w:w="57" w:type="dxa"/>
            </w:tcMar>
            <w:vAlign w:val="center"/>
          </w:tcPr>
          <w:p w14:paraId="5643DA29">
            <w:pPr>
              <w:pStyle w:val="19"/>
              <w:keepNext/>
              <w:keepLines/>
              <w:pageBreakBefore/>
              <w:widowControl/>
              <w:tabs>
                <w:tab w:val="left" w:pos="428"/>
              </w:tabs>
              <w:topLinePunct/>
              <w:autoSpaceDE/>
              <w:autoSpaceDN/>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模拟操作验证。</w:t>
            </w:r>
          </w:p>
          <w:p w14:paraId="75EB1A35">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对于曳引和强制驱动电梯：</w:t>
            </w:r>
          </w:p>
          <w:p w14:paraId="435FEA13">
            <w:pPr>
              <w:pStyle w:val="19"/>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）将上行（下行）限位开关（如果有）短接，以检修速度使位于顶层（底层）端站的轿厢向上（向下）运行，检查井道上端（下端）极限开关动作情况；</w:t>
            </w:r>
          </w:p>
          <w:p w14:paraId="6B0508F7">
            <w:pPr>
              <w:pStyle w:val="19"/>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短接上下两端极限开关和限位开关（如果有），以检修速度提升（下降）轿厢，使对重（轿厢）完全压在缓冲器上，检查极限开关动作状态；对于液压电梯：液压电梯在上端站平层后，短接上限位开关（如果有），轿厢电动向上运行，碰撞极限开关后，液压电梯应当停止运行，然后短接极限开关，液压电梯应当仍能继续向上运行，当达到柱塞伸出极限位置时，取掉极限开关短接线，液压电梯应当不能向下运行，此时极限开关仍处于动作状态</w:t>
            </w:r>
          </w:p>
        </w:tc>
      </w:tr>
      <w:tr w14:paraId="50F64C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61" w:hRule="atLeast"/>
          <w:jc w:val="center"/>
        </w:trPr>
        <w:tc>
          <w:tcPr>
            <w:tcW w:w="481" w:type="dxa"/>
            <w:vMerge w:val="continue"/>
            <w:tcMar>
              <w:top w:w="0" w:type="dxa"/>
              <w:left w:w="57" w:type="dxa"/>
              <w:bottom w:w="0" w:type="dxa"/>
              <w:right w:w="57" w:type="dxa"/>
            </w:tcMar>
            <w:vAlign w:val="center"/>
          </w:tcPr>
          <w:p w14:paraId="2FD3CF93">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402F989">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794C3AD7">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w:t>
            </w:r>
          </w:p>
          <w:p w14:paraId="645A3841">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主开关</w:t>
            </w:r>
          </w:p>
        </w:tc>
        <w:tc>
          <w:tcPr>
            <w:tcW w:w="4297" w:type="dxa"/>
            <w:tcMar>
              <w:top w:w="0" w:type="dxa"/>
              <w:left w:w="57" w:type="dxa"/>
              <w:bottom w:w="0" w:type="dxa"/>
              <w:right w:w="57" w:type="dxa"/>
            </w:tcMar>
            <w:vAlign w:val="center"/>
          </w:tcPr>
          <w:p w14:paraId="10FF1C8E">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检查每台电梯是否单独配置主开关，并且其不能切断轿厢照明和通风、机器空间照明、电梯井道照明以及轿顶、滑轮间和底坑电源插座的电源。</w:t>
            </w:r>
          </w:p>
        </w:tc>
        <w:tc>
          <w:tcPr>
            <w:tcW w:w="2805" w:type="dxa"/>
            <w:tcMar>
              <w:top w:w="0" w:type="dxa"/>
              <w:left w:w="57" w:type="dxa"/>
              <w:bottom w:w="0" w:type="dxa"/>
              <w:right w:w="57" w:type="dxa"/>
            </w:tcMar>
            <w:vAlign w:val="center"/>
          </w:tcPr>
          <w:p w14:paraId="7BB3A6FB">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模拟操作验证。</w:t>
            </w:r>
          </w:p>
          <w:p w14:paraId="46CDF403">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目测主开关的配置；断开主开关，检查照明、通风、插座的供电电路是否被切断。</w:t>
            </w:r>
          </w:p>
        </w:tc>
      </w:tr>
      <w:tr w14:paraId="52C533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4" w:hRule="atLeast"/>
          <w:jc w:val="center"/>
        </w:trPr>
        <w:tc>
          <w:tcPr>
            <w:tcW w:w="481" w:type="dxa"/>
            <w:vMerge w:val="continue"/>
            <w:tcMar>
              <w:top w:w="0" w:type="dxa"/>
              <w:left w:w="57" w:type="dxa"/>
              <w:bottom w:w="0" w:type="dxa"/>
              <w:right w:w="57" w:type="dxa"/>
            </w:tcMar>
            <w:vAlign w:val="center"/>
          </w:tcPr>
          <w:p w14:paraId="46160AB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6AE8044">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6E48B478">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A1.2.3.2</w:t>
            </w:r>
          </w:p>
          <w:p w14:paraId="27DB2003">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断相、错相保护功能</w:t>
            </w:r>
          </w:p>
        </w:tc>
        <w:tc>
          <w:tcPr>
            <w:tcW w:w="4297" w:type="dxa"/>
            <w:tcMar>
              <w:top w:w="0" w:type="dxa"/>
              <w:left w:w="57" w:type="dxa"/>
              <w:bottom w:w="0" w:type="dxa"/>
              <w:right w:w="57" w:type="dxa"/>
            </w:tcMar>
            <w:vAlign w:val="center"/>
          </w:tcPr>
          <w:p w14:paraId="068F3721">
            <w:pPr>
              <w:pStyle w:val="19"/>
              <w:adjustRightInd/>
              <w:spacing w:line="32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检查断相、错相保护功能是否有效；</w:t>
            </w:r>
          </w:p>
          <w:p w14:paraId="144B87DB">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电梯运行与相序无关时，可以不设错相保护</w:t>
            </w:r>
            <w:r>
              <w:rPr>
                <w:rFonts w:hint="eastAsia" w:hAnsiTheme="minorEastAsia" w:eastAsiaTheme="minorEastAsia"/>
                <w:snapToGrid w:val="0"/>
                <w:color w:val="000000" w:themeColor="text1"/>
                <w:sz w:val="21"/>
                <w:szCs w:val="21"/>
                <w14:textFill>
                  <w14:solidFill>
                    <w14:schemeClr w14:val="tx1"/>
                  </w14:solidFill>
                </w14:textFill>
              </w:rPr>
              <w:t>。</w:t>
            </w:r>
          </w:p>
        </w:tc>
        <w:tc>
          <w:tcPr>
            <w:tcW w:w="2805" w:type="dxa"/>
            <w:tcMar>
              <w:top w:w="0" w:type="dxa"/>
              <w:left w:w="57" w:type="dxa"/>
              <w:bottom w:w="0" w:type="dxa"/>
              <w:right w:w="57" w:type="dxa"/>
            </w:tcMar>
            <w:vAlign w:val="center"/>
          </w:tcPr>
          <w:p w14:paraId="10DE6887">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模拟操作验证。</w:t>
            </w:r>
          </w:p>
          <w:p w14:paraId="251F4C81">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断开主开关，在其输出端，分别断开三相交流电源的任意一根导线后，闭合主开关，检查电梯能否启动；断开主开关，在其输出端，调换三相交流电源的两根导线的相互位置后，闭合主开关，检查电梯能否启动。</w:t>
            </w:r>
          </w:p>
        </w:tc>
      </w:tr>
      <w:tr w14:paraId="41FA33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restart"/>
            <w:tcMar>
              <w:top w:w="0" w:type="dxa"/>
              <w:left w:w="57" w:type="dxa"/>
              <w:bottom w:w="0" w:type="dxa"/>
              <w:right w:w="57" w:type="dxa"/>
            </w:tcMar>
            <w:vAlign w:val="center"/>
          </w:tcPr>
          <w:p w14:paraId="227895BF">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345FDFC7">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6BBFACC4">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w:t>
            </w:r>
          </w:p>
          <w:p w14:paraId="76D51862">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电气设备（装置）及控制）</w:t>
            </w:r>
          </w:p>
        </w:tc>
        <w:tc>
          <w:tcPr>
            <w:tcW w:w="857" w:type="dxa"/>
            <w:tcMar>
              <w:top w:w="0" w:type="dxa"/>
              <w:left w:w="57" w:type="dxa"/>
              <w:bottom w:w="0" w:type="dxa"/>
              <w:right w:w="57" w:type="dxa"/>
            </w:tcMar>
            <w:vAlign w:val="center"/>
          </w:tcPr>
          <w:p w14:paraId="13E78BC0">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A1.2.3.3</w:t>
            </w:r>
          </w:p>
          <w:p w14:paraId="4F0A6DEC">
            <w:pPr>
              <w:widowControl/>
              <w:autoSpaceDE w:val="0"/>
              <w:autoSpaceDN w:val="0"/>
              <w:spacing w:line="28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接地保护措施</w:t>
            </w:r>
          </w:p>
        </w:tc>
        <w:tc>
          <w:tcPr>
            <w:tcW w:w="4297" w:type="dxa"/>
            <w:tcMar>
              <w:top w:w="0" w:type="dxa"/>
              <w:left w:w="57" w:type="dxa"/>
              <w:bottom w:w="0" w:type="dxa"/>
              <w:right w:w="57" w:type="dxa"/>
            </w:tcMar>
            <w:vAlign w:val="center"/>
          </w:tcPr>
          <w:p w14:paraId="09F926B6">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）机器空间的电气设备及线管、线槽的外露可导电部分与保护导体（</w:t>
            </w:r>
            <w:r>
              <w:rPr>
                <w:rFonts w:eastAsiaTheme="minorEastAsia"/>
                <w:snapToGrid w:val="0"/>
                <w:color w:val="000000" w:themeColor="text1"/>
                <w:sz w:val="21"/>
                <w:szCs w:val="21"/>
                <w14:textFill>
                  <w14:solidFill>
                    <w14:schemeClr w14:val="tx1"/>
                  </w14:solidFill>
                </w14:textFill>
              </w:rPr>
              <w:t>PE</w:t>
            </w:r>
            <w:r>
              <w:rPr>
                <w:rFonts w:hAnsiTheme="minorEastAsia" w:eastAsiaTheme="minorEastAsia"/>
                <w:snapToGrid w:val="0"/>
                <w:color w:val="000000" w:themeColor="text1"/>
                <w:sz w:val="21"/>
                <w:szCs w:val="21"/>
                <w14:textFill>
                  <w14:solidFill>
                    <w14:schemeClr w14:val="tx1"/>
                  </w14:solidFill>
                </w14:textFill>
              </w:rPr>
              <w:t>，地线）可靠连接；</w:t>
            </w:r>
          </w:p>
          <w:p w14:paraId="019DCF65">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）含有电气安全装置的电路发生接地故障时，驱动主机立即停止运转，或者在第一次正常停止运转后，能够防止驱动主机再启动；恢复电梯运行只能通过手动复位。</w:t>
            </w:r>
          </w:p>
        </w:tc>
        <w:tc>
          <w:tcPr>
            <w:tcW w:w="2805" w:type="dxa"/>
            <w:tcMar>
              <w:top w:w="0" w:type="dxa"/>
              <w:left w:w="57" w:type="dxa"/>
              <w:bottom w:w="0" w:type="dxa"/>
              <w:right w:w="57" w:type="dxa"/>
            </w:tcMar>
            <w:vAlign w:val="center"/>
          </w:tcPr>
          <w:p w14:paraId="61DA60CF">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模拟操作验证。</w:t>
            </w:r>
          </w:p>
          <w:p w14:paraId="1F675D7D">
            <w:pPr>
              <w:pStyle w:val="19"/>
              <w:widowControl/>
              <w:tabs>
                <w:tab w:val="left" w:pos="428"/>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）目测电气设备及线管、线槽的外露可以导电部分与保护导体的连接情况，必要时测量验证。</w:t>
            </w:r>
          </w:p>
          <w:p w14:paraId="4924C062">
            <w:pPr>
              <w:pStyle w:val="19"/>
              <w:widowControl/>
              <w:tabs>
                <w:tab w:val="left" w:pos="428"/>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）模拟含有电气安全装置的电路发生接地故障时的状况，观察驱动主机是否立即停止运转，或者在第一次正常停止运转后，能够防止驱动主机再启动；恢复电梯运行只能通过手动复位。</w:t>
            </w:r>
          </w:p>
        </w:tc>
      </w:tr>
      <w:tr w14:paraId="30B493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3C0823E1">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5857303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3D06C99D">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A1.2.3.4</w:t>
            </w:r>
          </w:p>
          <w:p w14:paraId="0391384C">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门旁路装置</w:t>
            </w:r>
          </w:p>
        </w:tc>
        <w:tc>
          <w:tcPr>
            <w:tcW w:w="4297" w:type="dxa"/>
            <w:tcMar>
              <w:top w:w="0" w:type="dxa"/>
              <w:left w:w="57" w:type="dxa"/>
              <w:bottom w:w="0" w:type="dxa"/>
              <w:right w:w="57" w:type="dxa"/>
            </w:tcMar>
            <w:vAlign w:val="center"/>
          </w:tcPr>
          <w:p w14:paraId="360D38E2">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）层门和轿门旁路装置上或者附近标明</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旁路</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字样；</w:t>
            </w:r>
          </w:p>
          <w:p w14:paraId="18BA1F7D">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）处于旁路状态时，能够旁路层门关闭触点、层门门锁触点、轿门关闭触点、轿门门锁触点，但不能同时旁路层门和轿门的触点；对于手动层门，不能同时旁路层门关闭触点和层门门锁触点；</w:t>
            </w:r>
          </w:p>
          <w:p w14:paraId="1FC2A4CB">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）处于旁路状态时，取消正常运行（包括自动门的任何运行），并且只有在检修运行控制或者紧急电动运行控制下电梯才能运行，轿厢上的听觉信号和轿底的闪烁灯在运行期间起作用；</w:t>
            </w:r>
          </w:p>
          <w:p w14:paraId="0B50EC85">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）提供独立的监控信号证实轿门处于关闭位置。</w:t>
            </w:r>
          </w:p>
        </w:tc>
        <w:tc>
          <w:tcPr>
            <w:tcW w:w="2805" w:type="dxa"/>
            <w:tcMar>
              <w:top w:w="0" w:type="dxa"/>
              <w:left w:w="57" w:type="dxa"/>
              <w:bottom w:w="0" w:type="dxa"/>
              <w:right w:w="57" w:type="dxa"/>
            </w:tcMar>
            <w:vAlign w:val="center"/>
          </w:tcPr>
          <w:p w14:paraId="1556A054">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模拟操作验证。</w:t>
            </w:r>
          </w:p>
          <w:p w14:paraId="1CAAE16C">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目测旁路装置设置及标识；通过模拟操作检查旁路装置功能。</w:t>
            </w:r>
          </w:p>
        </w:tc>
      </w:tr>
      <w:tr w14:paraId="233BAF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138CFC81">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7503CF4C">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6BAC3C21">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*A1.2.3.5</w:t>
            </w:r>
          </w:p>
          <w:p w14:paraId="64910F6D">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门回路监测功能</w:t>
            </w:r>
          </w:p>
        </w:tc>
        <w:tc>
          <w:tcPr>
            <w:tcW w:w="4297" w:type="dxa"/>
            <w:tcMar>
              <w:top w:w="0" w:type="dxa"/>
              <w:left w:w="57" w:type="dxa"/>
              <w:bottom w:w="0" w:type="dxa"/>
              <w:right w:w="57" w:type="dxa"/>
            </w:tcMar>
            <w:vAlign w:val="center"/>
          </w:tcPr>
          <w:p w14:paraId="63DDF674">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当轿厢停在开锁区域内、轿门开启并且层门门锁释放时，门回路监测系统是否对检查轿门关闭位置的电气安全装置、检查层门锁紧装置锁紧位置的电气安全装置，或者轿门电气安全装置和层门电气安全装置所构成的电路，以及监控信号的正确动作进行监测，监测到故障时是否能够防止电梯的正常运行。</w:t>
            </w:r>
          </w:p>
        </w:tc>
        <w:tc>
          <w:tcPr>
            <w:tcW w:w="2805" w:type="dxa"/>
            <w:tcMar>
              <w:top w:w="0" w:type="dxa"/>
              <w:left w:w="57" w:type="dxa"/>
              <w:bottom w:w="0" w:type="dxa"/>
              <w:right w:w="57" w:type="dxa"/>
            </w:tcMar>
            <w:vAlign w:val="center"/>
          </w:tcPr>
          <w:p w14:paraId="234B25F3">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目测，模拟操作验证。</w:t>
            </w:r>
          </w:p>
          <w:p w14:paraId="37B18224">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通过模拟操作检查门回路监测功能</w:t>
            </w:r>
          </w:p>
        </w:tc>
      </w:tr>
      <w:tr w14:paraId="5E4BC8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0D1ED384">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18D70769">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681FA0ED">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*A1.2.3.6</w:t>
            </w:r>
          </w:p>
          <w:p w14:paraId="0739C0EF">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制动器状态监测功能</w:t>
            </w:r>
          </w:p>
        </w:tc>
        <w:tc>
          <w:tcPr>
            <w:tcW w:w="4297" w:type="dxa"/>
            <w:tcMar>
              <w:top w:w="0" w:type="dxa"/>
              <w:left w:w="57" w:type="dxa"/>
              <w:bottom w:w="0" w:type="dxa"/>
              <w:right w:w="57" w:type="dxa"/>
            </w:tcMar>
            <w:vAlign w:val="center"/>
          </w:tcPr>
          <w:p w14:paraId="1E0DFD2C">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检查其是否能够监测制动器的每组制动力或者每次动作时每组机械部件的正确动作（松开或者制动），当监测到失效时，是否能够防止电梯的正常运行。</w:t>
            </w:r>
          </w:p>
        </w:tc>
        <w:tc>
          <w:tcPr>
            <w:tcW w:w="2805" w:type="dxa"/>
            <w:tcMar>
              <w:top w:w="0" w:type="dxa"/>
              <w:left w:w="57" w:type="dxa"/>
              <w:bottom w:w="0" w:type="dxa"/>
              <w:right w:w="57" w:type="dxa"/>
            </w:tcMar>
            <w:vAlign w:val="center"/>
          </w:tcPr>
          <w:p w14:paraId="04AF4199">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模拟操作验证。</w:t>
            </w:r>
          </w:p>
          <w:p w14:paraId="46BC0180">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通过模拟操作检查制动器状态监测功能（或者按照制造单位提供的方法进行试验）</w:t>
            </w:r>
          </w:p>
        </w:tc>
      </w:tr>
      <w:tr w14:paraId="186799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15B5D339">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BF845BE">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760404B1">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A1.2.3.7</w:t>
            </w:r>
          </w:p>
          <w:p w14:paraId="740BD270">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紧急电动运行控制</w:t>
            </w:r>
          </w:p>
        </w:tc>
        <w:tc>
          <w:tcPr>
            <w:tcW w:w="4297" w:type="dxa"/>
            <w:tcMar>
              <w:top w:w="0" w:type="dxa"/>
              <w:left w:w="57" w:type="dxa"/>
              <w:bottom w:w="0" w:type="dxa"/>
              <w:right w:w="57" w:type="dxa"/>
            </w:tcMar>
            <w:vAlign w:val="center"/>
          </w:tcPr>
          <w:p w14:paraId="31E5AD5A">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）紧急电动运行控制功能有效；</w:t>
            </w:r>
          </w:p>
          <w:p w14:paraId="11956005">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）操作紧急电动运行开关后，依靠持续按压按钮来控制轿厢运行，按钮上或者其附近清晰地标明运行方向；进行紧急电动运行操作时，易于观察轿厢是否在开锁区域。</w:t>
            </w:r>
          </w:p>
        </w:tc>
        <w:tc>
          <w:tcPr>
            <w:tcW w:w="2805" w:type="dxa"/>
            <w:tcMar>
              <w:top w:w="0" w:type="dxa"/>
              <w:left w:w="57" w:type="dxa"/>
              <w:bottom w:w="0" w:type="dxa"/>
              <w:right w:w="57" w:type="dxa"/>
            </w:tcMar>
            <w:vAlign w:val="center"/>
          </w:tcPr>
          <w:p w14:paraId="317EA002">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模拟操作验证。</w:t>
            </w:r>
          </w:p>
          <w:p w14:paraId="3C9B1E0F">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通过模拟操作检查紧急电动运行装置功能。</w:t>
            </w:r>
          </w:p>
        </w:tc>
      </w:tr>
      <w:tr w14:paraId="14DFA7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restart"/>
            <w:tcMar>
              <w:top w:w="0" w:type="dxa"/>
              <w:left w:w="57" w:type="dxa"/>
              <w:bottom w:w="0" w:type="dxa"/>
              <w:right w:w="57" w:type="dxa"/>
            </w:tcMar>
            <w:vAlign w:val="center"/>
          </w:tcPr>
          <w:p w14:paraId="52B73E0C">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549EC691">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5B410A1B">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w:t>
            </w:r>
          </w:p>
          <w:p w14:paraId="61B89051">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电气设备（装置）及控制）</w:t>
            </w:r>
          </w:p>
        </w:tc>
        <w:tc>
          <w:tcPr>
            <w:tcW w:w="857" w:type="dxa"/>
            <w:tcMar>
              <w:top w:w="0" w:type="dxa"/>
              <w:left w:w="57" w:type="dxa"/>
              <w:bottom w:w="0" w:type="dxa"/>
              <w:right w:w="57" w:type="dxa"/>
            </w:tcMar>
            <w:vAlign w:val="center"/>
          </w:tcPr>
          <w:p w14:paraId="2EA744B6">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*A1.2.3.8</w:t>
            </w:r>
          </w:p>
          <w:p w14:paraId="2FF63C1C">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紧急和</w:t>
            </w:r>
          </w:p>
          <w:p w14:paraId="46D8620D">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测试</w:t>
            </w:r>
          </w:p>
          <w:p w14:paraId="181CBD15">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操作屏</w:t>
            </w:r>
          </w:p>
        </w:tc>
        <w:tc>
          <w:tcPr>
            <w:tcW w:w="4297" w:type="dxa"/>
            <w:tcMar>
              <w:top w:w="0" w:type="dxa"/>
              <w:left w:w="57" w:type="dxa"/>
              <w:bottom w:w="0" w:type="dxa"/>
              <w:right w:w="57" w:type="dxa"/>
            </w:tcMar>
            <w:vAlign w:val="center"/>
          </w:tcPr>
          <w:p w14:paraId="12C4C0AA">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）紧急操作和动态测试功能有效；</w:t>
            </w:r>
          </w:p>
          <w:p w14:paraId="202980A9">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pacing w:val="-4"/>
                <w:sz w:val="21"/>
                <w:szCs w:val="21"/>
                <w14:textFill>
                  <w14:solidFill>
                    <w14:schemeClr w14:val="tx1"/>
                  </w14:solidFill>
                </w14:textFill>
              </w:rPr>
              <w:t>设有显示装置或者观察窗，以获得轿厢运行方向、速度以及是否到达开锁区域的信息</w:t>
            </w:r>
            <w:r>
              <w:rPr>
                <w:rFonts w:hint="eastAsia" w:hAnsiTheme="minorEastAsia" w:eastAsiaTheme="minorEastAsia"/>
                <w:snapToGrid w:val="0"/>
                <w:color w:val="000000" w:themeColor="text1"/>
                <w:spacing w:val="-4"/>
                <w:sz w:val="21"/>
                <w:szCs w:val="21"/>
                <w14:textFill>
                  <w14:solidFill>
                    <w14:schemeClr w14:val="tx1"/>
                  </w14:solidFill>
                </w14:textFill>
              </w:rPr>
              <w:t>；</w:t>
            </w:r>
          </w:p>
          <w:p w14:paraId="0F298409">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）设有停止装置，除非在其附近</w:t>
            </w:r>
            <w:r>
              <w:rPr>
                <w:rFonts w:eastAsiaTheme="minorEastAsia"/>
                <w:snapToGrid w:val="0"/>
                <w:color w:val="000000" w:themeColor="text1"/>
                <w:sz w:val="21"/>
                <w:szCs w:val="21"/>
                <w14:textFill>
                  <w14:solidFill>
                    <w14:schemeClr w14:val="tx1"/>
                  </w14:solidFill>
                </w14:textFill>
              </w:rPr>
              <w:t>1m</w:t>
            </w:r>
            <w:r>
              <w:rPr>
                <w:rFonts w:hAnsiTheme="minorEastAsia" w:eastAsiaTheme="minorEastAsia"/>
                <w:snapToGrid w:val="0"/>
                <w:color w:val="000000" w:themeColor="text1"/>
                <w:sz w:val="21"/>
                <w:szCs w:val="21"/>
                <w14:textFill>
                  <w14:solidFill>
                    <w14:schemeClr w14:val="tx1"/>
                  </w14:solidFill>
                </w14:textFill>
              </w:rPr>
              <w:t>之内有可以直接接近的主开关或者停止装置</w:t>
            </w:r>
            <w:r>
              <w:rPr>
                <w:rFonts w:hint="eastAsia" w:hAnsiTheme="minorEastAsia" w:eastAsiaTheme="minorEastAsia"/>
                <w:snapToGrid w:val="0"/>
                <w:color w:val="000000" w:themeColor="text1"/>
                <w:sz w:val="21"/>
                <w:szCs w:val="21"/>
                <w14:textFill>
                  <w14:solidFill>
                    <w14:schemeClr w14:val="tx1"/>
                  </w14:solidFill>
                </w14:textFill>
              </w:rPr>
              <w:t>。</w:t>
            </w:r>
          </w:p>
        </w:tc>
        <w:tc>
          <w:tcPr>
            <w:tcW w:w="2805" w:type="dxa"/>
            <w:tcMar>
              <w:top w:w="0" w:type="dxa"/>
              <w:left w:w="57" w:type="dxa"/>
              <w:bottom w:w="0" w:type="dxa"/>
              <w:right w:w="57" w:type="dxa"/>
            </w:tcMar>
            <w:vAlign w:val="center"/>
          </w:tcPr>
          <w:p w14:paraId="12C746FF">
            <w:pPr>
              <w:pStyle w:val="19"/>
              <w:tabs>
                <w:tab w:val="left" w:pos="428"/>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）目测；结合相关试验，验证紧急操作和动态测试装置的功能；</w:t>
            </w:r>
          </w:p>
          <w:p w14:paraId="665B95DB">
            <w:pPr>
              <w:pStyle w:val="19"/>
              <w:tabs>
                <w:tab w:val="left" w:pos="428"/>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）手动试验停止装置的功能，</w:t>
            </w:r>
          </w:p>
        </w:tc>
      </w:tr>
      <w:tr w14:paraId="76088D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734347A8">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2C77D0B">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05770FD1">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*A1.2.3.9</w:t>
            </w:r>
          </w:p>
          <w:p w14:paraId="3111ABC7">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w:t>
            </w:r>
          </w:p>
          <w:p w14:paraId="151BFE59">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报警</w:t>
            </w:r>
          </w:p>
          <w:p w14:paraId="7E6CC24A">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p w14:paraId="1E77659C">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（对讲</w:t>
            </w:r>
          </w:p>
          <w:p w14:paraId="72C0CCF0">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系统）</w:t>
            </w:r>
          </w:p>
        </w:tc>
        <w:tc>
          <w:tcPr>
            <w:tcW w:w="4297" w:type="dxa"/>
            <w:tcMar>
              <w:top w:w="0" w:type="dxa"/>
              <w:left w:w="57" w:type="dxa"/>
              <w:bottom w:w="0" w:type="dxa"/>
              <w:right w:w="57" w:type="dxa"/>
            </w:tcMar>
            <w:vAlign w:val="center"/>
          </w:tcPr>
          <w:p w14:paraId="12C5CDA1">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）轿厢内的紧急报警装置采用由应急电源供电的双向对讲系统与救援服务持续联系；如果电梯行程大于</w:t>
            </w:r>
            <w:r>
              <w:rPr>
                <w:rFonts w:eastAsiaTheme="minorEastAsia"/>
                <w:snapToGrid w:val="0"/>
                <w:color w:val="000000" w:themeColor="text1"/>
                <w:sz w:val="21"/>
                <w:szCs w:val="21"/>
                <w14:textFill>
                  <w14:solidFill>
                    <w14:schemeClr w14:val="tx1"/>
                  </w14:solidFill>
                </w14:textFill>
              </w:rPr>
              <w:t>30m</w:t>
            </w:r>
            <w:r>
              <w:rPr>
                <w:rFonts w:hAnsiTheme="minorEastAsia" w:eastAsiaTheme="minorEastAsia"/>
                <w:snapToGrid w:val="0"/>
                <w:color w:val="000000" w:themeColor="text1"/>
                <w:sz w:val="21"/>
                <w:szCs w:val="21"/>
                <w14:textFill>
                  <w14:solidFill>
                    <w14:schemeClr w14:val="tx1"/>
                  </w14:solidFill>
                </w14:textFill>
              </w:rPr>
              <w:t>或者轿厢内与进行紧急操作处之间无法直接对话，则在轿厢内和进行紧急操作处设置由应急电源供电的双向对讲系统或者类似装置；</w:t>
            </w:r>
          </w:p>
          <w:p w14:paraId="2DB5619D">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）对于消防员电梯，还设有在优先召回和消防服务阶段用于轿厢和消防员入口层之间、轿厢</w:t>
            </w:r>
            <w:r>
              <w:rPr>
                <w:rFonts w:hAnsiTheme="minorEastAsia" w:eastAsiaTheme="minorEastAsia"/>
                <w:snapToGrid w:val="0"/>
                <w:color w:val="000000" w:themeColor="text1"/>
                <w:spacing w:val="-4"/>
                <w:sz w:val="21"/>
                <w:szCs w:val="21"/>
                <w14:textFill>
                  <w14:solidFill>
                    <w14:schemeClr w14:val="tx1"/>
                  </w14:solidFill>
                </w14:textFill>
              </w:rPr>
              <w:t>和机房或者紧急和测试操作屏之间的双向对讲系统或者类似装置，并且无需按压控制按钮即可实现轿厢和消防员入口层之间的通信。</w:t>
            </w:r>
          </w:p>
        </w:tc>
        <w:tc>
          <w:tcPr>
            <w:tcW w:w="2805" w:type="dxa"/>
            <w:tcMar>
              <w:top w:w="0" w:type="dxa"/>
              <w:left w:w="57" w:type="dxa"/>
              <w:bottom w:w="0" w:type="dxa"/>
              <w:right w:w="57" w:type="dxa"/>
            </w:tcMar>
            <w:vAlign w:val="center"/>
          </w:tcPr>
          <w:p w14:paraId="79529635">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）接通和断开紧急报警装置的正常供电电源，分别验证紧急报警装置的功能；</w:t>
            </w:r>
          </w:p>
          <w:p w14:paraId="4428197A">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）通话试验。</w:t>
            </w:r>
          </w:p>
        </w:tc>
      </w:tr>
      <w:tr w14:paraId="6DD8D3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6E6BDDFE">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7B443DEE">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1544EA6E">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A1.2.3.10</w:t>
            </w:r>
          </w:p>
          <w:p w14:paraId="76C1BF83">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防爆</w:t>
            </w:r>
          </w:p>
          <w:p w14:paraId="2DAA2943">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w:t>
            </w:r>
          </w:p>
          <w:p w14:paraId="64A92862">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部件</w:t>
            </w:r>
          </w:p>
        </w:tc>
        <w:tc>
          <w:tcPr>
            <w:tcW w:w="4297" w:type="dxa"/>
            <w:tcMar>
              <w:top w:w="0" w:type="dxa"/>
              <w:left w:w="57" w:type="dxa"/>
              <w:bottom w:w="0" w:type="dxa"/>
              <w:right w:w="57" w:type="dxa"/>
            </w:tcMar>
            <w:vAlign w:val="center"/>
          </w:tcPr>
          <w:p w14:paraId="1D6761CD">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）外壳光滑、无损伤，透明件无裂纹，接合面紧固严密，相对运动的间隙防尘密封严密，紧固件无锈蚀、缺损，密封垫圈完好；</w:t>
            </w:r>
          </w:p>
          <w:p w14:paraId="2AEA0BC5">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）本质安全型电气部件（控制柜、操纵箱、召唤箱、轿顶检修箱、接线箱盒、旋转编码器等）的本质安全标志、无电气联锁隔爆型电气部件的</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断电后开盖</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警告标识清晰；</w:t>
            </w:r>
          </w:p>
          <w:p w14:paraId="2B2FA392">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）隔爆型电气部件的隔爆面无锈蚀层、机械伤痕和刷漆现象；</w:t>
            </w:r>
          </w:p>
          <w:p w14:paraId="0ED33045">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）浇封型电气部件的浇封表面无裂缝、剥落、被浇封部分外露现象；</w:t>
            </w:r>
          </w:p>
          <w:p w14:paraId="2F32DED7">
            <w:pPr>
              <w:pStyle w:val="19"/>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5</w:t>
            </w:r>
            <w:r>
              <w:rPr>
                <w:rFonts w:hAnsiTheme="minorEastAsia" w:eastAsiaTheme="minorEastAsia"/>
                <w:snapToGrid w:val="0"/>
                <w:color w:val="000000" w:themeColor="text1"/>
                <w:sz w:val="21"/>
                <w:szCs w:val="21"/>
                <w14:textFill>
                  <w14:solidFill>
                    <w14:schemeClr w14:val="tx1"/>
                  </w14:solidFill>
                </w14:textFill>
              </w:rPr>
              <w:t>）油浸型电气部件密封良好，无渗漏油，油位高度在规定范围内；外壳、电气和机械连接所用的螺栓、螺母以及注油、排油的螺栓塞等具有防松措施。</w:t>
            </w:r>
          </w:p>
        </w:tc>
        <w:tc>
          <w:tcPr>
            <w:tcW w:w="2805" w:type="dxa"/>
            <w:tcMar>
              <w:top w:w="0" w:type="dxa"/>
              <w:left w:w="57" w:type="dxa"/>
              <w:bottom w:w="0" w:type="dxa"/>
              <w:right w:w="57" w:type="dxa"/>
            </w:tcMar>
            <w:vAlign w:val="center"/>
          </w:tcPr>
          <w:p w14:paraId="7441CC79">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p>
        </w:tc>
      </w:tr>
      <w:tr w14:paraId="511D8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75" w:hRule="atLeast"/>
          <w:jc w:val="center"/>
        </w:trPr>
        <w:tc>
          <w:tcPr>
            <w:tcW w:w="481" w:type="dxa"/>
            <w:vMerge w:val="continue"/>
            <w:tcMar>
              <w:top w:w="0" w:type="dxa"/>
              <w:left w:w="57" w:type="dxa"/>
              <w:bottom w:w="0" w:type="dxa"/>
              <w:right w:w="57" w:type="dxa"/>
            </w:tcMar>
            <w:vAlign w:val="center"/>
          </w:tcPr>
          <w:p w14:paraId="517C195E">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37F60FF3">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5E7672F5">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A1.2.3.11</w:t>
            </w:r>
          </w:p>
          <w:p w14:paraId="0BA264C7">
            <w:pPr>
              <w:pStyle w:val="19"/>
              <w:adjustRightInd/>
              <w:spacing w:line="32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防爆</w:t>
            </w:r>
          </w:p>
          <w:p w14:paraId="4BE80628">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电缆</w:t>
            </w:r>
          </w:p>
        </w:tc>
        <w:tc>
          <w:tcPr>
            <w:tcW w:w="4297" w:type="dxa"/>
            <w:tcMar>
              <w:top w:w="0" w:type="dxa"/>
              <w:left w:w="57" w:type="dxa"/>
              <w:bottom w:w="0" w:type="dxa"/>
              <w:right w:w="57" w:type="dxa"/>
            </w:tcMar>
            <w:vAlign w:val="center"/>
          </w:tcPr>
          <w:p w14:paraId="4F0EB4DC">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）电缆上易发生机械损伤的部位采取保护措施完好；</w:t>
            </w:r>
          </w:p>
          <w:p w14:paraId="13D364BF">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）本质安全电路的电缆或者电线以及防护套管在进出位置设置的浅蓝色标识清晰完好；</w:t>
            </w:r>
          </w:p>
          <w:p w14:paraId="7DCF0B01">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）非本质安全型防爆电气部件的电缆引入装置能够夹紧电缆，其密封措施（弹性密封圈或者填料）完好；</w:t>
            </w:r>
          </w:p>
          <w:p w14:paraId="79CFB167">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）用于封堵非本质安全型防爆电气部件外壳上多余的电缆引入孔的封堵件完好。</w:t>
            </w:r>
          </w:p>
        </w:tc>
        <w:tc>
          <w:tcPr>
            <w:tcW w:w="2805" w:type="dxa"/>
            <w:tcMar>
              <w:top w:w="0" w:type="dxa"/>
              <w:left w:w="57" w:type="dxa"/>
              <w:bottom w:w="0" w:type="dxa"/>
              <w:right w:w="57" w:type="dxa"/>
            </w:tcMar>
            <w:vAlign w:val="center"/>
          </w:tcPr>
          <w:p w14:paraId="0BF2367F">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7E6A60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7" w:hRule="atLeast"/>
          <w:jc w:val="center"/>
        </w:trPr>
        <w:tc>
          <w:tcPr>
            <w:tcW w:w="481" w:type="dxa"/>
            <w:vMerge w:val="restart"/>
            <w:tcMar>
              <w:top w:w="0" w:type="dxa"/>
              <w:left w:w="57" w:type="dxa"/>
              <w:bottom w:w="0" w:type="dxa"/>
              <w:right w:w="57" w:type="dxa"/>
            </w:tcMar>
            <w:vAlign w:val="center"/>
          </w:tcPr>
          <w:p w14:paraId="75AB7E38">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64E1374E">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25F1F7D1">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w:t>
            </w:r>
          </w:p>
          <w:p w14:paraId="435C64F3">
            <w:pPr>
              <w:pStyle w:val="19"/>
              <w:spacing w:line="280" w:lineRule="exact"/>
              <w:jc w:val="center"/>
              <w:rPr>
                <w:rFonts w:eastAsiaTheme="minorEastAsia"/>
                <w:snapToGrid w:val="0"/>
                <w:color w:val="000000" w:themeColor="text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电气设备（装置）及控制）</w:t>
            </w:r>
          </w:p>
        </w:tc>
        <w:tc>
          <w:tcPr>
            <w:tcW w:w="857" w:type="dxa"/>
            <w:tcMar>
              <w:top w:w="0" w:type="dxa"/>
              <w:left w:w="57" w:type="dxa"/>
              <w:bottom w:w="0" w:type="dxa"/>
              <w:right w:w="57" w:type="dxa"/>
            </w:tcMar>
            <w:vAlign w:val="center"/>
          </w:tcPr>
          <w:p w14:paraId="71C7FECF">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*A1.2.3.12</w:t>
            </w:r>
          </w:p>
          <w:p w14:paraId="324C4D20">
            <w:pPr>
              <w:pStyle w:val="19"/>
              <w:adjustRightInd/>
              <w:spacing w:line="280" w:lineRule="exact"/>
              <w:ind w:left="-57" w:right="-57"/>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优先</w:t>
            </w:r>
          </w:p>
          <w:p w14:paraId="1354A2FF">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召回</w:t>
            </w:r>
          </w:p>
        </w:tc>
        <w:tc>
          <w:tcPr>
            <w:tcW w:w="4297" w:type="dxa"/>
            <w:tcMar>
              <w:top w:w="0" w:type="dxa"/>
              <w:left w:w="57" w:type="dxa"/>
              <w:bottom w:w="0" w:type="dxa"/>
              <w:right w:w="57" w:type="dxa"/>
            </w:tcMar>
            <w:vAlign w:val="center"/>
          </w:tcPr>
          <w:p w14:paraId="60548C00">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检查当消防员电梯进入优先召回阶段后，是否符合以下要求：</w:t>
            </w:r>
          </w:p>
          <w:p w14:paraId="033D1DEF">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）层站控制和轿内控制以及受热、烟影响的门再开启保护装置均无效，已登记的呼叫均被取消，但开门和紧急报警按钮以及开门超时报警装置均保持有效；</w:t>
            </w:r>
          </w:p>
          <w:p w14:paraId="228ACBF0">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）轿厢内的听觉信号鸣响，直至门关闭；</w:t>
            </w:r>
          </w:p>
          <w:p w14:paraId="4C21684B">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）电梯脱离群组独立运行；</w:t>
            </w:r>
          </w:p>
          <w:p w14:paraId="37041C81">
            <w:pPr>
              <w:pStyle w:val="19"/>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正在离开消防员入口层的消防员电梯，在可以正常停站的就近楼层做一次停站不开门，然后返回到消防员入口层；正在驶向消防员入口层的消防员电梯，向消防员入口层不停站继续运行，如果已经开始停站，消防员电梯可在正常停站后不开门继续向消防员入口层运</w:t>
            </w:r>
            <w:r>
              <w:rPr>
                <w:rFonts w:hAnsiTheme="minorEastAsia" w:eastAsiaTheme="minorEastAsia"/>
                <w:snapToGrid w:val="0"/>
                <w:color w:val="000000" w:themeColor="text1"/>
                <w:spacing w:val="-4"/>
                <w:sz w:val="21"/>
                <w:szCs w:val="21"/>
                <w14:textFill>
                  <w14:solidFill>
                    <w14:schemeClr w14:val="tx1"/>
                  </w14:solidFill>
                </w14:textFill>
              </w:rPr>
              <w:t>行；到达后，停靠在该层，设置有消防员电梯开关一侧的轿门和层门保持在完全打开位置。</w:t>
            </w:r>
          </w:p>
        </w:tc>
        <w:tc>
          <w:tcPr>
            <w:tcW w:w="2805" w:type="dxa"/>
            <w:tcMar>
              <w:top w:w="0" w:type="dxa"/>
              <w:left w:w="57" w:type="dxa"/>
              <w:bottom w:w="0" w:type="dxa"/>
              <w:right w:w="57" w:type="dxa"/>
            </w:tcMar>
            <w:vAlign w:val="center"/>
          </w:tcPr>
          <w:p w14:paraId="587D7107">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功能试验。</w:t>
            </w:r>
          </w:p>
        </w:tc>
      </w:tr>
      <w:tr w14:paraId="0F8FD1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19" w:hRule="atLeast"/>
          <w:jc w:val="center"/>
        </w:trPr>
        <w:tc>
          <w:tcPr>
            <w:tcW w:w="481" w:type="dxa"/>
            <w:vMerge w:val="continue"/>
            <w:tcMar>
              <w:top w:w="0" w:type="dxa"/>
              <w:left w:w="57" w:type="dxa"/>
              <w:bottom w:w="0" w:type="dxa"/>
              <w:right w:w="57" w:type="dxa"/>
            </w:tcMar>
            <w:vAlign w:val="center"/>
          </w:tcPr>
          <w:p w14:paraId="16EFE165">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0F81F8D9">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0E7B0B0E">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*A1.2.3.13</w:t>
            </w:r>
          </w:p>
          <w:p w14:paraId="09817FF4">
            <w:pPr>
              <w:pStyle w:val="19"/>
              <w:widowControl/>
              <w:adjustRightInd/>
              <w:spacing w:line="28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消防</w:t>
            </w:r>
          </w:p>
          <w:p w14:paraId="481B6DED">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服务</w:t>
            </w:r>
          </w:p>
        </w:tc>
        <w:tc>
          <w:tcPr>
            <w:tcW w:w="4297" w:type="dxa"/>
            <w:tcMar>
              <w:top w:w="0" w:type="dxa"/>
              <w:left w:w="57" w:type="dxa"/>
              <w:bottom w:w="0" w:type="dxa"/>
              <w:right w:w="57" w:type="dxa"/>
            </w:tcMar>
            <w:vAlign w:val="center"/>
          </w:tcPr>
          <w:p w14:paraId="18AB757E">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检查在消防员控制下使用消防员电梯时，是否符合以下要求：</w:t>
            </w:r>
          </w:p>
          <w:p w14:paraId="4ED2C141">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）持续按压轿厢内选层按钮或者关门按钮，使门关闭，在门完全关闭前，如果释放按钮，门能够自动再打开；如果轿厢停靠在层站，仅能通过持续按压轿厢内开门按钮控制门打开，如果在距离门完全打开不超过</w:t>
            </w:r>
            <w:r>
              <w:rPr>
                <w:rFonts w:eastAsiaTheme="minorEastAsia"/>
                <w:snapToGrid w:val="0"/>
                <w:color w:val="000000" w:themeColor="text1"/>
                <w:sz w:val="21"/>
                <w:szCs w:val="21"/>
                <w14:textFill>
                  <w14:solidFill>
                    <w14:schemeClr w14:val="tx1"/>
                  </w14:solidFill>
                </w14:textFill>
              </w:rPr>
              <w:t>50mm</w:t>
            </w:r>
            <w:r>
              <w:rPr>
                <w:rFonts w:hAnsiTheme="minorEastAsia" w:eastAsiaTheme="minorEastAsia"/>
                <w:snapToGrid w:val="0"/>
                <w:color w:val="000000" w:themeColor="text1"/>
                <w:sz w:val="21"/>
                <w:szCs w:val="21"/>
                <w14:textFill>
                  <w14:solidFill>
                    <w14:schemeClr w14:val="tx1"/>
                  </w14:solidFill>
                </w14:textFill>
              </w:rPr>
              <w:t>之前释放轿厢内开门按钮，门自动再关闭；</w:t>
            </w:r>
          </w:p>
          <w:p w14:paraId="06117F41">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）轿厢内选层指令每次只能登记一个，已登记的轿厢内指令显示在轿厢内控制装置上；登记一个新的轿厢内选层指令时，原来的指令被取消，并且在最短的时间内运行到新登记的层站；</w:t>
            </w:r>
          </w:p>
          <w:p w14:paraId="43FD7BA6">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）供电电源有效时，在轿厢内和消防员入口层均显示出轿厢的位置；</w:t>
            </w:r>
          </w:p>
          <w:p w14:paraId="28F63B6B">
            <w:pPr>
              <w:pStyle w:val="19"/>
              <w:widowControl/>
              <w:tabs>
                <w:tab w:val="left" w:pos="433"/>
              </w:tabs>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）受热、烟影响的门再开启保护装置无效，但</w:t>
            </w:r>
            <w:r>
              <w:rPr>
                <w:rFonts w:hAnsiTheme="minorEastAsia" w:eastAsiaTheme="minorEastAsia"/>
                <w:snapToGrid w:val="0"/>
                <w:color w:val="000000" w:themeColor="text1"/>
                <w:spacing w:val="-4"/>
                <w:sz w:val="21"/>
                <w:szCs w:val="21"/>
                <w14:textFill>
                  <w14:solidFill>
                    <w14:schemeClr w14:val="tx1"/>
                  </w14:solidFill>
                </w14:textFill>
              </w:rPr>
              <w:t>是轿门重开门功能和开门按钮保持有效状态。</w:t>
            </w:r>
          </w:p>
        </w:tc>
        <w:tc>
          <w:tcPr>
            <w:tcW w:w="2805" w:type="dxa"/>
            <w:tcMar>
              <w:top w:w="0" w:type="dxa"/>
              <w:left w:w="57" w:type="dxa"/>
              <w:bottom w:w="0" w:type="dxa"/>
              <w:right w:w="57" w:type="dxa"/>
            </w:tcMar>
            <w:vAlign w:val="center"/>
          </w:tcPr>
          <w:p w14:paraId="2B0FF87A">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功能试验。</w:t>
            </w:r>
          </w:p>
        </w:tc>
      </w:tr>
      <w:tr w14:paraId="778BD9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49D39A47">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15D259B1">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34BFD0DD">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*A1.2.3.14</w:t>
            </w:r>
          </w:p>
          <w:p w14:paraId="662CF6A5">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恢复正常服务</w:t>
            </w:r>
          </w:p>
        </w:tc>
        <w:tc>
          <w:tcPr>
            <w:tcW w:w="4297" w:type="dxa"/>
            <w:tcMar>
              <w:top w:w="0" w:type="dxa"/>
              <w:left w:w="57" w:type="dxa"/>
              <w:bottom w:w="0" w:type="dxa"/>
              <w:right w:w="57" w:type="dxa"/>
            </w:tcMar>
            <w:vAlign w:val="center"/>
          </w:tcPr>
          <w:p w14:paraId="2AE8C339">
            <w:pPr>
              <w:pStyle w:val="19"/>
              <w:widowControl/>
              <w:spacing w:before="1" w:line="280" w:lineRule="exact"/>
              <w:ind w:left="11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检查是否只有当消防员电梯开关被转换到位置</w:t>
            </w:r>
            <w:r>
              <w:rPr>
                <w:rFonts w:eastAsiaTheme="minorEastAsia"/>
                <w:snapToGrid w:val="0"/>
                <w:color w:val="000000" w:themeColor="text1"/>
                <w:sz w:val="21"/>
                <w:szCs w:val="21"/>
                <w14:textFill>
                  <w14:solidFill>
                    <w14:schemeClr w14:val="tx1"/>
                  </w14:solidFill>
                </w14:textFill>
              </w:rPr>
              <w:t>“0”</w:t>
            </w:r>
            <w:r>
              <w:rPr>
                <w:rFonts w:hAnsiTheme="minorEastAsia" w:eastAsiaTheme="minorEastAsia"/>
                <w:snapToGrid w:val="0"/>
                <w:color w:val="000000" w:themeColor="text1"/>
                <w:sz w:val="21"/>
                <w:szCs w:val="21"/>
                <w14:textFill>
                  <w14:solidFill>
                    <w14:schemeClr w14:val="tx1"/>
                  </w14:solidFill>
                </w14:textFill>
              </w:rPr>
              <w:t>，并且电梯已回到消防员入口层时，消防员电梯才能恢复到正常服务状态。</w:t>
            </w:r>
          </w:p>
        </w:tc>
        <w:tc>
          <w:tcPr>
            <w:tcW w:w="2805" w:type="dxa"/>
            <w:tcMar>
              <w:top w:w="0" w:type="dxa"/>
              <w:left w:w="57" w:type="dxa"/>
              <w:bottom w:w="0" w:type="dxa"/>
              <w:right w:w="57" w:type="dxa"/>
            </w:tcMar>
            <w:vAlign w:val="center"/>
          </w:tcPr>
          <w:p w14:paraId="32B01227">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功能试验。</w:t>
            </w:r>
          </w:p>
        </w:tc>
      </w:tr>
      <w:tr w14:paraId="0A48EF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2286A936">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507503E">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66EC2894">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*A1.2.3.15</w:t>
            </w:r>
          </w:p>
          <w:p w14:paraId="7CB92923">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再次优先召回</w:t>
            </w:r>
          </w:p>
        </w:tc>
        <w:tc>
          <w:tcPr>
            <w:tcW w:w="4297" w:type="dxa"/>
            <w:tcMar>
              <w:top w:w="0" w:type="dxa"/>
              <w:left w:w="57" w:type="dxa"/>
              <w:bottom w:w="0" w:type="dxa"/>
              <w:right w:w="57" w:type="dxa"/>
            </w:tcMar>
            <w:vAlign w:val="center"/>
          </w:tcPr>
          <w:p w14:paraId="218DC4D4">
            <w:pPr>
              <w:pStyle w:val="19"/>
              <w:widowControl/>
              <w:spacing w:before="1" w:line="280" w:lineRule="exact"/>
              <w:ind w:left="115"/>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检查是否只有当操作消防员电梯开关从位置</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到</w:t>
            </w:r>
            <w:r>
              <w:rPr>
                <w:rFonts w:eastAsiaTheme="minorEastAsia"/>
                <w:snapToGrid w:val="0"/>
                <w:color w:val="000000" w:themeColor="text1"/>
                <w:sz w:val="21"/>
                <w:szCs w:val="21"/>
                <w14:textFill>
                  <w14:solidFill>
                    <w14:schemeClr w14:val="tx1"/>
                  </w14:solidFill>
                </w14:textFill>
              </w:rPr>
              <w:t>“0”</w:t>
            </w:r>
            <w:r>
              <w:rPr>
                <w:rFonts w:hAnsiTheme="minorEastAsia" w:eastAsiaTheme="minorEastAsia"/>
                <w:snapToGrid w:val="0"/>
                <w:color w:val="000000" w:themeColor="text1"/>
                <w:sz w:val="21"/>
                <w:szCs w:val="21"/>
                <w14:textFill>
                  <w14:solidFill>
                    <w14:schemeClr w14:val="tx1"/>
                  </w14:solidFill>
                </w14:textFill>
              </w:rPr>
              <w:t>，保持至少</w:t>
            </w:r>
            <w:r>
              <w:rPr>
                <w:rFonts w:eastAsiaTheme="minorEastAsia"/>
                <w:snapToGrid w:val="0"/>
                <w:color w:val="000000" w:themeColor="text1"/>
                <w:sz w:val="21"/>
                <w:szCs w:val="21"/>
                <w14:textFill>
                  <w14:solidFill>
                    <w14:schemeClr w14:val="tx1"/>
                  </w14:solidFill>
                </w14:textFill>
              </w:rPr>
              <w:t>5s</w:t>
            </w:r>
            <w:r>
              <w:rPr>
                <w:rFonts w:hAnsiTheme="minorEastAsia" w:eastAsiaTheme="minorEastAsia"/>
                <w:snapToGrid w:val="0"/>
                <w:color w:val="000000" w:themeColor="text1"/>
                <w:sz w:val="21"/>
                <w:szCs w:val="21"/>
                <w14:textFill>
                  <w14:solidFill>
                    <w14:schemeClr w14:val="tx1"/>
                  </w14:solidFill>
                </w14:textFill>
              </w:rPr>
              <w:t>，再回到</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时，消防员电梯才能重新处于优先召回阶段，并且返回到消防员入口层。</w:t>
            </w:r>
          </w:p>
          <w:p w14:paraId="74AF52A2">
            <w:pPr>
              <w:pStyle w:val="19"/>
              <w:widowControl/>
              <w:spacing w:before="1" w:line="280" w:lineRule="exact"/>
              <w:ind w:left="11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A1-3</w:t>
            </w:r>
            <w:r>
              <w:rPr>
                <w:rFonts w:hAnsiTheme="minorEastAsia" w:eastAsiaTheme="minorEastAsia"/>
                <w:snapToGrid w:val="0"/>
                <w:color w:val="000000" w:themeColor="text1"/>
                <w:sz w:val="21"/>
                <w:szCs w:val="21"/>
                <w14:textFill>
                  <w14:solidFill>
                    <w14:schemeClr w14:val="tx1"/>
                  </w14:solidFill>
                </w14:textFill>
              </w:rPr>
              <w:t>：本条不适用于设置轿厢内消防员钥匙开关的消防员电梯。</w:t>
            </w:r>
          </w:p>
        </w:tc>
        <w:tc>
          <w:tcPr>
            <w:tcW w:w="2805" w:type="dxa"/>
            <w:tcMar>
              <w:top w:w="0" w:type="dxa"/>
              <w:left w:w="57" w:type="dxa"/>
              <w:bottom w:w="0" w:type="dxa"/>
              <w:right w:w="57" w:type="dxa"/>
            </w:tcMar>
            <w:vAlign w:val="center"/>
          </w:tcPr>
          <w:p w14:paraId="6134B7BA">
            <w:pPr>
              <w:pStyle w:val="19"/>
              <w:widowControl/>
              <w:spacing w:before="1" w:line="32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功能试验。</w:t>
            </w:r>
          </w:p>
        </w:tc>
      </w:tr>
      <w:tr w14:paraId="401482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restart"/>
            <w:tcMar>
              <w:top w:w="0" w:type="dxa"/>
              <w:left w:w="57" w:type="dxa"/>
              <w:bottom w:w="0" w:type="dxa"/>
              <w:right w:w="57" w:type="dxa"/>
            </w:tcMar>
            <w:vAlign w:val="center"/>
          </w:tcPr>
          <w:p w14:paraId="0CC51808">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38B80AE3">
            <w:pPr>
              <w:pStyle w:val="19"/>
              <w:spacing w:line="32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531C39B7">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w:t>
            </w:r>
          </w:p>
          <w:p w14:paraId="02DBD5D9">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驱动主机</w:t>
            </w:r>
          </w:p>
        </w:tc>
        <w:tc>
          <w:tcPr>
            <w:tcW w:w="857" w:type="dxa"/>
            <w:tcMar>
              <w:top w:w="0" w:type="dxa"/>
              <w:left w:w="57" w:type="dxa"/>
              <w:bottom w:w="0" w:type="dxa"/>
              <w:right w:w="57" w:type="dxa"/>
            </w:tcMar>
            <w:vAlign w:val="center"/>
          </w:tcPr>
          <w:p w14:paraId="2FB8E6E1">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A1.2.4.1</w:t>
            </w:r>
          </w:p>
          <w:p w14:paraId="347DEFED">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驱动主机停止装置</w:t>
            </w:r>
          </w:p>
        </w:tc>
        <w:tc>
          <w:tcPr>
            <w:tcW w:w="4297" w:type="dxa"/>
            <w:tcMar>
              <w:top w:w="0" w:type="dxa"/>
              <w:left w:w="57" w:type="dxa"/>
              <w:bottom w:w="0" w:type="dxa"/>
              <w:right w:w="57" w:type="dxa"/>
            </w:tcMar>
            <w:vAlign w:val="center"/>
          </w:tcPr>
          <w:p w14:paraId="1FE6D11F">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检查在驱动主机附近</w:t>
            </w:r>
            <w:r>
              <w:rPr>
                <w:rFonts w:eastAsiaTheme="minorEastAsia"/>
                <w:snapToGrid w:val="0"/>
                <w:color w:val="000000" w:themeColor="text1"/>
                <w:sz w:val="21"/>
                <w:szCs w:val="21"/>
                <w14:textFill>
                  <w14:solidFill>
                    <w14:schemeClr w14:val="tx1"/>
                  </w14:solidFill>
                </w14:textFill>
              </w:rPr>
              <w:t>1m</w:t>
            </w:r>
            <w:r>
              <w:rPr>
                <w:rFonts w:hAnsiTheme="minorEastAsia" w:eastAsiaTheme="minorEastAsia"/>
                <w:snapToGrid w:val="0"/>
                <w:color w:val="000000" w:themeColor="text1"/>
                <w:sz w:val="21"/>
                <w:szCs w:val="21"/>
                <w14:textFill>
                  <w14:solidFill>
                    <w14:schemeClr w14:val="tx1"/>
                  </w14:solidFill>
                </w14:textFill>
              </w:rPr>
              <w:t>之内是否设有可以直接接近的主开关或者停止装置，并且功能有效。</w:t>
            </w:r>
          </w:p>
        </w:tc>
        <w:tc>
          <w:tcPr>
            <w:tcW w:w="2805" w:type="dxa"/>
            <w:tcMar>
              <w:top w:w="0" w:type="dxa"/>
              <w:left w:w="57" w:type="dxa"/>
              <w:bottom w:w="0" w:type="dxa"/>
              <w:right w:w="57" w:type="dxa"/>
            </w:tcMar>
            <w:vAlign w:val="center"/>
          </w:tcPr>
          <w:p w14:paraId="1F05B5AB">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目测；手动试验停止装置的功能。</w:t>
            </w:r>
          </w:p>
        </w:tc>
      </w:tr>
      <w:tr w14:paraId="1FDA9C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2B37BF6A">
            <w:pPr>
              <w:pStyle w:val="19"/>
              <w:spacing w:line="320" w:lineRule="exact"/>
              <w:ind w:left="-57" w:right="-57"/>
              <w:jc w:val="center"/>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53713F32">
            <w:pPr>
              <w:pStyle w:val="19"/>
              <w:spacing w:line="320" w:lineRule="exact"/>
              <w:jc w:val="center"/>
              <w:rPr>
                <w:rFonts w:eastAsiaTheme="minorEastAsia"/>
                <w:snapToGrid w:val="0"/>
                <w:color w:val="000000" w:themeColor="text1"/>
                <w:szCs w:val="21"/>
                <w14:textFill>
                  <w14:solidFill>
                    <w14:schemeClr w14:val="tx1"/>
                  </w14:solidFill>
                </w14:textFill>
              </w:rPr>
            </w:pPr>
          </w:p>
        </w:tc>
        <w:tc>
          <w:tcPr>
            <w:tcW w:w="857" w:type="dxa"/>
            <w:tcMar>
              <w:top w:w="0" w:type="dxa"/>
              <w:left w:w="57" w:type="dxa"/>
              <w:bottom w:w="0" w:type="dxa"/>
              <w:right w:w="57" w:type="dxa"/>
            </w:tcMar>
            <w:vAlign w:val="center"/>
          </w:tcPr>
          <w:p w14:paraId="376CD4CD">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A1.2.4.2</w:t>
            </w:r>
          </w:p>
          <w:p w14:paraId="470E743F">
            <w:pPr>
              <w:pStyle w:val="19"/>
              <w:widowControl/>
              <w:adjustRightInd/>
              <w:spacing w:line="28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曳引轮绳槽</w:t>
            </w:r>
          </w:p>
          <w:p w14:paraId="6EE107E9">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（带槽）</w:t>
            </w:r>
          </w:p>
        </w:tc>
        <w:tc>
          <w:tcPr>
            <w:tcW w:w="4297" w:type="dxa"/>
            <w:tcMar>
              <w:top w:w="0" w:type="dxa"/>
              <w:left w:w="57" w:type="dxa"/>
              <w:bottom w:w="0" w:type="dxa"/>
              <w:right w:w="57" w:type="dxa"/>
            </w:tcMar>
            <w:vAlign w:val="center"/>
          </w:tcPr>
          <w:p w14:paraId="4F264E0B">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检查曳引轮绳槽（带槽）是否无缺损或者不正常磨损。</w:t>
            </w:r>
          </w:p>
        </w:tc>
        <w:tc>
          <w:tcPr>
            <w:tcW w:w="2805" w:type="dxa"/>
            <w:tcMar>
              <w:top w:w="0" w:type="dxa"/>
              <w:left w:w="57" w:type="dxa"/>
              <w:bottom w:w="0" w:type="dxa"/>
              <w:right w:w="57" w:type="dxa"/>
            </w:tcMar>
            <w:vAlign w:val="center"/>
          </w:tcPr>
          <w:p w14:paraId="062B2758">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120D73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18C34843">
            <w:pPr>
              <w:pStyle w:val="19"/>
              <w:spacing w:line="320" w:lineRule="exact"/>
              <w:ind w:left="-57" w:right="-57"/>
              <w:jc w:val="center"/>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3776ED13">
            <w:pPr>
              <w:pStyle w:val="19"/>
              <w:spacing w:line="320" w:lineRule="exact"/>
              <w:jc w:val="center"/>
              <w:rPr>
                <w:rFonts w:eastAsiaTheme="minorEastAsia"/>
                <w:snapToGrid w:val="0"/>
                <w:color w:val="000000" w:themeColor="text1"/>
                <w:szCs w:val="21"/>
                <w14:textFill>
                  <w14:solidFill>
                    <w14:schemeClr w14:val="tx1"/>
                  </w14:solidFill>
                </w14:textFill>
              </w:rPr>
            </w:pPr>
          </w:p>
        </w:tc>
        <w:tc>
          <w:tcPr>
            <w:tcW w:w="857" w:type="dxa"/>
            <w:tcMar>
              <w:top w:w="0" w:type="dxa"/>
              <w:left w:w="57" w:type="dxa"/>
              <w:bottom w:w="0" w:type="dxa"/>
              <w:right w:w="57" w:type="dxa"/>
            </w:tcMar>
            <w:vAlign w:val="center"/>
          </w:tcPr>
          <w:p w14:paraId="56CD197D">
            <w:pPr>
              <w:pStyle w:val="19"/>
              <w:adjustRightInd/>
              <w:spacing w:line="28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*A1.2.4.3</w:t>
            </w:r>
          </w:p>
          <w:p w14:paraId="1DC32B81">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制动器</w:t>
            </w:r>
          </w:p>
        </w:tc>
        <w:tc>
          <w:tcPr>
            <w:tcW w:w="4297" w:type="dxa"/>
            <w:tcMar>
              <w:top w:w="0" w:type="dxa"/>
              <w:left w:w="57" w:type="dxa"/>
              <w:bottom w:w="0" w:type="dxa"/>
              <w:right w:w="57" w:type="dxa"/>
            </w:tcMar>
            <w:vAlign w:val="center"/>
          </w:tcPr>
          <w:p w14:paraId="57F8AA8E">
            <w:pPr>
              <w:pStyle w:val="19"/>
              <w:widowControl/>
              <w:tabs>
                <w:tab w:val="left" w:pos="433"/>
              </w:tabs>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）能够从井道外独立地测试每个制动组；</w:t>
            </w:r>
          </w:p>
          <w:p w14:paraId="38A9DFE0">
            <w:pPr>
              <w:pStyle w:val="19"/>
              <w:widowControl/>
              <w:tabs>
                <w:tab w:val="left" w:pos="433"/>
              </w:tabs>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制动器动作灵活，制动时制动闸瓦（制动钳）紧密、均匀地贴合在制动轮（制动盘）上，电梯运行时制动闸瓦（制动钳）与制动轮（制动盘）不发生摩擦，制动闸瓦（制动钳）以及制动轮（制动盘）工作面上没有油污；</w:t>
            </w:r>
          </w:p>
          <w:p w14:paraId="786C0846">
            <w:pPr>
              <w:pStyle w:val="19"/>
              <w:widowControl/>
              <w:tabs>
                <w:tab w:val="left" w:pos="433"/>
              </w:tabs>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对于需要定期拆解保养的柱塞式电磁铁型式的杠杆鼓式制动器，维护保养单位按照受检电梯制造（改造）单位（该单位已经注销时，按照相应驱动主机的制造单位或者型式试验机构）的要求进行了拆解保养，并且提供了拆解保养过程的视频或者照片等见证资料。</w:t>
            </w:r>
          </w:p>
        </w:tc>
        <w:tc>
          <w:tcPr>
            <w:tcW w:w="2805" w:type="dxa"/>
            <w:tcMar>
              <w:top w:w="0" w:type="dxa"/>
              <w:left w:w="57" w:type="dxa"/>
              <w:bottom w:w="0" w:type="dxa"/>
              <w:right w:w="57" w:type="dxa"/>
            </w:tcMar>
            <w:vAlign w:val="center"/>
          </w:tcPr>
          <w:p w14:paraId="4F1FCA2F">
            <w:pPr>
              <w:pStyle w:val="19"/>
              <w:widowControl/>
              <w:tabs>
                <w:tab w:val="left" w:pos="428"/>
              </w:tabs>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p w14:paraId="5E12B6A4">
            <w:pPr>
              <w:pStyle w:val="19"/>
              <w:widowControl/>
              <w:tabs>
                <w:tab w:val="left" w:pos="428"/>
              </w:tabs>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）目测制动器状况，操作验证是否能够从井道外独立地测试每个制动组（或者按照电梯整机制造单位规定的方法对制动器进行检查）；</w:t>
            </w:r>
          </w:p>
          <w:p w14:paraId="201D0314">
            <w:pPr>
              <w:pStyle w:val="19"/>
              <w:widowControl/>
              <w:tabs>
                <w:tab w:val="left" w:pos="428"/>
              </w:tabs>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）对于需要定期拆解保养的柱塞式电磁铁型式的杠杆鼓式制动器，查看维保单位拆解保养过程的视频或者照片等见证资料</w:t>
            </w:r>
          </w:p>
          <w:p w14:paraId="44A2E9BB">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（视频或者照片中应有拍摄日期和证明该制动器的唯一性标识）</w:t>
            </w:r>
          </w:p>
        </w:tc>
      </w:tr>
      <w:tr w14:paraId="377041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51E7EFCF">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08EE67DC">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58AB6BDF">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A1.2.4.4</w:t>
            </w:r>
          </w:p>
          <w:p w14:paraId="3A883765">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溢流阀工作</w:t>
            </w:r>
          </w:p>
          <w:p w14:paraId="05D3D62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压力</w:t>
            </w:r>
          </w:p>
        </w:tc>
        <w:tc>
          <w:tcPr>
            <w:tcW w:w="4297" w:type="dxa"/>
            <w:tcMar>
              <w:top w:w="0" w:type="dxa"/>
              <w:left w:w="57" w:type="dxa"/>
              <w:bottom w:w="0" w:type="dxa"/>
              <w:right w:w="57" w:type="dxa"/>
            </w:tcMar>
            <w:vAlign w:val="center"/>
          </w:tcPr>
          <w:p w14:paraId="784BF2BE">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检查通常情况下溢流阀的调定工作压力是否不超过满载工作压力的</w:t>
            </w:r>
            <w:r>
              <w:rPr>
                <w:rFonts w:eastAsiaTheme="minorEastAsia"/>
                <w:snapToGrid w:val="0"/>
                <w:color w:val="000000" w:themeColor="text1"/>
                <w:sz w:val="21"/>
                <w:szCs w:val="21"/>
                <w14:textFill>
                  <w14:solidFill>
                    <w14:schemeClr w14:val="tx1"/>
                  </w14:solidFill>
                </w14:textFill>
              </w:rPr>
              <w:t>140%</w:t>
            </w:r>
            <w:r>
              <w:rPr>
                <w:rFonts w:hAnsiTheme="minorEastAsia" w:eastAsiaTheme="minorEastAsia"/>
                <w:snapToGrid w:val="0"/>
                <w:color w:val="000000" w:themeColor="text1"/>
                <w:sz w:val="21"/>
                <w:szCs w:val="21"/>
                <w14:textFill>
                  <w14:solidFill>
                    <w14:schemeClr w14:val="tx1"/>
                  </w14:solidFill>
                </w14:textFill>
              </w:rPr>
              <w:t>，最大不高于满载压力的</w:t>
            </w:r>
            <w:r>
              <w:rPr>
                <w:rFonts w:eastAsiaTheme="minorEastAsia"/>
                <w:snapToGrid w:val="0"/>
                <w:color w:val="000000" w:themeColor="text1"/>
                <w:sz w:val="21"/>
                <w:szCs w:val="21"/>
                <w14:textFill>
                  <w14:solidFill>
                    <w14:schemeClr w14:val="tx1"/>
                  </w14:solidFill>
                </w14:textFill>
              </w:rPr>
              <w:t>170</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在此情况下需提供相应的液压管路（包括液压缸）计算说明</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p>
        </w:tc>
        <w:tc>
          <w:tcPr>
            <w:tcW w:w="2805" w:type="dxa"/>
            <w:tcMar>
              <w:top w:w="0" w:type="dxa"/>
              <w:left w:w="57" w:type="dxa"/>
              <w:bottom w:w="0" w:type="dxa"/>
              <w:right w:w="57" w:type="dxa"/>
            </w:tcMar>
            <w:vAlign w:val="center"/>
          </w:tcPr>
          <w:p w14:paraId="6AD57FCC">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模拟操作试验。</w:t>
            </w:r>
          </w:p>
          <w:p w14:paraId="69D7142E">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随机资料或满载试验查出系统的满负荷压力值，在机房将截止阀关闭，检修点动上行，让液压泵站系统压力缓慢上升，当设备上压力表的压力值不再上升时，压力表显示压力值即为溢流阀的工作压力值。判断该值是否符合要求</w:t>
            </w:r>
            <w:r>
              <w:rPr>
                <w:rFonts w:hint="eastAsia" w:eastAsiaTheme="minorEastAsia"/>
                <w:snapToGrid w:val="0"/>
                <w:color w:val="000000" w:themeColor="text1"/>
                <w:sz w:val="21"/>
                <w:szCs w:val="21"/>
                <w14:textFill>
                  <w14:solidFill>
                    <w14:schemeClr w14:val="tx1"/>
                  </w14:solidFill>
                </w14:textFill>
              </w:rPr>
              <w:t>。</w:t>
            </w:r>
          </w:p>
          <w:p w14:paraId="12C66FEA">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p>
          <w:p w14:paraId="45B8765D">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）试验过程中，如果压力表显示的压力值达到规定值后还继续上升，应当停止该项试验，直接判定该项不符合要求</w:t>
            </w:r>
            <w:r>
              <w:rPr>
                <w:rFonts w:hint="eastAsia" w:hAnsiTheme="minorEastAsia" w:eastAsiaTheme="minorEastAsia"/>
                <w:snapToGrid w:val="0"/>
                <w:color w:val="000000" w:themeColor="text1"/>
                <w:sz w:val="21"/>
                <w:szCs w:val="21"/>
                <w14:textFill>
                  <w14:solidFill>
                    <w14:schemeClr w14:val="tx1"/>
                  </w14:solidFill>
                </w14:textFill>
              </w:rPr>
              <w:t>；</w:t>
            </w:r>
          </w:p>
          <w:p w14:paraId="66512F14">
            <w:pPr>
              <w:pStyle w:val="19"/>
              <w:widowControl/>
              <w:adjustRightInd/>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）如果设备上的压力表有异常情况，如指针动作不灵敏、读数不准确等，则应采用外接经校验且在校验有效期内的压力表进行检测</w:t>
            </w:r>
            <w:r>
              <w:rPr>
                <w:rFonts w:hint="eastAsia" w:hAnsiTheme="minorEastAsia" w:eastAsiaTheme="minorEastAsia"/>
                <w:snapToGrid w:val="0"/>
                <w:color w:val="000000" w:themeColor="text1"/>
                <w:sz w:val="21"/>
                <w:szCs w:val="21"/>
                <w14:textFill>
                  <w14:solidFill>
                    <w14:schemeClr w14:val="tx1"/>
                  </w14:solidFill>
                </w14:textFill>
              </w:rPr>
              <w:t>。</w:t>
            </w:r>
          </w:p>
        </w:tc>
      </w:tr>
      <w:tr w14:paraId="4A382B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33" w:hRule="atLeast"/>
          <w:jc w:val="center"/>
        </w:trPr>
        <w:tc>
          <w:tcPr>
            <w:tcW w:w="481" w:type="dxa"/>
            <w:vMerge w:val="restart"/>
            <w:tcMar>
              <w:top w:w="0" w:type="dxa"/>
              <w:left w:w="57" w:type="dxa"/>
              <w:bottom w:w="0" w:type="dxa"/>
              <w:right w:w="57" w:type="dxa"/>
            </w:tcMar>
            <w:vAlign w:val="center"/>
          </w:tcPr>
          <w:p w14:paraId="273829B3">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10BD60E9">
            <w:pPr>
              <w:pStyle w:val="19"/>
              <w:spacing w:line="320" w:lineRule="exact"/>
              <w:ind w:left="-57" w:right="-57"/>
              <w:jc w:val="center"/>
              <w:rPr>
                <w:rFonts w:eastAsiaTheme="minorEastAsia"/>
                <w:snapToGrid w:val="0"/>
                <w:color w:val="000000" w:themeColor="text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22E9B7B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w:t>
            </w:r>
          </w:p>
          <w:p w14:paraId="10C75A79">
            <w:pPr>
              <w:pStyle w:val="19"/>
              <w:spacing w:line="320" w:lineRule="exact"/>
              <w:jc w:val="center"/>
              <w:rPr>
                <w:rFonts w:eastAsiaTheme="minorEastAsia"/>
                <w:snapToGrid w:val="0"/>
                <w:color w:val="000000" w:themeColor="text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驱动主机</w:t>
            </w:r>
          </w:p>
        </w:tc>
        <w:tc>
          <w:tcPr>
            <w:tcW w:w="857" w:type="dxa"/>
            <w:tcMar>
              <w:top w:w="0" w:type="dxa"/>
              <w:left w:w="57" w:type="dxa"/>
              <w:bottom w:w="0" w:type="dxa"/>
              <w:right w:w="57" w:type="dxa"/>
            </w:tcMar>
            <w:vAlign w:val="center"/>
          </w:tcPr>
          <w:p w14:paraId="180FEFC7">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A1.2.4.5</w:t>
            </w:r>
          </w:p>
          <w:p w14:paraId="6A2E3F01">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液压系统油温监控</w:t>
            </w:r>
          </w:p>
          <w:p w14:paraId="424B8143">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297" w:type="dxa"/>
            <w:tcMar>
              <w:top w:w="0" w:type="dxa"/>
              <w:left w:w="57" w:type="dxa"/>
              <w:bottom w:w="0" w:type="dxa"/>
              <w:right w:w="57" w:type="dxa"/>
            </w:tcMar>
            <w:vAlign w:val="center"/>
          </w:tcPr>
          <w:p w14:paraId="268F4CE4">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检查液压系统液压油的油温超过预定值时，监控装置是否能够将电梯停靠在平层位置并且打开层门和轿门。只有经过充分冷却之后电梯方可以自动恢复上行方向的正常运行。</w:t>
            </w:r>
          </w:p>
        </w:tc>
        <w:tc>
          <w:tcPr>
            <w:tcW w:w="2805" w:type="dxa"/>
            <w:tcMar>
              <w:top w:w="0" w:type="dxa"/>
              <w:left w:w="57" w:type="dxa"/>
              <w:bottom w:w="0" w:type="dxa"/>
              <w:right w:w="57" w:type="dxa"/>
            </w:tcMar>
            <w:vAlign w:val="center"/>
          </w:tcPr>
          <w:p w14:paraId="06F2672B">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功能验证。</w:t>
            </w:r>
          </w:p>
          <w:p w14:paraId="004B0F58">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模拟温度检测元件动作的状态，检查油温监控装置的功能是否符合要求</w:t>
            </w:r>
            <w:r>
              <w:rPr>
                <w:rFonts w:hint="eastAsia" w:hAnsiTheme="minorEastAsia" w:eastAsiaTheme="minorEastAsia"/>
                <w:snapToGrid w:val="0"/>
                <w:color w:val="000000" w:themeColor="text1"/>
                <w:sz w:val="21"/>
                <w:szCs w:val="21"/>
                <w14:textFill>
                  <w14:solidFill>
                    <w14:schemeClr w14:val="tx1"/>
                  </w14:solidFill>
                </w14:textFill>
              </w:rPr>
              <w:t>。</w:t>
            </w:r>
          </w:p>
        </w:tc>
      </w:tr>
      <w:tr w14:paraId="28F4CC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9" w:hRule="atLeast"/>
          <w:jc w:val="center"/>
        </w:trPr>
        <w:tc>
          <w:tcPr>
            <w:tcW w:w="481" w:type="dxa"/>
            <w:vMerge w:val="continue"/>
            <w:tcMar>
              <w:top w:w="0" w:type="dxa"/>
              <w:left w:w="57" w:type="dxa"/>
              <w:bottom w:w="0" w:type="dxa"/>
              <w:right w:w="57" w:type="dxa"/>
            </w:tcMar>
            <w:vAlign w:val="center"/>
          </w:tcPr>
          <w:p w14:paraId="61878014">
            <w:pPr>
              <w:pStyle w:val="19"/>
              <w:spacing w:line="320" w:lineRule="exact"/>
              <w:ind w:left="-57" w:right="-57"/>
              <w:jc w:val="center"/>
              <w:rPr>
                <w:rFonts w:eastAsiaTheme="minorEastAsia"/>
                <w:snapToGrid w:val="0"/>
                <w:color w:val="000000" w:themeColor="text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2FB6589">
            <w:pPr>
              <w:pStyle w:val="19"/>
              <w:spacing w:line="320" w:lineRule="exact"/>
              <w:jc w:val="center"/>
              <w:rPr>
                <w:rFonts w:eastAsiaTheme="minorEastAsia"/>
                <w:snapToGrid w:val="0"/>
                <w:color w:val="000000" w:themeColor="text1"/>
                <w:szCs w:val="21"/>
                <w14:textFill>
                  <w14:solidFill>
                    <w14:schemeClr w14:val="tx1"/>
                  </w14:solidFill>
                </w14:textFill>
              </w:rPr>
            </w:pPr>
          </w:p>
        </w:tc>
        <w:tc>
          <w:tcPr>
            <w:tcW w:w="857" w:type="dxa"/>
            <w:tcMar>
              <w:top w:w="0" w:type="dxa"/>
              <w:left w:w="57" w:type="dxa"/>
              <w:bottom w:w="0" w:type="dxa"/>
              <w:right w:w="57" w:type="dxa"/>
            </w:tcMar>
            <w:vAlign w:val="center"/>
          </w:tcPr>
          <w:p w14:paraId="7F4528DD">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A1.2.4.6</w:t>
            </w:r>
            <w:r>
              <w:rPr>
                <w:rFonts w:hAnsiTheme="minorEastAsia" w:eastAsiaTheme="minorEastAsia"/>
                <w:snapToGrid w:val="0"/>
                <w:color w:val="000000" w:themeColor="text1"/>
                <w:sz w:val="21"/>
                <w:szCs w:val="21"/>
                <w14:textFill>
                  <w14:solidFill>
                    <w14:schemeClr w14:val="tx1"/>
                  </w14:solidFill>
                </w14:textFill>
              </w:rPr>
              <w:t>液压油油位</w:t>
            </w:r>
          </w:p>
        </w:tc>
        <w:tc>
          <w:tcPr>
            <w:tcW w:w="4297" w:type="dxa"/>
            <w:tcMar>
              <w:top w:w="0" w:type="dxa"/>
              <w:left w:w="57" w:type="dxa"/>
              <w:bottom w:w="0" w:type="dxa"/>
              <w:right w:w="57" w:type="dxa"/>
            </w:tcMar>
            <w:vAlign w:val="center"/>
          </w:tcPr>
          <w:p w14:paraId="4DBAB928">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检查油箱中液压油的油位是否符合要求。</w:t>
            </w:r>
          </w:p>
        </w:tc>
        <w:tc>
          <w:tcPr>
            <w:tcW w:w="2805" w:type="dxa"/>
            <w:tcMar>
              <w:top w:w="0" w:type="dxa"/>
              <w:left w:w="57" w:type="dxa"/>
              <w:bottom w:w="0" w:type="dxa"/>
              <w:right w:w="57" w:type="dxa"/>
            </w:tcMar>
            <w:vAlign w:val="center"/>
          </w:tcPr>
          <w:p w14:paraId="5BE314CA">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目测检查</w:t>
            </w:r>
            <w:r>
              <w:rPr>
                <w:rFonts w:hint="eastAsia" w:hAnsiTheme="minorEastAsia" w:eastAsiaTheme="minorEastAsia"/>
                <w:snapToGrid w:val="0"/>
                <w:color w:val="000000" w:themeColor="text1"/>
                <w:sz w:val="21"/>
                <w:szCs w:val="21"/>
                <w14:textFill>
                  <w14:solidFill>
                    <w14:schemeClr w14:val="tx1"/>
                  </w14:solidFill>
                </w14:textFill>
              </w:rPr>
              <w:t>。</w:t>
            </w:r>
          </w:p>
        </w:tc>
      </w:tr>
      <w:tr w14:paraId="74D174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02" w:hRule="atLeast"/>
          <w:jc w:val="center"/>
        </w:trPr>
        <w:tc>
          <w:tcPr>
            <w:tcW w:w="481" w:type="dxa"/>
            <w:vMerge w:val="continue"/>
            <w:tcMar>
              <w:top w:w="0" w:type="dxa"/>
              <w:left w:w="57" w:type="dxa"/>
              <w:bottom w:w="0" w:type="dxa"/>
              <w:right w:w="57" w:type="dxa"/>
            </w:tcMar>
            <w:vAlign w:val="center"/>
          </w:tcPr>
          <w:p w14:paraId="010C78B6">
            <w:pPr>
              <w:pStyle w:val="19"/>
              <w:spacing w:line="320" w:lineRule="exact"/>
              <w:ind w:left="-57" w:right="-57"/>
              <w:jc w:val="center"/>
              <w:rPr>
                <w:rFonts w:eastAsiaTheme="minorEastAsia"/>
                <w:snapToGrid w:val="0"/>
                <w:color w:val="000000" w:themeColor="text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2FA1F4E4">
            <w:pPr>
              <w:pStyle w:val="19"/>
              <w:spacing w:line="320" w:lineRule="exact"/>
              <w:jc w:val="center"/>
              <w:rPr>
                <w:rFonts w:eastAsiaTheme="minorEastAsia"/>
                <w:snapToGrid w:val="0"/>
                <w:color w:val="000000" w:themeColor="text1"/>
                <w:szCs w:val="21"/>
                <w14:textFill>
                  <w14:solidFill>
                    <w14:schemeClr w14:val="tx1"/>
                  </w14:solidFill>
                </w14:textFill>
              </w:rPr>
            </w:pPr>
          </w:p>
        </w:tc>
        <w:tc>
          <w:tcPr>
            <w:tcW w:w="857" w:type="dxa"/>
            <w:tcMar>
              <w:top w:w="0" w:type="dxa"/>
              <w:left w:w="57" w:type="dxa"/>
              <w:bottom w:w="0" w:type="dxa"/>
              <w:right w:w="57" w:type="dxa"/>
            </w:tcMar>
            <w:vAlign w:val="center"/>
          </w:tcPr>
          <w:p w14:paraId="06C3A05B">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*A1.2.4.7</w:t>
            </w:r>
          </w:p>
          <w:p w14:paraId="281EDEAA">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手动紧急操作装置</w:t>
            </w:r>
          </w:p>
        </w:tc>
        <w:tc>
          <w:tcPr>
            <w:tcW w:w="4297" w:type="dxa"/>
            <w:tcMar>
              <w:top w:w="0" w:type="dxa"/>
              <w:left w:w="57" w:type="dxa"/>
              <w:bottom w:w="0" w:type="dxa"/>
              <w:right w:w="57" w:type="dxa"/>
            </w:tcMar>
            <w:vAlign w:val="center"/>
          </w:tcPr>
          <w:p w14:paraId="166BD116">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）对于曳引与强制驱动电梯，能够通过持续手动操作的机械装置或者由自动充电的紧急电源供电的电气装置打开驱动主机制动器，并且该装置的失效不会导致制动功能的失效；</w:t>
            </w:r>
          </w:p>
          <w:p w14:paraId="7E6F0921">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）手动松开制动器后仅在重力作用下轿厢（运载装置）不能移动时，能够通过手动机械装置、独立于主电源供电的手动操作电动装置或者其他措施将轿厢运载装置移动到附近层站；</w:t>
            </w:r>
          </w:p>
          <w:p w14:paraId="5D6D75F8">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）如果电梯的移动可能带动手动机械装置，该装置是平滑和无辐条的轮子；</w:t>
            </w:r>
          </w:p>
          <w:p w14:paraId="09441E25">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）如果手动机械装置可以从驱动主机上拆卸或者脱出，设有最迟在其连接到驱动主机时起作用的电气安全装置；</w:t>
            </w:r>
          </w:p>
          <w:p w14:paraId="5DA22325">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5</w:t>
            </w:r>
            <w:r>
              <w:rPr>
                <w:rFonts w:hAnsiTheme="minorEastAsia" w:eastAsiaTheme="minorEastAsia"/>
                <w:snapToGrid w:val="0"/>
                <w:color w:val="000000" w:themeColor="text1"/>
                <w:sz w:val="21"/>
                <w:szCs w:val="21"/>
                <w14:textFill>
                  <w14:solidFill>
                    <w14:schemeClr w14:val="tx1"/>
                  </w14:solidFill>
                </w14:textFill>
              </w:rPr>
              <w:t>）液压驱动电梯设有手动操作的紧急下降阀，以在失电时操纵该阀使轿厢向下移动至层站；</w:t>
            </w:r>
          </w:p>
          <w:p w14:paraId="468BB64D">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6</w:t>
            </w:r>
            <w:r>
              <w:rPr>
                <w:rFonts w:hAnsiTheme="minorEastAsia" w:eastAsiaTheme="minorEastAsia"/>
                <w:snapToGrid w:val="0"/>
                <w:color w:val="000000" w:themeColor="text1"/>
                <w:sz w:val="21"/>
                <w:szCs w:val="21"/>
                <w14:textFill>
                  <w14:solidFill>
                    <w14:schemeClr w14:val="tx1"/>
                  </w14:solidFill>
                </w14:textFill>
              </w:rPr>
              <w:t>）对于轿厢上装有安全钳或者夹紧装置的液压驱动电梯，永久性地安装手动泵，以通过操纵该泵使轿厢向上移动；</w:t>
            </w:r>
          </w:p>
          <w:p w14:paraId="5E724169">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7</w:t>
            </w:r>
            <w:r>
              <w:rPr>
                <w:rFonts w:hAnsiTheme="minorEastAsia" w:eastAsiaTheme="minorEastAsia"/>
                <w:snapToGrid w:val="0"/>
                <w:color w:val="000000" w:themeColor="text1"/>
                <w:sz w:val="21"/>
                <w:szCs w:val="21"/>
                <w14:textFill>
                  <w14:solidFill>
                    <w14:schemeClr w14:val="tx1"/>
                  </w14:solidFill>
                </w14:textFill>
              </w:rPr>
              <w:t>）在紧急操作处，易于检查轿厢是否在开锁区域。</w:t>
            </w:r>
          </w:p>
        </w:tc>
        <w:tc>
          <w:tcPr>
            <w:tcW w:w="2805" w:type="dxa"/>
            <w:tcMar>
              <w:top w:w="0" w:type="dxa"/>
              <w:left w:w="57" w:type="dxa"/>
              <w:bottom w:w="0" w:type="dxa"/>
              <w:right w:w="57" w:type="dxa"/>
            </w:tcMar>
            <w:vAlign w:val="center"/>
          </w:tcPr>
          <w:p w14:paraId="368CD6CD">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功能验证。</w:t>
            </w:r>
          </w:p>
          <w:p w14:paraId="67F52E84">
            <w:pPr>
              <w:pStyle w:val="19"/>
              <w:widowControl/>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）通过目测和模拟操作验证手动紧急操作装置的设置情况；</w:t>
            </w:r>
          </w:p>
          <w:p w14:paraId="22F63607">
            <w:pPr>
              <w:pStyle w:val="19"/>
              <w:widowControl/>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）手动试验电气安全装置的功能；</w:t>
            </w:r>
          </w:p>
          <w:p w14:paraId="2E8F52A5">
            <w:pPr>
              <w:pStyle w:val="19"/>
              <w:widowControl/>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）对于液压驱动电梯，将轿厢在下端站平层后打开轿门，在机房切断主电源，操作紧急下降阀，观察轿厢是否下降；</w:t>
            </w:r>
          </w:p>
          <w:p w14:paraId="0EA705B7">
            <w:pPr>
              <w:pStyle w:val="19"/>
              <w:widowControl/>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）对于轿厢上装有安全钳或者夹紧装置的液压驱动电梯，将轿厢在底层端站平层，打开轿门，机房切断主电源开关，操作手动泵观察轿厢能否被提升。</w:t>
            </w:r>
          </w:p>
        </w:tc>
      </w:tr>
      <w:tr w14:paraId="421EC6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18CB571F">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E808DA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4F85CD3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A1.2.4.8</w:t>
            </w:r>
          </w:p>
          <w:p w14:paraId="7B084280">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表明</w:t>
            </w:r>
          </w:p>
          <w:p w14:paraId="6213C2B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温度</w:t>
            </w:r>
          </w:p>
        </w:tc>
        <w:tc>
          <w:tcPr>
            <w:tcW w:w="4297" w:type="dxa"/>
            <w:tcMar>
              <w:top w:w="0" w:type="dxa"/>
              <w:left w:w="57" w:type="dxa"/>
              <w:bottom w:w="0" w:type="dxa"/>
              <w:right w:w="57" w:type="dxa"/>
            </w:tcMar>
            <w:vAlign w:val="center"/>
          </w:tcPr>
          <w:p w14:paraId="012339F0">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检查防爆电梯的电动机、减速器、液压泵站、制动部件的外壳以及防爆电气部件外壳的最高表面温度是否不超过整机防爆标志中的温度组别要求。</w:t>
            </w:r>
          </w:p>
        </w:tc>
        <w:tc>
          <w:tcPr>
            <w:tcW w:w="2805" w:type="dxa"/>
            <w:tcMar>
              <w:top w:w="0" w:type="dxa"/>
              <w:left w:w="57" w:type="dxa"/>
              <w:bottom w:w="0" w:type="dxa"/>
              <w:right w:w="57" w:type="dxa"/>
            </w:tcMar>
            <w:vAlign w:val="center"/>
          </w:tcPr>
          <w:p w14:paraId="64021D2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必要时测量相关数据。</w:t>
            </w:r>
          </w:p>
        </w:tc>
      </w:tr>
      <w:tr w14:paraId="05F1A4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20" w:hRule="atLeast"/>
          <w:jc w:val="center"/>
        </w:trPr>
        <w:tc>
          <w:tcPr>
            <w:tcW w:w="481" w:type="dxa"/>
            <w:vMerge w:val="continue"/>
            <w:tcMar>
              <w:top w:w="0" w:type="dxa"/>
              <w:left w:w="57" w:type="dxa"/>
              <w:bottom w:w="0" w:type="dxa"/>
              <w:right w:w="57" w:type="dxa"/>
            </w:tcMar>
            <w:vAlign w:val="center"/>
          </w:tcPr>
          <w:p w14:paraId="322861A5">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tcMar>
              <w:top w:w="0" w:type="dxa"/>
              <w:left w:w="57" w:type="dxa"/>
              <w:bottom w:w="0" w:type="dxa"/>
              <w:right w:w="57" w:type="dxa"/>
            </w:tcMar>
            <w:vAlign w:val="center"/>
          </w:tcPr>
          <w:p w14:paraId="2ADBB703">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w:t>
            </w:r>
          </w:p>
          <w:p w14:paraId="7725A3CA">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悬挂装置、补偿装置及旋转部件</w:t>
            </w:r>
          </w:p>
        </w:tc>
        <w:tc>
          <w:tcPr>
            <w:tcW w:w="857" w:type="dxa"/>
            <w:tcMar>
              <w:top w:w="0" w:type="dxa"/>
              <w:left w:w="57" w:type="dxa"/>
              <w:bottom w:w="0" w:type="dxa"/>
              <w:right w:w="57" w:type="dxa"/>
            </w:tcMar>
            <w:vAlign w:val="center"/>
          </w:tcPr>
          <w:p w14:paraId="79D4E64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A1.2.5.1</w:t>
            </w:r>
          </w:p>
          <w:p w14:paraId="1D5A9CCA">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钢丝绳</w:t>
            </w:r>
          </w:p>
        </w:tc>
        <w:tc>
          <w:tcPr>
            <w:tcW w:w="4297" w:type="dxa"/>
            <w:tcMar>
              <w:top w:w="0" w:type="dxa"/>
              <w:left w:w="57" w:type="dxa"/>
              <w:bottom w:w="0" w:type="dxa"/>
              <w:right w:w="57" w:type="dxa"/>
            </w:tcMar>
            <w:vAlign w:val="center"/>
          </w:tcPr>
          <w:p w14:paraId="36D0212E">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检查悬挂钢丝绳、补偿钢丝绳是否符合以下要求：</w:t>
            </w:r>
          </w:p>
          <w:p w14:paraId="6E3C20AD">
            <w:pPr>
              <w:pStyle w:val="19"/>
              <w:widowControl/>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w:t>
            </w:r>
            <w:r>
              <w:rPr>
                <w:rFonts w:hint="eastAsia" w:hAnsiTheme="minorEastAsia" w:eastAsiaTheme="minorEastAsia"/>
                <w:snapToGrid w:val="0"/>
                <w:color w:val="000000" w:themeColor="text1"/>
                <w:sz w:val="21"/>
                <w:szCs w:val="21"/>
                <w14:textFill>
                  <w14:solidFill>
                    <w14:schemeClr w14:val="tx1"/>
                  </w14:solidFill>
                </w14:textFill>
              </w:rPr>
              <w:t>无</w:t>
            </w:r>
            <w:r>
              <w:rPr>
                <w:rFonts w:hAnsiTheme="minorEastAsia" w:eastAsiaTheme="minorEastAsia"/>
                <w:snapToGrid w:val="0"/>
                <w:color w:val="000000" w:themeColor="text1"/>
                <w:sz w:val="21"/>
                <w:szCs w:val="21"/>
                <w14:textFill>
                  <w14:solidFill>
                    <w14:schemeClr w14:val="tx1"/>
                  </w14:solidFill>
                </w14:textFill>
              </w:rPr>
              <w:t>笼状畸变、绳股挤出、扭结、部分压扁、弯折、严重锈蚀、铁锈填满绳股间隙、直径小于其公称直径的</w:t>
            </w:r>
            <w:r>
              <w:rPr>
                <w:rFonts w:eastAsiaTheme="minorEastAsia"/>
                <w:snapToGrid w:val="0"/>
                <w:color w:val="000000" w:themeColor="text1"/>
                <w:sz w:val="21"/>
                <w:szCs w:val="21"/>
                <w14:textFill>
                  <w14:solidFill>
                    <w14:schemeClr w14:val="tx1"/>
                  </w14:solidFill>
                </w14:textFill>
              </w:rPr>
              <w:t>90%</w:t>
            </w:r>
            <w:r>
              <w:rPr>
                <w:rFonts w:hAnsiTheme="minorEastAsia" w:eastAsiaTheme="minorEastAsia"/>
                <w:snapToGrid w:val="0"/>
                <w:color w:val="000000" w:themeColor="text1"/>
                <w:sz w:val="21"/>
                <w:szCs w:val="21"/>
                <w14:textFill>
                  <w14:solidFill>
                    <w14:schemeClr w14:val="tx1"/>
                  </w14:solidFill>
                </w14:textFill>
              </w:rPr>
              <w:t>等达到报废条件的现象</w:t>
            </w:r>
            <w:r>
              <w:rPr>
                <w:rFonts w:hint="eastAsia" w:hAnsiTheme="minorEastAsia" w:eastAsiaTheme="minorEastAsia"/>
                <w:snapToGrid w:val="0"/>
                <w:color w:val="000000" w:themeColor="text1"/>
                <w:sz w:val="21"/>
                <w:szCs w:val="21"/>
                <w14:textFill>
                  <w14:solidFill>
                    <w14:schemeClr w14:val="tx1"/>
                  </w14:solidFill>
                </w14:textFill>
              </w:rPr>
              <w:t>；</w:t>
            </w:r>
          </w:p>
          <w:p w14:paraId="3EBF7642">
            <w:pPr>
              <w:pStyle w:val="19"/>
              <w:widowControl/>
              <w:tabs>
                <w:tab w:val="left" w:pos="433"/>
              </w:tabs>
              <w:adjustRightInd/>
              <w:spacing w:line="32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）一个捻距内的断丝数不超过本附表</w:t>
            </w:r>
            <w:r>
              <w:rPr>
                <w:rFonts w:eastAsiaTheme="minorEastAsia"/>
                <w:snapToGrid w:val="0"/>
                <w:color w:val="000000" w:themeColor="text1"/>
                <w:sz w:val="21"/>
                <w:szCs w:val="21"/>
                <w14:textFill>
                  <w14:solidFill>
                    <w14:schemeClr w14:val="tx1"/>
                  </w14:solidFill>
                </w14:textFill>
              </w:rPr>
              <w:t>A1-1</w:t>
            </w:r>
            <w:r>
              <w:rPr>
                <w:rFonts w:hAnsiTheme="minorEastAsia" w:eastAsiaTheme="minorEastAsia"/>
                <w:snapToGrid w:val="0"/>
                <w:color w:val="000000" w:themeColor="text1"/>
                <w:sz w:val="21"/>
                <w:szCs w:val="21"/>
                <w14:textFill>
                  <w14:solidFill>
                    <w14:schemeClr w14:val="tx1"/>
                  </w14:solidFill>
                </w14:textFill>
              </w:rPr>
              <w:t>所列数值</w:t>
            </w:r>
            <w:r>
              <w:rPr>
                <w:rFonts w:hint="eastAsia" w:hAnsiTheme="minorEastAsia" w:eastAsiaTheme="minorEastAsia"/>
                <w:snapToGrid w:val="0"/>
                <w:color w:val="000000" w:themeColor="text1"/>
                <w:sz w:val="21"/>
                <w:szCs w:val="21"/>
                <w14:textFill>
                  <w14:solidFill>
                    <w14:schemeClr w14:val="tx1"/>
                  </w14:solidFill>
                </w14:textFill>
              </w:rPr>
              <w:t>；</w:t>
            </w:r>
          </w:p>
          <w:p w14:paraId="5284F68B">
            <w:pPr>
              <w:pStyle w:val="19"/>
              <w:widowControl/>
              <w:tabs>
                <w:tab w:val="left" w:pos="433"/>
              </w:tabs>
              <w:adjustRightInd/>
              <w:spacing w:line="32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p>
          <w:p w14:paraId="6AA40766">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w:t>
            </w:r>
            <w:r>
              <w:rPr>
                <w:rFonts w:eastAsiaTheme="minorEastAsia"/>
                <w:snapToGrid w:val="0"/>
                <w:color w:val="000000" w:themeColor="text1"/>
                <w:sz w:val="21"/>
                <w:szCs w:val="21"/>
                <w14:textFill>
                  <w14:solidFill>
                    <w14:schemeClr w14:val="tx1"/>
                  </w14:solidFill>
                </w14:textFill>
              </w:rPr>
              <w:t>A1-1</w:t>
            </w:r>
            <w:r>
              <w:rPr>
                <w:rFonts w:hAnsiTheme="minorEastAsia" w:eastAsiaTheme="minorEastAsia"/>
                <w:snapToGrid w:val="0"/>
                <w:color w:val="000000" w:themeColor="text1"/>
                <w:sz w:val="21"/>
                <w:szCs w:val="21"/>
                <w14:textFill>
                  <w14:solidFill>
                    <w14:schemeClr w14:val="tx1"/>
                  </w14:solidFill>
                </w14:textFill>
              </w:rPr>
              <w:t>一个捻距内的断丝数量</w:t>
            </w:r>
          </w:p>
          <w:tbl>
            <w:tblPr>
              <w:tblStyle w:val="12"/>
              <w:tblW w:w="425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042"/>
              <w:gridCol w:w="768"/>
              <w:gridCol w:w="687"/>
              <w:gridCol w:w="756"/>
            </w:tblGrid>
            <w:tr w14:paraId="555DAE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7" w:hRule="atLeast"/>
                <w:jc w:val="center"/>
              </w:trPr>
              <w:tc>
                <w:tcPr>
                  <w:tcW w:w="2095" w:type="dxa"/>
                  <w:vMerge w:val="restart"/>
                  <w:vAlign w:val="center"/>
                </w:tcPr>
                <w:p w14:paraId="4DF4DE42">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断丝的形式</w:t>
                  </w:r>
                </w:p>
              </w:tc>
              <w:tc>
                <w:tcPr>
                  <w:tcW w:w="2255" w:type="dxa"/>
                  <w:gridSpan w:val="3"/>
                  <w:vAlign w:val="center"/>
                </w:tcPr>
                <w:p w14:paraId="0DC187C1">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钢丝绳类型</w:t>
                  </w:r>
                </w:p>
              </w:tc>
            </w:tr>
            <w:tr w14:paraId="707584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7" w:hRule="atLeast"/>
                <w:jc w:val="center"/>
              </w:trPr>
              <w:tc>
                <w:tcPr>
                  <w:tcW w:w="2095" w:type="dxa"/>
                  <w:vMerge w:val="continue"/>
                  <w:vAlign w:val="center"/>
                </w:tcPr>
                <w:p w14:paraId="149B9228">
                  <w:pPr>
                    <w:widowControl/>
                    <w:kinsoku w:val="0"/>
                    <w:autoSpaceDE w:val="0"/>
                    <w:autoSpaceDN w:val="0"/>
                    <w:adjustRightInd w:val="0"/>
                    <w:snapToGrid w:val="0"/>
                    <w:spacing w:line="320" w:lineRule="exact"/>
                    <w:jc w:val="center"/>
                    <w:textAlignment w:val="baseline"/>
                    <w:rPr>
                      <w:rFonts w:eastAsiaTheme="minorEastAsia"/>
                      <w:snapToGrid w:val="0"/>
                      <w:color w:val="000000" w:themeColor="text1"/>
                      <w:kern w:val="0"/>
                      <w:szCs w:val="21"/>
                      <w14:textFill>
                        <w14:solidFill>
                          <w14:schemeClr w14:val="tx1"/>
                        </w14:solidFill>
                      </w14:textFill>
                    </w:rPr>
                  </w:pPr>
                </w:p>
              </w:tc>
              <w:tc>
                <w:tcPr>
                  <w:tcW w:w="784" w:type="dxa"/>
                  <w:vAlign w:val="center"/>
                </w:tcPr>
                <w:p w14:paraId="00A8A69E">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6×19</w:t>
                  </w:r>
                </w:p>
              </w:tc>
              <w:tc>
                <w:tcPr>
                  <w:tcW w:w="700" w:type="dxa"/>
                  <w:vAlign w:val="center"/>
                </w:tcPr>
                <w:p w14:paraId="292E5DE1">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8×19</w:t>
                  </w:r>
                </w:p>
              </w:tc>
              <w:tc>
                <w:tcPr>
                  <w:tcW w:w="771" w:type="dxa"/>
                  <w:vAlign w:val="center"/>
                </w:tcPr>
                <w:p w14:paraId="641DB3A4">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9×19</w:t>
                  </w:r>
                </w:p>
              </w:tc>
            </w:tr>
            <w:tr w14:paraId="6808CC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7" w:hRule="atLeast"/>
                <w:jc w:val="center"/>
              </w:trPr>
              <w:tc>
                <w:tcPr>
                  <w:tcW w:w="2095" w:type="dxa"/>
                  <w:vAlign w:val="center"/>
                </w:tcPr>
                <w:p w14:paraId="6198E117">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均布在外层绳股上</w:t>
                  </w:r>
                </w:p>
              </w:tc>
              <w:tc>
                <w:tcPr>
                  <w:tcW w:w="784" w:type="dxa"/>
                  <w:vAlign w:val="center"/>
                </w:tcPr>
                <w:p w14:paraId="182F85EA">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24</w:t>
                  </w:r>
                </w:p>
              </w:tc>
              <w:tc>
                <w:tcPr>
                  <w:tcW w:w="700" w:type="dxa"/>
                  <w:vAlign w:val="center"/>
                </w:tcPr>
                <w:p w14:paraId="74246211">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30</w:t>
                  </w:r>
                </w:p>
              </w:tc>
              <w:tc>
                <w:tcPr>
                  <w:tcW w:w="771" w:type="dxa"/>
                  <w:vAlign w:val="center"/>
                </w:tcPr>
                <w:p w14:paraId="08828197">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34</w:t>
                  </w:r>
                </w:p>
              </w:tc>
            </w:tr>
            <w:tr w14:paraId="42DCC3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7" w:hRule="atLeast"/>
                <w:jc w:val="center"/>
              </w:trPr>
              <w:tc>
                <w:tcPr>
                  <w:tcW w:w="2095" w:type="dxa"/>
                  <w:vAlign w:val="center"/>
                </w:tcPr>
                <w:p w14:paraId="52C9DE5D">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集中在一</w:t>
                  </w:r>
                  <w:r>
                    <w:rPr>
                      <w:rFonts w:hint="eastAsia" w:hAnsiTheme="minorEastAsia" w:eastAsiaTheme="minorEastAsia"/>
                      <w:snapToGrid w:val="0"/>
                      <w:color w:val="000000" w:themeColor="text1"/>
                      <w:sz w:val="21"/>
                      <w:szCs w:val="21"/>
                      <w14:textFill>
                        <w14:solidFill>
                          <w14:schemeClr w14:val="tx1"/>
                        </w14:solidFill>
                      </w14:textFill>
                    </w:rPr>
                    <w:t>根</w:t>
                  </w:r>
                  <w:r>
                    <w:rPr>
                      <w:rFonts w:hAnsiTheme="minorEastAsia" w:eastAsiaTheme="minorEastAsia"/>
                      <w:snapToGrid w:val="0"/>
                      <w:color w:val="000000" w:themeColor="text1"/>
                      <w:sz w:val="21"/>
                      <w:szCs w:val="21"/>
                      <w14:textFill>
                        <w14:solidFill>
                          <w14:schemeClr w14:val="tx1"/>
                        </w14:solidFill>
                      </w14:textFill>
                    </w:rPr>
                    <w:t>或者两根外层绳股上</w:t>
                  </w:r>
                </w:p>
              </w:tc>
              <w:tc>
                <w:tcPr>
                  <w:tcW w:w="784" w:type="dxa"/>
                  <w:vAlign w:val="center"/>
                </w:tcPr>
                <w:p w14:paraId="2998E5BC">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8</w:t>
                  </w:r>
                </w:p>
              </w:tc>
              <w:tc>
                <w:tcPr>
                  <w:tcW w:w="700" w:type="dxa"/>
                  <w:vAlign w:val="center"/>
                </w:tcPr>
                <w:p w14:paraId="4C4FFC40">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10</w:t>
                  </w:r>
                </w:p>
              </w:tc>
              <w:tc>
                <w:tcPr>
                  <w:tcW w:w="771" w:type="dxa"/>
                  <w:vAlign w:val="center"/>
                </w:tcPr>
                <w:p w14:paraId="48EF7ABF">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11</w:t>
                  </w:r>
                </w:p>
              </w:tc>
            </w:tr>
            <w:tr w14:paraId="215FF3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7" w:hRule="atLeast"/>
                <w:jc w:val="center"/>
              </w:trPr>
              <w:tc>
                <w:tcPr>
                  <w:tcW w:w="2095" w:type="dxa"/>
                  <w:vAlign w:val="center"/>
                </w:tcPr>
                <w:p w14:paraId="1D5ABFBD">
                  <w:pPr>
                    <w:pStyle w:val="19"/>
                    <w:widowControl/>
                    <w:kinsoku w:val="0"/>
                    <w:snapToGrid w:val="0"/>
                    <w:spacing w:line="32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一根外层绳股上</w:t>
                  </w:r>
                </w:p>
                <w:p w14:paraId="7EE9C797">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相邻的断丝</w:t>
                  </w:r>
                </w:p>
              </w:tc>
              <w:tc>
                <w:tcPr>
                  <w:tcW w:w="784" w:type="dxa"/>
                  <w:vAlign w:val="center"/>
                </w:tcPr>
                <w:p w14:paraId="1AC1464E">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4</w:t>
                  </w:r>
                </w:p>
              </w:tc>
              <w:tc>
                <w:tcPr>
                  <w:tcW w:w="700" w:type="dxa"/>
                  <w:vAlign w:val="center"/>
                </w:tcPr>
                <w:p w14:paraId="03751BDE">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4</w:t>
                  </w:r>
                </w:p>
              </w:tc>
              <w:tc>
                <w:tcPr>
                  <w:tcW w:w="771" w:type="dxa"/>
                  <w:vAlign w:val="center"/>
                </w:tcPr>
                <w:p w14:paraId="4700EC84">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4</w:t>
                  </w:r>
                </w:p>
              </w:tc>
            </w:tr>
            <w:tr w14:paraId="4711DC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7" w:hRule="atLeast"/>
                <w:jc w:val="center"/>
              </w:trPr>
              <w:tc>
                <w:tcPr>
                  <w:tcW w:w="2095" w:type="dxa"/>
                  <w:vAlign w:val="center"/>
                </w:tcPr>
                <w:p w14:paraId="1D0BE0EA">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股谷（缝）断丝</w:t>
                  </w:r>
                </w:p>
              </w:tc>
              <w:tc>
                <w:tcPr>
                  <w:tcW w:w="784" w:type="dxa"/>
                  <w:vAlign w:val="center"/>
                </w:tcPr>
                <w:p w14:paraId="06EC232C">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w:t>
                  </w:r>
                </w:p>
              </w:tc>
              <w:tc>
                <w:tcPr>
                  <w:tcW w:w="700" w:type="dxa"/>
                  <w:vAlign w:val="center"/>
                </w:tcPr>
                <w:p w14:paraId="403ECDA4">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w:t>
                  </w:r>
                </w:p>
              </w:tc>
              <w:tc>
                <w:tcPr>
                  <w:tcW w:w="771" w:type="dxa"/>
                  <w:vAlign w:val="center"/>
                </w:tcPr>
                <w:p w14:paraId="27DD33CA">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w:t>
                  </w:r>
                </w:p>
              </w:tc>
            </w:tr>
          </w:tbl>
          <w:p w14:paraId="60AACB7D">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A1-4</w:t>
            </w:r>
            <w:r>
              <w:rPr>
                <w:rFonts w:hAnsiTheme="minorEastAsia" w:eastAsiaTheme="minorEastAsia"/>
                <w:snapToGrid w:val="0"/>
                <w:color w:val="000000" w:themeColor="text1"/>
                <w:sz w:val="21"/>
                <w:szCs w:val="21"/>
                <w14:textFill>
                  <w14:solidFill>
                    <w14:schemeClr w14:val="tx1"/>
                  </w14:solidFill>
                </w14:textFill>
              </w:rPr>
              <w:t>：断丝数的参考长度为一个捻距，约为</w:t>
            </w:r>
            <w:r>
              <w:rPr>
                <w:rFonts w:eastAsiaTheme="minorEastAsia"/>
                <w:snapToGrid w:val="0"/>
                <w:color w:val="000000" w:themeColor="text1"/>
                <w:sz w:val="21"/>
                <w:szCs w:val="21"/>
                <w14:textFill>
                  <w14:solidFill>
                    <w14:schemeClr w14:val="tx1"/>
                  </w14:solidFill>
                </w14:textFill>
              </w:rPr>
              <w:t>6d[d</w:t>
            </w:r>
            <w:r>
              <w:rPr>
                <w:rFonts w:hAnsiTheme="minorEastAsia" w:eastAsiaTheme="minorEastAsia"/>
                <w:snapToGrid w:val="0"/>
                <w:color w:val="000000" w:themeColor="text1"/>
                <w:sz w:val="21"/>
                <w:szCs w:val="21"/>
                <w14:textFill>
                  <w14:solidFill>
                    <w14:schemeClr w14:val="tx1"/>
                  </w14:solidFill>
                </w14:textFill>
              </w:rPr>
              <w:t>表示钢丝绳的公称直径，单位为毫米（</w:t>
            </w:r>
            <w:r>
              <w:rPr>
                <w:rFonts w:eastAsiaTheme="minorEastAsia"/>
                <w:snapToGrid w:val="0"/>
                <w:color w:val="000000" w:themeColor="text1"/>
                <w:sz w:val="21"/>
                <w:szCs w:val="21"/>
                <w14:textFill>
                  <w14:solidFill>
                    <w14:schemeClr w14:val="tx1"/>
                  </w14:solidFill>
                </w14:textFill>
              </w:rPr>
              <w:t>mm</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p>
        </w:tc>
        <w:tc>
          <w:tcPr>
            <w:tcW w:w="2805" w:type="dxa"/>
            <w:tcMar>
              <w:top w:w="0" w:type="dxa"/>
              <w:left w:w="57" w:type="dxa"/>
              <w:bottom w:w="0" w:type="dxa"/>
              <w:right w:w="57" w:type="dxa"/>
            </w:tcMar>
            <w:vAlign w:val="center"/>
          </w:tcPr>
          <w:p w14:paraId="3BF7D7AC">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必要时测量相关数据。</w:t>
            </w:r>
          </w:p>
          <w:p w14:paraId="384D4F01">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用钢丝绳探伤仪或者放大镜全长检测或者分段抽测；通过目测钢丝绳磨损情况，判断钢丝绳直径的变化情况。必要时测量并判断钢丝绳直径变化情况。测量时，以相距至少</w:t>
            </w:r>
            <w:r>
              <w:rPr>
                <w:rFonts w:eastAsiaTheme="minorEastAsia"/>
                <w:snapToGrid w:val="0"/>
                <w:color w:val="000000" w:themeColor="text1"/>
                <w:sz w:val="21"/>
                <w:szCs w:val="21"/>
                <w14:textFill>
                  <w14:solidFill>
                    <w14:schemeClr w14:val="tx1"/>
                  </w14:solidFill>
                </w14:textFill>
              </w:rPr>
              <w:t>1m</w:t>
            </w:r>
            <w:r>
              <w:rPr>
                <w:rFonts w:hAnsiTheme="minorEastAsia" w:eastAsiaTheme="minorEastAsia"/>
                <w:snapToGrid w:val="0"/>
                <w:color w:val="000000" w:themeColor="text1"/>
                <w:sz w:val="21"/>
                <w:szCs w:val="21"/>
                <w14:textFill>
                  <w14:solidFill>
                    <w14:schemeClr w14:val="tx1"/>
                  </w14:solidFill>
                </w14:textFill>
              </w:rPr>
              <w:t>的两点进行，在每点相互垂直方向上测量两次，四次测量值的平均值，即为钢丝绳的实测直径。</w:t>
            </w:r>
          </w:p>
        </w:tc>
      </w:tr>
      <w:tr w14:paraId="70EF87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restart"/>
            <w:tcMar>
              <w:top w:w="0" w:type="dxa"/>
              <w:left w:w="57" w:type="dxa"/>
              <w:bottom w:w="0" w:type="dxa"/>
              <w:right w:w="57" w:type="dxa"/>
            </w:tcMar>
            <w:vAlign w:val="center"/>
          </w:tcPr>
          <w:p w14:paraId="7DEBA033">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3D52D8E9">
            <w:pPr>
              <w:pStyle w:val="19"/>
              <w:spacing w:line="32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0967FE6D">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w:t>
            </w:r>
          </w:p>
          <w:p w14:paraId="58FBF173">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悬挂装置、补偿装置及旋转部件</w:t>
            </w:r>
          </w:p>
        </w:tc>
        <w:tc>
          <w:tcPr>
            <w:tcW w:w="857" w:type="dxa"/>
            <w:tcMar>
              <w:top w:w="0" w:type="dxa"/>
              <w:left w:w="57" w:type="dxa"/>
              <w:bottom w:w="0" w:type="dxa"/>
              <w:right w:w="57" w:type="dxa"/>
            </w:tcMar>
            <w:vAlign w:val="center"/>
          </w:tcPr>
          <w:p w14:paraId="2335C241">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A1.2.5.2</w:t>
            </w:r>
          </w:p>
          <w:p w14:paraId="6C9424A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包覆带</w:t>
            </w:r>
          </w:p>
        </w:tc>
        <w:tc>
          <w:tcPr>
            <w:tcW w:w="4297" w:type="dxa"/>
            <w:tcMar>
              <w:top w:w="0" w:type="dxa"/>
              <w:left w:w="57" w:type="dxa"/>
              <w:bottom w:w="0" w:type="dxa"/>
              <w:right w:w="57" w:type="dxa"/>
            </w:tcMar>
            <w:vAlign w:val="center"/>
          </w:tcPr>
          <w:p w14:paraId="4987016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）无包覆层变形（如鼓包、压痕、折痕、凹陷等）、包覆带承载体外露或者刺出、承载体断裂等达到报废条件的现象；</w:t>
            </w:r>
          </w:p>
          <w:p w14:paraId="0A18D2B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）设有监测每根包覆带承载体强度的装置，当检测到任一根承载体破断时，能够防止电梯的下一次正常启动；</w:t>
            </w:r>
          </w:p>
          <w:p w14:paraId="073B2FFD">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）用于查看包覆带使用时间或者电梯启动次数的装置完好。</w:t>
            </w:r>
          </w:p>
        </w:tc>
        <w:tc>
          <w:tcPr>
            <w:tcW w:w="2805" w:type="dxa"/>
            <w:tcMar>
              <w:top w:w="0" w:type="dxa"/>
              <w:left w:w="57" w:type="dxa"/>
              <w:bottom w:w="0" w:type="dxa"/>
              <w:right w:w="57" w:type="dxa"/>
            </w:tcMar>
            <w:vAlign w:val="center"/>
          </w:tcPr>
          <w:p w14:paraId="0007B42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模拟任一根承载体破断时的状态，观察电梯运行状况。</w:t>
            </w:r>
          </w:p>
        </w:tc>
      </w:tr>
      <w:tr w14:paraId="5174B9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59E5BDC0">
            <w:pPr>
              <w:pStyle w:val="19"/>
              <w:spacing w:line="320" w:lineRule="exact"/>
              <w:ind w:left="-57" w:right="-57"/>
              <w:jc w:val="center"/>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06EAED7B">
            <w:pPr>
              <w:pStyle w:val="19"/>
              <w:spacing w:line="320" w:lineRule="exact"/>
              <w:jc w:val="center"/>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4CE9C77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A1.2.5.3</w:t>
            </w:r>
          </w:p>
          <w:p w14:paraId="425806DA">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悬挂装置端部固定</w:t>
            </w:r>
          </w:p>
        </w:tc>
        <w:tc>
          <w:tcPr>
            <w:tcW w:w="4297" w:type="dxa"/>
            <w:tcMar>
              <w:top w:w="0" w:type="dxa"/>
              <w:left w:w="57" w:type="dxa"/>
              <w:bottom w:w="0" w:type="dxa"/>
              <w:right w:w="57" w:type="dxa"/>
            </w:tcMar>
            <w:vAlign w:val="center"/>
          </w:tcPr>
          <w:p w14:paraId="242B8B40">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）悬挂装置的端部固定部件无裂纹、松动等现象，端接装置的弹簧、螺母、开口销等连接部件无缺损；</w:t>
            </w:r>
          </w:p>
          <w:p w14:paraId="2F26EB4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）对于强制驱动电梯，采用带楔块的压紧装置或者至少用两个绳夹将悬挂装置固定在卷筒上。</w:t>
            </w:r>
          </w:p>
        </w:tc>
        <w:tc>
          <w:tcPr>
            <w:tcW w:w="2805" w:type="dxa"/>
            <w:tcMar>
              <w:top w:w="0" w:type="dxa"/>
              <w:left w:w="57" w:type="dxa"/>
              <w:bottom w:w="0" w:type="dxa"/>
              <w:right w:w="57" w:type="dxa"/>
            </w:tcMar>
            <w:vAlign w:val="center"/>
          </w:tcPr>
          <w:p w14:paraId="37E72AD2">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7D495E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27" w:hRule="atLeast"/>
          <w:jc w:val="center"/>
        </w:trPr>
        <w:tc>
          <w:tcPr>
            <w:tcW w:w="481" w:type="dxa"/>
            <w:vMerge w:val="continue"/>
            <w:tcMar>
              <w:top w:w="0" w:type="dxa"/>
              <w:left w:w="57" w:type="dxa"/>
              <w:bottom w:w="0" w:type="dxa"/>
              <w:right w:w="57" w:type="dxa"/>
            </w:tcMar>
            <w:vAlign w:val="center"/>
          </w:tcPr>
          <w:p w14:paraId="0A9E0CAB">
            <w:pPr>
              <w:pStyle w:val="19"/>
              <w:spacing w:line="320" w:lineRule="exact"/>
              <w:ind w:left="-57" w:right="-57"/>
              <w:jc w:val="center"/>
              <w:rPr>
                <w:rFonts w:eastAsiaTheme="minorEastAsia"/>
                <w:snapToGrid w:val="0"/>
                <w:color w:val="000000" w:themeColor="text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35FBFAED">
            <w:pPr>
              <w:pStyle w:val="19"/>
              <w:spacing w:line="320" w:lineRule="exact"/>
              <w:jc w:val="center"/>
              <w:rPr>
                <w:rFonts w:eastAsiaTheme="minorEastAsia"/>
                <w:snapToGrid w:val="0"/>
                <w:color w:val="000000" w:themeColor="text1"/>
                <w:szCs w:val="21"/>
                <w14:textFill>
                  <w14:solidFill>
                    <w14:schemeClr w14:val="tx1"/>
                  </w14:solidFill>
                </w14:textFill>
              </w:rPr>
            </w:pPr>
          </w:p>
        </w:tc>
        <w:tc>
          <w:tcPr>
            <w:tcW w:w="857" w:type="dxa"/>
            <w:tcMar>
              <w:top w:w="0" w:type="dxa"/>
              <w:left w:w="57" w:type="dxa"/>
              <w:bottom w:w="0" w:type="dxa"/>
              <w:right w:w="57" w:type="dxa"/>
            </w:tcMar>
            <w:vAlign w:val="center"/>
          </w:tcPr>
          <w:p w14:paraId="33987DAD">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A1.2.5.4</w:t>
            </w:r>
          </w:p>
          <w:p w14:paraId="06438370">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补偿</w:t>
            </w:r>
          </w:p>
          <w:p w14:paraId="1E4AD2B9">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297" w:type="dxa"/>
            <w:tcMar>
              <w:top w:w="0" w:type="dxa"/>
              <w:left w:w="57" w:type="dxa"/>
              <w:bottom w:w="0" w:type="dxa"/>
              <w:right w:w="57" w:type="dxa"/>
            </w:tcMar>
            <w:vAlign w:val="center"/>
          </w:tcPr>
          <w:p w14:paraId="3349D783">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）补偿装置的端部固定部件无裂纹、松动等现象；</w:t>
            </w:r>
          </w:p>
          <w:p w14:paraId="1BD5F0EB">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）使用电气安全装置来检查补偿绳的最小张紧位置（对于斜行电梯，当不采用重力张紧装置时，设置电气安全装置检查补偿绳的最大张紧位置）；当电梯的额定速度大于</w:t>
            </w:r>
            <w:r>
              <w:rPr>
                <w:rFonts w:eastAsiaTheme="minorEastAsia"/>
                <w:snapToGrid w:val="0"/>
                <w:color w:val="000000" w:themeColor="text1"/>
                <w:sz w:val="21"/>
                <w:szCs w:val="21"/>
                <w14:textFill>
                  <w14:solidFill>
                    <w14:schemeClr w14:val="tx1"/>
                  </w14:solidFill>
                </w14:textFill>
              </w:rPr>
              <w:t>3.5m/s</w:t>
            </w:r>
            <w:r>
              <w:rPr>
                <w:rFonts w:hAnsiTheme="minorEastAsia" w:eastAsiaTheme="minorEastAsia"/>
                <w:snapToGrid w:val="0"/>
                <w:color w:val="000000" w:themeColor="text1"/>
                <w:sz w:val="21"/>
                <w:szCs w:val="21"/>
                <w14:textFill>
                  <w14:solidFill>
                    <w14:schemeClr w14:val="tx1"/>
                  </w14:solidFill>
                </w14:textFill>
              </w:rPr>
              <w:t>（对于斜行电梯，大于</w:t>
            </w:r>
            <w:r>
              <w:rPr>
                <w:rFonts w:eastAsiaTheme="minorEastAsia"/>
                <w:snapToGrid w:val="0"/>
                <w:color w:val="000000" w:themeColor="text1"/>
                <w:sz w:val="21"/>
                <w:szCs w:val="21"/>
                <w14:textFill>
                  <w14:solidFill>
                    <w14:schemeClr w14:val="tx1"/>
                  </w14:solidFill>
                </w14:textFill>
              </w:rPr>
              <w:t>2.5m/s</w:t>
            </w:r>
            <w:r>
              <w:rPr>
                <w:rFonts w:hAnsiTheme="minorEastAsia" w:eastAsiaTheme="minorEastAsia"/>
                <w:snapToGrid w:val="0"/>
                <w:color w:val="000000" w:themeColor="text1"/>
                <w:sz w:val="21"/>
                <w:szCs w:val="21"/>
                <w14:textFill>
                  <w14:solidFill>
                    <w14:schemeClr w14:val="tx1"/>
                  </w14:solidFill>
                </w14:textFill>
              </w:rPr>
              <w:t>）时，设有防跳装置，该装置动作时由电气安全装置使电梯停止运行；</w:t>
            </w:r>
          </w:p>
          <w:p w14:paraId="24E28F8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）防爆电梯的补偿链（绳）外部无火花措施保持完好，并且运动时不与其他金属构件、底坑地面相碰擦。</w:t>
            </w:r>
          </w:p>
        </w:tc>
        <w:tc>
          <w:tcPr>
            <w:tcW w:w="2805" w:type="dxa"/>
            <w:tcMar>
              <w:top w:w="0" w:type="dxa"/>
              <w:left w:w="57" w:type="dxa"/>
              <w:bottom w:w="0" w:type="dxa"/>
              <w:right w:w="57" w:type="dxa"/>
            </w:tcMar>
            <w:vAlign w:val="center"/>
          </w:tcPr>
          <w:p w14:paraId="29945C3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）目测补偿装置的端部固定情况；</w:t>
            </w:r>
          </w:p>
          <w:p w14:paraId="12301B13">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）模拟断绳或者防跳装置动作时的状态，观察电气安全装置动作和电梯运行情况；</w:t>
            </w:r>
          </w:p>
          <w:p w14:paraId="2837D36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）目测。</w:t>
            </w:r>
          </w:p>
        </w:tc>
      </w:tr>
      <w:tr w14:paraId="64747C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14" w:hRule="atLeast"/>
          <w:jc w:val="center"/>
        </w:trPr>
        <w:tc>
          <w:tcPr>
            <w:tcW w:w="481" w:type="dxa"/>
            <w:vMerge w:val="continue"/>
            <w:tcMar>
              <w:top w:w="0" w:type="dxa"/>
              <w:left w:w="57" w:type="dxa"/>
              <w:bottom w:w="0" w:type="dxa"/>
              <w:right w:w="57" w:type="dxa"/>
            </w:tcMar>
            <w:vAlign w:val="center"/>
          </w:tcPr>
          <w:p w14:paraId="37453D8C">
            <w:pPr>
              <w:pStyle w:val="19"/>
              <w:spacing w:line="320" w:lineRule="exact"/>
              <w:ind w:left="-57" w:right="-57"/>
              <w:jc w:val="center"/>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00FF8AC">
            <w:pPr>
              <w:pStyle w:val="19"/>
              <w:spacing w:line="320" w:lineRule="exact"/>
              <w:jc w:val="center"/>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359E4FE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A1.2.5.5</w:t>
            </w:r>
          </w:p>
          <w:p w14:paraId="5652EE5B">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异常伸长保护措施</w:t>
            </w:r>
          </w:p>
        </w:tc>
        <w:tc>
          <w:tcPr>
            <w:tcW w:w="4297" w:type="dxa"/>
            <w:tcMar>
              <w:top w:w="0" w:type="dxa"/>
              <w:left w:w="57" w:type="dxa"/>
              <w:bottom w:w="0" w:type="dxa"/>
              <w:right w:w="57" w:type="dxa"/>
            </w:tcMar>
            <w:vAlign w:val="center"/>
          </w:tcPr>
          <w:p w14:paraId="34D7C4CE">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如果轿厢（运载装置）悬挂在包覆带或者两根钢丝绳上，检查当任意一根悬挂装置发生异常相对伸长时，是否能够通过电气安全装置防止电梯的正常运行。</w:t>
            </w:r>
          </w:p>
        </w:tc>
        <w:tc>
          <w:tcPr>
            <w:tcW w:w="2805" w:type="dxa"/>
            <w:tcMar>
              <w:top w:w="0" w:type="dxa"/>
              <w:left w:w="57" w:type="dxa"/>
              <w:bottom w:w="0" w:type="dxa"/>
              <w:right w:w="57" w:type="dxa"/>
            </w:tcMar>
            <w:vAlign w:val="center"/>
          </w:tcPr>
          <w:p w14:paraId="766BFEB6">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模拟操作试验。</w:t>
            </w:r>
          </w:p>
          <w:p w14:paraId="15553A4B">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轿厢以检修速度运行，使松绳或者包覆带电气安全装置动作，观察电梯运行状况。</w:t>
            </w:r>
          </w:p>
        </w:tc>
      </w:tr>
      <w:tr w14:paraId="4D46FD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3" w:hRule="atLeast"/>
          <w:jc w:val="center"/>
        </w:trPr>
        <w:tc>
          <w:tcPr>
            <w:tcW w:w="481" w:type="dxa"/>
            <w:vMerge w:val="continue"/>
            <w:tcMar>
              <w:top w:w="0" w:type="dxa"/>
              <w:left w:w="57" w:type="dxa"/>
              <w:bottom w:w="0" w:type="dxa"/>
              <w:right w:w="57" w:type="dxa"/>
            </w:tcMar>
            <w:vAlign w:val="center"/>
          </w:tcPr>
          <w:p w14:paraId="5AC12078">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7A3EDE2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27D1EED6">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*A1.2.5.6</w:t>
            </w:r>
          </w:p>
          <w:p w14:paraId="4BAAAC92">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非金属材质</w:t>
            </w:r>
          </w:p>
          <w:p w14:paraId="6852B18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反绳轮</w:t>
            </w:r>
          </w:p>
        </w:tc>
        <w:tc>
          <w:tcPr>
            <w:tcW w:w="4297" w:type="dxa"/>
            <w:tcMar>
              <w:top w:w="0" w:type="dxa"/>
              <w:left w:w="57" w:type="dxa"/>
              <w:bottom w:w="0" w:type="dxa"/>
              <w:right w:w="57" w:type="dxa"/>
            </w:tcMar>
            <w:vAlign w:val="center"/>
          </w:tcPr>
          <w:p w14:paraId="0234840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）电梯的额定速度不大于</w:t>
            </w:r>
            <w:r>
              <w:rPr>
                <w:rFonts w:eastAsiaTheme="minorEastAsia"/>
                <w:snapToGrid w:val="0"/>
                <w:color w:val="000000" w:themeColor="text1"/>
                <w:sz w:val="21"/>
                <w:szCs w:val="21"/>
                <w14:textFill>
                  <w14:solidFill>
                    <w14:schemeClr w14:val="tx1"/>
                  </w14:solidFill>
                </w14:textFill>
              </w:rPr>
              <w:t>1.75m/s</w:t>
            </w:r>
            <w:r>
              <w:rPr>
                <w:rFonts w:hAnsiTheme="minorEastAsia" w:eastAsiaTheme="minorEastAsia"/>
                <w:snapToGrid w:val="0"/>
                <w:color w:val="000000" w:themeColor="text1"/>
                <w:sz w:val="21"/>
                <w:szCs w:val="21"/>
                <w14:textFill>
                  <w14:solidFill>
                    <w14:schemeClr w14:val="tx1"/>
                  </w14:solidFill>
                </w14:textFill>
              </w:rPr>
              <w:t>；</w:t>
            </w:r>
          </w:p>
          <w:p w14:paraId="7555B0D4">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）反绳轮上或者附近设有永久固定和清晰的标识，标明反绳轮制造单位名称或者商标、制造日期、维护保养要求（如润滑方法与周期）及报废条件；</w:t>
            </w:r>
          </w:p>
          <w:p w14:paraId="226D91EA">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）维护保养单位按照要求进行了维护保养，并且提供了维护保养过程的视频或者照片等见证资料；</w:t>
            </w:r>
          </w:p>
          <w:p w14:paraId="4A9D9086">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）在进行本附件</w:t>
            </w:r>
            <w:r>
              <w:rPr>
                <w:rFonts w:eastAsiaTheme="minorEastAsia"/>
                <w:snapToGrid w:val="0"/>
                <w:color w:val="000000" w:themeColor="text1"/>
                <w:sz w:val="21"/>
                <w:szCs w:val="21"/>
                <w14:textFill>
                  <w14:solidFill>
                    <w14:schemeClr w14:val="tx1"/>
                  </w14:solidFill>
                </w14:textFill>
              </w:rPr>
              <w:t>A1.3</w:t>
            </w:r>
            <w:r>
              <w:rPr>
                <w:rFonts w:hAnsiTheme="minorEastAsia" w:eastAsiaTheme="minorEastAsia"/>
                <w:snapToGrid w:val="0"/>
                <w:color w:val="000000" w:themeColor="text1"/>
                <w:sz w:val="21"/>
                <w:szCs w:val="21"/>
                <w14:textFill>
                  <w14:solidFill>
                    <w14:schemeClr w14:val="tx1"/>
                  </w14:solidFill>
                </w14:textFill>
              </w:rPr>
              <w:t>条所述的各项试验前、后，均未出现悬挂装置脱离绳槽（带槽）、轮及轮轴偏转、固定结构变形等现象</w:t>
            </w:r>
            <w:r>
              <w:rPr>
                <w:rFonts w:hint="eastAsia" w:hAnsiTheme="minorEastAsia" w:eastAsiaTheme="minorEastAsia"/>
                <w:snapToGrid w:val="0"/>
                <w:color w:val="000000" w:themeColor="text1"/>
                <w:sz w:val="21"/>
                <w:szCs w:val="21"/>
                <w14:textFill>
                  <w14:solidFill>
                    <w14:schemeClr w14:val="tx1"/>
                  </w14:solidFill>
                </w14:textFill>
              </w:rPr>
              <w:t>。</w:t>
            </w:r>
          </w:p>
          <w:p w14:paraId="0A68B982">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对于未按照《电梯监督检验和定期检验规则》中</w:t>
            </w:r>
            <w:r>
              <w:rPr>
                <w:rFonts w:eastAsiaTheme="minorEastAsia"/>
                <w:snapToGrid w:val="0"/>
                <w:color w:val="000000" w:themeColor="text1"/>
                <w:sz w:val="21"/>
                <w:szCs w:val="21"/>
                <w14:textFill>
                  <w14:solidFill>
                    <w14:schemeClr w14:val="tx1"/>
                  </w14:solidFill>
                </w14:textFill>
              </w:rPr>
              <w:t>A1.2.5.7</w:t>
            </w:r>
            <w:r>
              <w:rPr>
                <w:rFonts w:hAnsiTheme="minorEastAsia" w:eastAsiaTheme="minorEastAsia"/>
                <w:snapToGrid w:val="0"/>
                <w:color w:val="000000" w:themeColor="text1"/>
                <w:sz w:val="21"/>
                <w:szCs w:val="21"/>
                <w14:textFill>
                  <w14:solidFill>
                    <w14:schemeClr w14:val="tx1"/>
                  </w14:solidFill>
                </w14:textFill>
              </w:rPr>
              <w:t>条第（</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）和第（</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）项对非金属材质反绳轮进行过监督检验的电梯，应当至少符合前款第（</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）和第（</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）项的要求。</w:t>
            </w:r>
          </w:p>
        </w:tc>
        <w:tc>
          <w:tcPr>
            <w:tcW w:w="2805" w:type="dxa"/>
            <w:tcMar>
              <w:top w:w="0" w:type="dxa"/>
              <w:left w:w="57" w:type="dxa"/>
              <w:bottom w:w="0" w:type="dxa"/>
              <w:right w:w="57" w:type="dxa"/>
            </w:tcMar>
            <w:vAlign w:val="center"/>
          </w:tcPr>
          <w:p w14:paraId="3830B09E">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根据电梯产品合格证上标明的额定速度判断是否满足配置非金属材质反绳轮的条件；</w:t>
            </w:r>
          </w:p>
          <w:p w14:paraId="7A49E482">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）查看维保单位维护保养过程的视频或者照片等见证资料（视频或者照片中应有拍摄日期和唯一性标识）；</w:t>
            </w:r>
          </w:p>
          <w:p w14:paraId="60F990A9">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）在进行本附件</w:t>
            </w:r>
            <w:r>
              <w:rPr>
                <w:rFonts w:eastAsiaTheme="minorEastAsia"/>
                <w:snapToGrid w:val="0"/>
                <w:color w:val="000000" w:themeColor="text1"/>
                <w:sz w:val="21"/>
                <w:szCs w:val="21"/>
                <w14:textFill>
                  <w14:solidFill>
                    <w14:schemeClr w14:val="tx1"/>
                  </w14:solidFill>
                </w14:textFill>
              </w:rPr>
              <w:t>A1.3</w:t>
            </w:r>
            <w:r>
              <w:rPr>
                <w:rFonts w:hAnsiTheme="minorEastAsia" w:eastAsiaTheme="minorEastAsia"/>
                <w:snapToGrid w:val="0"/>
                <w:color w:val="000000" w:themeColor="text1"/>
                <w:sz w:val="21"/>
                <w:szCs w:val="21"/>
                <w14:textFill>
                  <w14:solidFill>
                    <w14:schemeClr w14:val="tx1"/>
                  </w14:solidFill>
                </w14:textFill>
              </w:rPr>
              <w:t>条所述的各项试验前、后，检查是否均未出现悬挂装置脱离绳槽（带槽）、轮及轮轴偏转、固定结构变形等现象。</w:t>
            </w:r>
          </w:p>
        </w:tc>
      </w:tr>
      <w:tr w14:paraId="588B9C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restart"/>
            <w:tcMar>
              <w:top w:w="0" w:type="dxa"/>
              <w:left w:w="57" w:type="dxa"/>
              <w:bottom w:w="0" w:type="dxa"/>
              <w:right w:w="57" w:type="dxa"/>
            </w:tcMar>
            <w:vAlign w:val="center"/>
          </w:tcPr>
          <w:p w14:paraId="2A2A8E43">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22DDE64C">
            <w:pPr>
              <w:pStyle w:val="19"/>
              <w:spacing w:line="32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tcMar>
              <w:top w:w="0" w:type="dxa"/>
              <w:left w:w="57" w:type="dxa"/>
              <w:bottom w:w="0" w:type="dxa"/>
              <w:right w:w="57" w:type="dxa"/>
            </w:tcMar>
            <w:vAlign w:val="center"/>
          </w:tcPr>
          <w:p w14:paraId="6A213C2F">
            <w:pPr>
              <w:pStyle w:val="19"/>
              <w:widowControl/>
              <w:adjustRightInd/>
              <w:spacing w:line="26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w:t>
            </w:r>
          </w:p>
          <w:p w14:paraId="34C20845">
            <w:pPr>
              <w:pStyle w:val="19"/>
              <w:spacing w:line="26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悬挂装置、补偿装置及旋转部件</w:t>
            </w:r>
          </w:p>
        </w:tc>
        <w:tc>
          <w:tcPr>
            <w:tcW w:w="857" w:type="dxa"/>
            <w:tcMar>
              <w:top w:w="0" w:type="dxa"/>
              <w:left w:w="57" w:type="dxa"/>
              <w:bottom w:w="0" w:type="dxa"/>
              <w:right w:w="57" w:type="dxa"/>
            </w:tcMar>
            <w:vAlign w:val="center"/>
          </w:tcPr>
          <w:p w14:paraId="3540BD80">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A1.2.5.7</w:t>
            </w:r>
          </w:p>
          <w:p w14:paraId="2FDBD369">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旋转部件防护装置</w:t>
            </w:r>
          </w:p>
        </w:tc>
        <w:tc>
          <w:tcPr>
            <w:tcW w:w="4297" w:type="dxa"/>
            <w:tcMar>
              <w:top w:w="0" w:type="dxa"/>
              <w:left w:w="57" w:type="dxa"/>
              <w:bottom w:w="0" w:type="dxa"/>
              <w:right w:w="57" w:type="dxa"/>
            </w:tcMar>
            <w:vAlign w:val="center"/>
          </w:tcPr>
          <w:p w14:paraId="23539C05">
            <w:pPr>
              <w:pStyle w:val="19"/>
              <w:widowControl/>
              <w:adjustRightInd/>
              <w:spacing w:line="30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检查曳引轮、滑轮、限速器和张紧轮是否设置防护装置，以避免人身伤害、钢丝绳（包覆带）因松弛而脱离绳槽（带槽）、异物进入钢丝绳（包覆带）与绳槽（带槽）之间并且防护装置与运动部件无碰擦。</w:t>
            </w:r>
          </w:p>
          <w:p w14:paraId="48DCD37C">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对于允许按照</w:t>
            </w:r>
            <w:r>
              <w:rPr>
                <w:rFonts w:hint="eastAsia" w:eastAsiaTheme="minorEastAsia"/>
                <w:snapToGrid w:val="0"/>
                <w:color w:val="000000" w:themeColor="text1"/>
                <w:sz w:val="21"/>
                <w:szCs w:val="21"/>
                <w14:textFill>
                  <w14:solidFill>
                    <w14:schemeClr w14:val="tx1"/>
                  </w14:solidFill>
                </w14:textFill>
              </w:rPr>
              <w:t xml:space="preserve">GB </w:t>
            </w:r>
            <w:r>
              <w:rPr>
                <w:rFonts w:eastAsiaTheme="minorEastAsia"/>
                <w:snapToGrid w:val="0"/>
                <w:color w:val="000000" w:themeColor="text1"/>
                <w:sz w:val="21"/>
                <w:szCs w:val="21"/>
                <w14:textFill>
                  <w14:solidFill>
                    <w14:schemeClr w14:val="tx1"/>
                  </w14:solidFill>
                </w14:textFill>
              </w:rPr>
              <w:t>7588—1995</w:t>
            </w:r>
            <w:r>
              <w:rPr>
                <w:rFonts w:hAnsiTheme="minorEastAsia" w:eastAsiaTheme="minorEastAsia"/>
                <w:snapToGrid w:val="0"/>
                <w:color w:val="000000" w:themeColor="text1"/>
                <w:sz w:val="21"/>
                <w:szCs w:val="21"/>
                <w14:textFill>
                  <w14:solidFill>
                    <w14:schemeClr w14:val="tx1"/>
                  </w14:solidFill>
                </w14:textFill>
              </w:rPr>
              <w:t>《电梯制造与安装安全规范》及更早期标准生产的电梯，采用悬臂式曳引轮的，检查是否至少设有防止钢丝绳脱离绳槽的装置，并且当驱动主机不装设在井道上部时，有防止异物进入绳与绳槽之间的装置。</w:t>
            </w:r>
          </w:p>
        </w:tc>
        <w:tc>
          <w:tcPr>
            <w:tcW w:w="2805" w:type="dxa"/>
            <w:tcMar>
              <w:top w:w="0" w:type="dxa"/>
              <w:left w:w="57" w:type="dxa"/>
              <w:bottom w:w="0" w:type="dxa"/>
              <w:right w:w="57" w:type="dxa"/>
            </w:tcMar>
            <w:vAlign w:val="center"/>
          </w:tcPr>
          <w:p w14:paraId="065DBE89">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15B48D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0596C2A2">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restart"/>
            <w:tcMar>
              <w:top w:w="0" w:type="dxa"/>
              <w:left w:w="57" w:type="dxa"/>
              <w:bottom w:w="0" w:type="dxa"/>
              <w:right w:w="57" w:type="dxa"/>
            </w:tcMar>
            <w:vAlign w:val="center"/>
          </w:tcPr>
          <w:p w14:paraId="7DDD2816">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w:t>
            </w:r>
          </w:p>
          <w:p w14:paraId="5C116BAB">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w:t>
            </w:r>
          </w:p>
          <w:p w14:paraId="593265B3">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厢（运</w:t>
            </w:r>
          </w:p>
          <w:p w14:paraId="5D79D868">
            <w:pPr>
              <w:pStyle w:val="19"/>
              <w:widowControl/>
              <w:adjustRightInd/>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载装置）与对重（平衡重）</w:t>
            </w:r>
          </w:p>
        </w:tc>
        <w:tc>
          <w:tcPr>
            <w:tcW w:w="857" w:type="dxa"/>
            <w:tcMar>
              <w:top w:w="0" w:type="dxa"/>
              <w:left w:w="57" w:type="dxa"/>
              <w:bottom w:w="0" w:type="dxa"/>
              <w:right w:w="57" w:type="dxa"/>
            </w:tcMar>
            <w:vAlign w:val="center"/>
          </w:tcPr>
          <w:p w14:paraId="2106F675">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A1.2.6.1</w:t>
            </w:r>
          </w:p>
          <w:p w14:paraId="680A6AB8">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轿顶停止装置</w:t>
            </w:r>
          </w:p>
        </w:tc>
        <w:tc>
          <w:tcPr>
            <w:tcW w:w="4297" w:type="dxa"/>
            <w:tcMar>
              <w:top w:w="0" w:type="dxa"/>
              <w:left w:w="57" w:type="dxa"/>
              <w:bottom w:w="0" w:type="dxa"/>
              <w:right w:w="57" w:type="dxa"/>
            </w:tcMar>
            <w:vAlign w:val="center"/>
          </w:tcPr>
          <w:p w14:paraId="55A42BBE">
            <w:pPr>
              <w:pStyle w:val="19"/>
              <w:widowControl/>
              <w:adjustRightInd/>
              <w:spacing w:line="30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检查轿顶上距入口不大于</w:t>
            </w:r>
            <w:r>
              <w:rPr>
                <w:rFonts w:eastAsiaTheme="minorEastAsia"/>
                <w:snapToGrid w:val="0"/>
                <w:color w:val="000000" w:themeColor="text1"/>
                <w:sz w:val="21"/>
                <w:szCs w:val="21"/>
                <w14:textFill>
                  <w14:solidFill>
                    <w14:schemeClr w14:val="tx1"/>
                  </w14:solidFill>
                </w14:textFill>
              </w:rPr>
              <w:t>1m</w:t>
            </w:r>
            <w:r>
              <w:rPr>
                <w:rFonts w:hAnsiTheme="minorEastAsia" w:eastAsiaTheme="minorEastAsia"/>
                <w:snapToGrid w:val="0"/>
                <w:color w:val="000000" w:themeColor="text1"/>
                <w:sz w:val="21"/>
                <w:szCs w:val="21"/>
                <w14:textFill>
                  <w14:solidFill>
                    <w14:schemeClr w14:val="tx1"/>
                  </w14:solidFill>
                </w14:textFill>
              </w:rPr>
              <w:t>处是否设有易于接近的停止装置，并且功能有效；</w:t>
            </w:r>
          </w:p>
          <w:p w14:paraId="17F161C3">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该装置也可以是距入口不大于</w:t>
            </w:r>
            <w:r>
              <w:rPr>
                <w:rFonts w:eastAsiaTheme="minorEastAsia"/>
                <w:snapToGrid w:val="0"/>
                <w:color w:val="000000" w:themeColor="text1"/>
                <w:sz w:val="21"/>
                <w:szCs w:val="21"/>
                <w14:textFill>
                  <w14:solidFill>
                    <w14:schemeClr w14:val="tx1"/>
                  </w14:solidFill>
                </w14:textFill>
              </w:rPr>
              <w:t>1m</w:t>
            </w:r>
            <w:r>
              <w:rPr>
                <w:rFonts w:hAnsiTheme="minorEastAsia" w:eastAsiaTheme="minorEastAsia"/>
                <w:snapToGrid w:val="0"/>
                <w:color w:val="000000" w:themeColor="text1"/>
                <w:sz w:val="21"/>
                <w:szCs w:val="21"/>
                <w14:textFill>
                  <w14:solidFill>
                    <w14:schemeClr w14:val="tx1"/>
                  </w14:solidFill>
                </w14:textFill>
              </w:rPr>
              <w:t>的检修控制装置上的停止装置。</w:t>
            </w:r>
          </w:p>
          <w:p w14:paraId="20A7EFFC">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A1-5</w:t>
            </w:r>
            <w:r>
              <w:rPr>
                <w:rFonts w:hAnsiTheme="minorEastAsia" w:eastAsiaTheme="minorEastAsia"/>
                <w:snapToGrid w:val="0"/>
                <w:color w:val="000000" w:themeColor="text1"/>
                <w:sz w:val="21"/>
                <w:szCs w:val="21"/>
                <w14:textFill>
                  <w14:solidFill>
                    <w14:schemeClr w14:val="tx1"/>
                  </w14:solidFill>
                </w14:textFill>
              </w:rPr>
              <w:t>：对于斜行电梯，仅当轿顶作为工作区域时应当设置轿顶停止装置。</w:t>
            </w:r>
          </w:p>
        </w:tc>
        <w:tc>
          <w:tcPr>
            <w:tcW w:w="2805" w:type="dxa"/>
            <w:tcMar>
              <w:top w:w="0" w:type="dxa"/>
              <w:left w:w="57" w:type="dxa"/>
              <w:bottom w:w="0" w:type="dxa"/>
              <w:right w:w="57" w:type="dxa"/>
            </w:tcMar>
            <w:vAlign w:val="center"/>
          </w:tcPr>
          <w:p w14:paraId="33660E00">
            <w:pPr>
              <w:pStyle w:val="19"/>
              <w:widowControl/>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必要时测量；</w:t>
            </w:r>
          </w:p>
          <w:p w14:paraId="439C8882">
            <w:pPr>
              <w:pStyle w:val="19"/>
              <w:widowControl/>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）操作验证停止装置的功能。</w:t>
            </w:r>
          </w:p>
        </w:tc>
      </w:tr>
      <w:tr w14:paraId="2AFC75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1BBC6AFA">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00DECAC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4F6C2A27">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A1.2.6.2</w:t>
            </w:r>
          </w:p>
          <w:p w14:paraId="2C86279D">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轿厢安全窗</w:t>
            </w:r>
          </w:p>
        </w:tc>
        <w:tc>
          <w:tcPr>
            <w:tcW w:w="4297" w:type="dxa"/>
            <w:tcMar>
              <w:top w:w="0" w:type="dxa"/>
              <w:left w:w="57" w:type="dxa"/>
              <w:bottom w:w="0" w:type="dxa"/>
              <w:right w:w="57" w:type="dxa"/>
            </w:tcMar>
            <w:vAlign w:val="center"/>
          </w:tcPr>
          <w:p w14:paraId="38AA60DB">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如果设有轿厢安全窗，检查安全窗的锁紧是否由电气安全装置验证。</w:t>
            </w:r>
          </w:p>
        </w:tc>
        <w:tc>
          <w:tcPr>
            <w:tcW w:w="2805" w:type="dxa"/>
            <w:tcMar>
              <w:top w:w="0" w:type="dxa"/>
              <w:left w:w="57" w:type="dxa"/>
              <w:bottom w:w="0" w:type="dxa"/>
              <w:right w:w="57" w:type="dxa"/>
            </w:tcMar>
            <w:vAlign w:val="center"/>
          </w:tcPr>
          <w:p w14:paraId="07CF2707">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操作验证。</w:t>
            </w:r>
          </w:p>
        </w:tc>
      </w:tr>
      <w:tr w14:paraId="5B0BC9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648FEF0C">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031AC43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4F605518">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A1.2.6.3</w:t>
            </w:r>
          </w:p>
          <w:p w14:paraId="1D67FA0E">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轿厢安全门</w:t>
            </w:r>
          </w:p>
        </w:tc>
        <w:tc>
          <w:tcPr>
            <w:tcW w:w="4297" w:type="dxa"/>
            <w:tcMar>
              <w:top w:w="0" w:type="dxa"/>
              <w:left w:w="57" w:type="dxa"/>
              <w:bottom w:w="0" w:type="dxa"/>
              <w:right w:w="57" w:type="dxa"/>
            </w:tcMar>
            <w:vAlign w:val="center"/>
          </w:tcPr>
          <w:p w14:paraId="5F0D35D7">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如果设有轿厢安全门，检查安全门的锁紧是否由电气安全装置验证。</w:t>
            </w:r>
          </w:p>
        </w:tc>
        <w:tc>
          <w:tcPr>
            <w:tcW w:w="2805" w:type="dxa"/>
            <w:tcMar>
              <w:top w:w="0" w:type="dxa"/>
              <w:left w:w="57" w:type="dxa"/>
              <w:bottom w:w="0" w:type="dxa"/>
              <w:right w:w="57" w:type="dxa"/>
            </w:tcMar>
            <w:vAlign w:val="center"/>
          </w:tcPr>
          <w:p w14:paraId="7F5CBAC9">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操作验证。</w:t>
            </w:r>
          </w:p>
        </w:tc>
      </w:tr>
      <w:tr w14:paraId="1E3DC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81" w:type="dxa"/>
            <w:vMerge w:val="continue"/>
            <w:tcMar>
              <w:top w:w="0" w:type="dxa"/>
              <w:left w:w="57" w:type="dxa"/>
              <w:bottom w:w="0" w:type="dxa"/>
              <w:right w:w="57" w:type="dxa"/>
            </w:tcMar>
            <w:vAlign w:val="center"/>
          </w:tcPr>
          <w:p w14:paraId="457D5E42">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180EA18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72F148DE">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A1.2.6.4</w:t>
            </w:r>
          </w:p>
          <w:p w14:paraId="00714C80">
            <w:pPr>
              <w:pStyle w:val="19"/>
              <w:widowControl/>
              <w:adjustRightInd/>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对重（平衡重）块</w:t>
            </w:r>
          </w:p>
        </w:tc>
        <w:tc>
          <w:tcPr>
            <w:tcW w:w="4297" w:type="dxa"/>
            <w:tcMar>
              <w:top w:w="0" w:type="dxa"/>
              <w:left w:w="57" w:type="dxa"/>
              <w:bottom w:w="0" w:type="dxa"/>
              <w:right w:w="57" w:type="dxa"/>
            </w:tcMar>
            <w:vAlign w:val="center"/>
          </w:tcPr>
          <w:p w14:paraId="60BDD2CD">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）对重（平衡重）块无松动、移位等现象；</w:t>
            </w:r>
          </w:p>
          <w:p w14:paraId="6EB19226">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）具有能够快速识别对重（平衡重）块数量的措施（例如标明数量或者总高度），并且该措施不会被混淆；</w:t>
            </w:r>
          </w:p>
          <w:p w14:paraId="56291DF7">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）非金属材质对重（平衡重）块（架）上、轿顶上或者底坑内有清晰的标识，标明对重（平衡重）块制造单位名称或者商标和报废条件；</w:t>
            </w:r>
          </w:p>
          <w:p w14:paraId="49C9FD42">
            <w:pPr>
              <w:pStyle w:val="19"/>
              <w:widowControl/>
              <w:adjustRightInd/>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）在进行本附件</w:t>
            </w:r>
            <w:r>
              <w:rPr>
                <w:rFonts w:eastAsiaTheme="minorEastAsia"/>
                <w:snapToGrid w:val="0"/>
                <w:color w:val="000000" w:themeColor="text1"/>
                <w:sz w:val="21"/>
                <w:szCs w:val="21"/>
                <w14:textFill>
                  <w14:solidFill>
                    <w14:schemeClr w14:val="tx1"/>
                  </w14:solidFill>
                </w14:textFill>
              </w:rPr>
              <w:t>A1.3</w:t>
            </w:r>
            <w:r>
              <w:rPr>
                <w:rFonts w:hAnsiTheme="minorEastAsia" w:eastAsiaTheme="minorEastAsia"/>
                <w:snapToGrid w:val="0"/>
                <w:color w:val="000000" w:themeColor="text1"/>
                <w:sz w:val="21"/>
                <w:szCs w:val="21"/>
                <w14:textFill>
                  <w14:solidFill>
                    <w14:schemeClr w14:val="tx1"/>
                  </w14:solidFill>
                </w14:textFill>
              </w:rPr>
              <w:t>条所述的各项试验前、后，对重（平衡重）块及其包覆物均无影响产品性能的开裂、破碎、剥落、腐蚀等现象。对于未按照《电梯监督检验和定期检验规则》中</w:t>
            </w:r>
            <w:r>
              <w:rPr>
                <w:rFonts w:eastAsiaTheme="minorEastAsia"/>
                <w:snapToGrid w:val="0"/>
                <w:color w:val="000000" w:themeColor="text1"/>
                <w:sz w:val="21"/>
                <w:szCs w:val="21"/>
                <w14:textFill>
                  <w14:solidFill>
                    <w14:schemeClr w14:val="tx1"/>
                  </w14:solidFill>
                </w14:textFill>
              </w:rPr>
              <w:t>A1.2.6.6</w:t>
            </w:r>
            <w:r>
              <w:rPr>
                <w:rFonts w:hAnsiTheme="minorEastAsia" w:eastAsiaTheme="minorEastAsia"/>
                <w:snapToGrid w:val="0"/>
                <w:color w:val="000000" w:themeColor="text1"/>
                <w:sz w:val="21"/>
                <w:szCs w:val="21"/>
                <w14:textFill>
                  <w14:solidFill>
                    <w14:schemeClr w14:val="tx1"/>
                  </w14:solidFill>
                </w14:textFill>
              </w:rPr>
              <w:t>条第（</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）项对非金属材质对重（平衡重）块进行过监督检验的电梯，应当至少符合前款第（</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）、第（</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）、第（</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）项的要求。</w:t>
            </w:r>
          </w:p>
        </w:tc>
        <w:tc>
          <w:tcPr>
            <w:tcW w:w="2805" w:type="dxa"/>
            <w:tcMar>
              <w:top w:w="0" w:type="dxa"/>
              <w:left w:w="57" w:type="dxa"/>
              <w:bottom w:w="0" w:type="dxa"/>
              <w:right w:w="57" w:type="dxa"/>
            </w:tcMar>
            <w:vAlign w:val="center"/>
          </w:tcPr>
          <w:p w14:paraId="1FA094C2">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29BF1B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restart"/>
            <w:tcMar>
              <w:top w:w="0" w:type="dxa"/>
              <w:left w:w="57" w:type="dxa"/>
              <w:bottom w:w="0" w:type="dxa"/>
              <w:right w:w="57" w:type="dxa"/>
            </w:tcMar>
            <w:vAlign w:val="center"/>
          </w:tcPr>
          <w:p w14:paraId="6D88AF68">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0C33F923">
            <w:pPr>
              <w:pStyle w:val="19"/>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实物检查</w:t>
            </w:r>
          </w:p>
        </w:tc>
        <w:tc>
          <w:tcPr>
            <w:tcW w:w="518" w:type="dxa"/>
            <w:vMerge w:val="restart"/>
            <w:tcMar>
              <w:top w:w="0" w:type="dxa"/>
              <w:left w:w="57" w:type="dxa"/>
              <w:bottom w:w="0" w:type="dxa"/>
              <w:right w:w="57" w:type="dxa"/>
            </w:tcMar>
            <w:vAlign w:val="center"/>
          </w:tcPr>
          <w:p w14:paraId="7CF408B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int="eastAsia" w:eastAsiaTheme="minorEastAsia"/>
                <w:snapToGrid w:val="0"/>
                <w:color w:val="000000" w:themeColor="text1"/>
                <w:sz w:val="21"/>
                <w:szCs w:val="21"/>
                <w14:textFill>
                  <w14:solidFill>
                    <w14:schemeClr w14:val="tx1"/>
                  </w14:solidFill>
                </w14:textFill>
              </w:rPr>
              <w:t>A</w:t>
            </w:r>
            <w:r>
              <w:rPr>
                <w:rFonts w:eastAsiaTheme="minorEastAsia"/>
                <w:snapToGrid w:val="0"/>
                <w:color w:val="000000" w:themeColor="text1"/>
                <w:sz w:val="21"/>
                <w:szCs w:val="21"/>
                <w14:textFill>
                  <w14:solidFill>
                    <w14:schemeClr w14:val="tx1"/>
                  </w14:solidFill>
                </w14:textFill>
              </w:rPr>
              <w:t>1.2.6</w:t>
            </w:r>
          </w:p>
          <w:p w14:paraId="2D62558B">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轿厢（运载装置）与对重</w:t>
            </w:r>
          </w:p>
          <w:p w14:paraId="08D09CEF">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（平衡重）</w:t>
            </w:r>
          </w:p>
        </w:tc>
        <w:tc>
          <w:tcPr>
            <w:tcW w:w="857" w:type="dxa"/>
            <w:tcMar>
              <w:top w:w="0" w:type="dxa"/>
              <w:left w:w="57" w:type="dxa"/>
              <w:bottom w:w="0" w:type="dxa"/>
              <w:right w:w="57" w:type="dxa"/>
            </w:tcMar>
            <w:vAlign w:val="center"/>
          </w:tcPr>
          <w:p w14:paraId="77C48053">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A1.2.6.5</w:t>
            </w:r>
          </w:p>
          <w:p w14:paraId="64143B83">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w:t>
            </w:r>
          </w:p>
          <w:p w14:paraId="17479F6B">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照明及通风</w:t>
            </w:r>
          </w:p>
        </w:tc>
        <w:tc>
          <w:tcPr>
            <w:tcW w:w="4297" w:type="dxa"/>
            <w:tcMar>
              <w:top w:w="0" w:type="dxa"/>
              <w:left w:w="57" w:type="dxa"/>
              <w:bottom w:w="0" w:type="dxa"/>
              <w:right w:w="57" w:type="dxa"/>
            </w:tcMar>
            <w:vAlign w:val="center"/>
          </w:tcPr>
          <w:p w14:paraId="25DEBF60">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）轿厢正常照明和通风有效</w:t>
            </w:r>
            <w:r>
              <w:rPr>
                <w:rFonts w:hint="eastAsia" w:hAnsiTheme="minorEastAsia" w:eastAsiaTheme="minorEastAsia"/>
                <w:snapToGrid w:val="0"/>
                <w:color w:val="000000" w:themeColor="text1"/>
                <w:sz w:val="21"/>
                <w:szCs w:val="21"/>
                <w14:textFill>
                  <w14:solidFill>
                    <w14:schemeClr w14:val="tx1"/>
                  </w14:solidFill>
                </w14:textFill>
              </w:rPr>
              <w:t>；</w:t>
            </w:r>
          </w:p>
          <w:p w14:paraId="73C6DCE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）在正常照明电源发生故障的情况下，由紧急电源供电的应急照明能够自动投入工作。</w:t>
            </w:r>
          </w:p>
        </w:tc>
        <w:tc>
          <w:tcPr>
            <w:tcW w:w="2805" w:type="dxa"/>
            <w:tcMar>
              <w:top w:w="0" w:type="dxa"/>
              <w:left w:w="57" w:type="dxa"/>
              <w:bottom w:w="0" w:type="dxa"/>
              <w:right w:w="57" w:type="dxa"/>
            </w:tcMar>
            <w:vAlign w:val="center"/>
          </w:tcPr>
          <w:p w14:paraId="2DC6670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）操作验证；</w:t>
            </w:r>
          </w:p>
          <w:p w14:paraId="26F4F4AD">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）断开正常照明供电电源，验证应急照明的功能。</w:t>
            </w:r>
          </w:p>
        </w:tc>
      </w:tr>
      <w:tr w14:paraId="6F4F2E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51" w:hRule="atLeast"/>
          <w:jc w:val="center"/>
        </w:trPr>
        <w:tc>
          <w:tcPr>
            <w:tcW w:w="481" w:type="dxa"/>
            <w:vMerge w:val="continue"/>
            <w:tcMar>
              <w:top w:w="0" w:type="dxa"/>
              <w:left w:w="57" w:type="dxa"/>
              <w:bottom w:w="0" w:type="dxa"/>
              <w:right w:w="57" w:type="dxa"/>
            </w:tcMar>
            <w:vAlign w:val="center"/>
          </w:tcPr>
          <w:p w14:paraId="74B66AC7">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716CF115">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29912BF1">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A1.2.6.6</w:t>
            </w:r>
          </w:p>
          <w:p w14:paraId="0D167D56">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w:t>
            </w:r>
          </w:p>
          <w:p w14:paraId="269CD5B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语音播报系统</w:t>
            </w:r>
          </w:p>
        </w:tc>
        <w:tc>
          <w:tcPr>
            <w:tcW w:w="4297" w:type="dxa"/>
            <w:tcMar>
              <w:top w:w="0" w:type="dxa"/>
              <w:left w:w="57" w:type="dxa"/>
              <w:bottom w:w="0" w:type="dxa"/>
              <w:right w:w="57" w:type="dxa"/>
            </w:tcMar>
            <w:vAlign w:val="center"/>
          </w:tcPr>
          <w:p w14:paraId="70CCF8E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检查在停电、故障停梯、轿厢位置校正（再平层除外）、自动救援操作装置启动以及接收火灾信号退出正常服务时，轿厢语音播报系统是否进行语音播报，提示、安抚轿厢内乘客。</w:t>
            </w:r>
          </w:p>
        </w:tc>
        <w:tc>
          <w:tcPr>
            <w:tcW w:w="2805" w:type="dxa"/>
            <w:tcMar>
              <w:top w:w="0" w:type="dxa"/>
              <w:left w:w="57" w:type="dxa"/>
              <w:bottom w:w="0" w:type="dxa"/>
              <w:right w:w="57" w:type="dxa"/>
            </w:tcMar>
            <w:vAlign w:val="center"/>
          </w:tcPr>
          <w:p w14:paraId="7B0DE9E4">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模拟电梯停电、故障停梯、轿厢位置校正（再平层除外）、自动救援操作装置启动以及接收火灾信号退出正常服务时的状况，验证轿厢语音播报系统功能。</w:t>
            </w:r>
          </w:p>
        </w:tc>
      </w:tr>
      <w:tr w14:paraId="17A3A6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1" w:hRule="atLeast"/>
          <w:jc w:val="center"/>
        </w:trPr>
        <w:tc>
          <w:tcPr>
            <w:tcW w:w="481" w:type="dxa"/>
            <w:vMerge w:val="continue"/>
            <w:tcMar>
              <w:top w:w="0" w:type="dxa"/>
              <w:left w:w="57" w:type="dxa"/>
              <w:bottom w:w="0" w:type="dxa"/>
              <w:right w:w="57" w:type="dxa"/>
            </w:tcMar>
            <w:vAlign w:val="center"/>
          </w:tcPr>
          <w:p w14:paraId="561C3496">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FA07DEA">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05C3F763">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A1.2.6.7</w:t>
            </w:r>
          </w:p>
          <w:p w14:paraId="0459C4ED">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w:t>
            </w:r>
          </w:p>
          <w:p w14:paraId="0D22F1B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护脚板</w:t>
            </w:r>
          </w:p>
        </w:tc>
        <w:tc>
          <w:tcPr>
            <w:tcW w:w="4297" w:type="dxa"/>
            <w:tcMar>
              <w:top w:w="0" w:type="dxa"/>
              <w:left w:w="57" w:type="dxa"/>
              <w:bottom w:w="0" w:type="dxa"/>
              <w:right w:w="57" w:type="dxa"/>
            </w:tcMar>
            <w:vAlign w:val="center"/>
          </w:tcPr>
          <w:p w14:paraId="4B6D4274">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检查其是否符合下列要求之一：</w:t>
            </w:r>
          </w:p>
          <w:p w14:paraId="77C4BED2">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对于非斜行电梯，轿厢护脚板的垂直部分高度不小于</w:t>
            </w:r>
            <w:r>
              <w:rPr>
                <w:rFonts w:eastAsiaTheme="minorEastAsia"/>
                <w:snapToGrid w:val="0"/>
                <w:color w:val="000000" w:themeColor="text1"/>
                <w:sz w:val="21"/>
                <w:szCs w:val="21"/>
                <w14:textFill>
                  <w14:solidFill>
                    <w14:schemeClr w14:val="tx1"/>
                  </w14:solidFill>
                </w14:textFill>
              </w:rPr>
              <w:t>0.75m</w:t>
            </w:r>
            <w:r>
              <w:rPr>
                <w:rFonts w:hAnsiTheme="minorEastAsia" w:eastAsiaTheme="minorEastAsia"/>
                <w:snapToGrid w:val="0"/>
                <w:color w:val="000000" w:themeColor="text1"/>
                <w:sz w:val="21"/>
                <w:szCs w:val="21"/>
                <w14:textFill>
                  <w14:solidFill>
                    <w14:schemeClr w14:val="tx1"/>
                  </w14:solidFill>
                </w14:textFill>
              </w:rPr>
              <w:t>，宽度不小于层站入口宽度；</w:t>
            </w:r>
          </w:p>
          <w:p w14:paraId="5A948FC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斜行电梯，轿厢护脚板的宽度至少等于运载装置位于开锁区域内时相应层站入口可能暴露的整个净宽度；设有侧置轿门时，其垂直部分的尺寸能够保护所有可能暴露的表面；设有前置轿门时，面对较低的层站侧，垂直部分的高度不小于</w:t>
            </w:r>
            <w:r>
              <w:rPr>
                <w:rFonts w:eastAsiaTheme="minorEastAsia"/>
                <w:snapToGrid w:val="0"/>
                <w:color w:val="000000" w:themeColor="text1"/>
                <w:sz w:val="21"/>
                <w:szCs w:val="21"/>
                <w14:textFill>
                  <w14:solidFill>
                    <w14:schemeClr w14:val="tx1"/>
                  </w14:solidFill>
                </w14:textFill>
              </w:rPr>
              <w:t>0.30m</w:t>
            </w:r>
            <w:r>
              <w:rPr>
                <w:rFonts w:hAnsiTheme="minorEastAsia" w:eastAsiaTheme="minorEastAsia"/>
                <w:snapToGrid w:val="0"/>
                <w:color w:val="000000" w:themeColor="text1"/>
                <w:sz w:val="21"/>
                <w:szCs w:val="21"/>
                <w14:textFill>
                  <w14:solidFill>
                    <w14:schemeClr w14:val="tx1"/>
                  </w14:solidFill>
                </w14:textFill>
              </w:rPr>
              <w:t>。</w:t>
            </w:r>
          </w:p>
        </w:tc>
        <w:tc>
          <w:tcPr>
            <w:tcW w:w="2805" w:type="dxa"/>
            <w:tcMar>
              <w:top w:w="0" w:type="dxa"/>
              <w:left w:w="57" w:type="dxa"/>
              <w:bottom w:w="0" w:type="dxa"/>
              <w:right w:w="57" w:type="dxa"/>
            </w:tcMar>
            <w:vAlign w:val="center"/>
          </w:tcPr>
          <w:p w14:paraId="48152B76">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目测；必要时测量相关数据。</w:t>
            </w:r>
          </w:p>
        </w:tc>
      </w:tr>
      <w:tr w14:paraId="51625F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67E47974">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7F0E9054">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67CEFFF7">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A1.2.6.8</w:t>
            </w:r>
          </w:p>
          <w:p w14:paraId="150C9583">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扶手、</w:t>
            </w:r>
          </w:p>
          <w:p w14:paraId="06FCC347">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立柱等装置</w:t>
            </w:r>
          </w:p>
        </w:tc>
        <w:tc>
          <w:tcPr>
            <w:tcW w:w="4297" w:type="dxa"/>
            <w:tcMar>
              <w:top w:w="0" w:type="dxa"/>
              <w:left w:w="57" w:type="dxa"/>
              <w:bottom w:w="0" w:type="dxa"/>
              <w:right w:w="57" w:type="dxa"/>
            </w:tcMar>
            <w:vAlign w:val="center"/>
          </w:tcPr>
          <w:p w14:paraId="636FD090">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检查斜行电梯轿厢内是否设有供乘客就近抓握的扶手、立柱等装置。</w:t>
            </w:r>
          </w:p>
        </w:tc>
        <w:tc>
          <w:tcPr>
            <w:tcW w:w="2805" w:type="dxa"/>
            <w:tcMar>
              <w:top w:w="0" w:type="dxa"/>
              <w:left w:w="57" w:type="dxa"/>
              <w:bottom w:w="0" w:type="dxa"/>
              <w:right w:w="57" w:type="dxa"/>
            </w:tcMar>
            <w:vAlign w:val="center"/>
          </w:tcPr>
          <w:p w14:paraId="032EE849">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p>
        </w:tc>
      </w:tr>
      <w:tr w14:paraId="04B72E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97" w:hRule="atLeast"/>
          <w:jc w:val="center"/>
        </w:trPr>
        <w:tc>
          <w:tcPr>
            <w:tcW w:w="481" w:type="dxa"/>
            <w:vMerge w:val="continue"/>
            <w:tcMar>
              <w:top w:w="0" w:type="dxa"/>
              <w:left w:w="57" w:type="dxa"/>
              <w:bottom w:w="0" w:type="dxa"/>
              <w:right w:w="57" w:type="dxa"/>
            </w:tcMar>
            <w:vAlign w:val="center"/>
          </w:tcPr>
          <w:p w14:paraId="717EE46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restart"/>
            <w:tcMar>
              <w:top w:w="0" w:type="dxa"/>
              <w:left w:w="57" w:type="dxa"/>
              <w:bottom w:w="0" w:type="dxa"/>
              <w:right w:w="57" w:type="dxa"/>
            </w:tcMar>
            <w:vAlign w:val="center"/>
          </w:tcPr>
          <w:p w14:paraId="1393B8FA">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w:t>
            </w:r>
          </w:p>
          <w:p w14:paraId="5ED2460E">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层门和轿门（注</w:t>
            </w:r>
            <w:r>
              <w:rPr>
                <w:rFonts w:eastAsiaTheme="minorEastAsia"/>
                <w:snapToGrid w:val="0"/>
                <w:color w:val="000000" w:themeColor="text1"/>
                <w:sz w:val="21"/>
                <w:szCs w:val="21"/>
                <w14:textFill>
                  <w14:solidFill>
                    <w14:schemeClr w14:val="tx1"/>
                  </w14:solidFill>
                </w14:textFill>
              </w:rPr>
              <w:t>A1-6</w:t>
            </w:r>
            <w:r>
              <w:rPr>
                <w:rFonts w:hAnsiTheme="minorEastAsia" w:eastAsiaTheme="minorEastAsia"/>
                <w:snapToGrid w:val="0"/>
                <w:color w:val="000000" w:themeColor="text1"/>
                <w:sz w:val="21"/>
                <w:szCs w:val="21"/>
                <w14:textFill>
                  <w14:solidFill>
                    <w14:schemeClr w14:val="tx1"/>
                  </w14:solidFill>
                </w14:textFill>
              </w:rPr>
              <w:t>）</w:t>
            </w:r>
          </w:p>
          <w:p w14:paraId="3A2CF2A3">
            <w:pPr>
              <w:pStyle w:val="19"/>
              <w:tabs>
                <w:tab w:val="left" w:pos="433"/>
              </w:tabs>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188BFB53">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*A1.2.7.1</w:t>
            </w:r>
          </w:p>
          <w:p w14:paraId="507C323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门间隙</w:t>
            </w:r>
          </w:p>
        </w:tc>
        <w:tc>
          <w:tcPr>
            <w:tcW w:w="4297" w:type="dxa"/>
            <w:tcMar>
              <w:top w:w="0" w:type="dxa"/>
              <w:left w:w="57" w:type="dxa"/>
              <w:bottom w:w="0" w:type="dxa"/>
              <w:right w:w="57" w:type="dxa"/>
            </w:tcMar>
            <w:vAlign w:val="center"/>
          </w:tcPr>
          <w:p w14:paraId="1BC1E07B">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测量门关闭后的间隙是否符合以下要求：</w:t>
            </w:r>
          </w:p>
          <w:p w14:paraId="7F7A4E52">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）门扇之间及门扇与立柱、门楣和地坎之间的间隙，对于乘客电梯不大于</w:t>
            </w:r>
            <w:r>
              <w:rPr>
                <w:rFonts w:eastAsiaTheme="minorEastAsia"/>
                <w:snapToGrid w:val="0"/>
                <w:color w:val="000000" w:themeColor="text1"/>
                <w:sz w:val="21"/>
                <w:szCs w:val="21"/>
                <w14:textFill>
                  <w14:solidFill>
                    <w14:schemeClr w14:val="tx1"/>
                  </w14:solidFill>
                </w14:textFill>
              </w:rPr>
              <w:t>6mm</w:t>
            </w:r>
            <w:r>
              <w:rPr>
                <w:rFonts w:hAnsiTheme="minorEastAsia" w:eastAsiaTheme="minorEastAsia"/>
                <w:snapToGrid w:val="0"/>
                <w:color w:val="000000" w:themeColor="text1"/>
                <w:sz w:val="21"/>
                <w:szCs w:val="21"/>
                <w14:textFill>
                  <w14:solidFill>
                    <w14:schemeClr w14:val="tx1"/>
                  </w14:solidFill>
                </w14:textFill>
              </w:rPr>
              <w:t>；对于载货电梯不大于</w:t>
            </w:r>
            <w:r>
              <w:rPr>
                <w:rFonts w:eastAsiaTheme="minorEastAsia"/>
                <w:snapToGrid w:val="0"/>
                <w:color w:val="000000" w:themeColor="text1"/>
                <w:sz w:val="21"/>
                <w:szCs w:val="21"/>
                <w14:textFill>
                  <w14:solidFill>
                    <w14:schemeClr w14:val="tx1"/>
                  </w14:solidFill>
                </w14:textFill>
              </w:rPr>
              <w:t>10mm</w:t>
            </w:r>
            <w:r>
              <w:rPr>
                <w:rFonts w:hAnsiTheme="minorEastAsia" w:eastAsiaTheme="minorEastAsia"/>
                <w:snapToGrid w:val="0"/>
                <w:color w:val="000000" w:themeColor="text1"/>
                <w:sz w:val="21"/>
                <w:szCs w:val="21"/>
                <w14:textFill>
                  <w14:solidFill>
                    <w14:schemeClr w14:val="tx1"/>
                  </w14:solidFill>
                </w14:textFill>
              </w:rPr>
              <w:t>；</w:t>
            </w:r>
          </w:p>
          <w:p w14:paraId="1CC28CF3">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）在水平滑动门和折叠层门最快门扇的开启方向，以</w:t>
            </w:r>
            <w:r>
              <w:rPr>
                <w:rFonts w:eastAsiaTheme="minorEastAsia"/>
                <w:snapToGrid w:val="0"/>
                <w:color w:val="000000" w:themeColor="text1"/>
                <w:sz w:val="21"/>
                <w:szCs w:val="21"/>
                <w14:textFill>
                  <w14:solidFill>
                    <w14:schemeClr w14:val="tx1"/>
                  </w14:solidFill>
                </w14:textFill>
              </w:rPr>
              <w:t>150N</w:t>
            </w:r>
            <w:r>
              <w:rPr>
                <w:rFonts w:hAnsiTheme="minorEastAsia" w:eastAsiaTheme="minorEastAsia"/>
                <w:snapToGrid w:val="0"/>
                <w:color w:val="000000" w:themeColor="text1"/>
                <w:sz w:val="21"/>
                <w:szCs w:val="21"/>
                <w14:textFill>
                  <w14:solidFill>
                    <w14:schemeClr w14:val="tx1"/>
                  </w14:solidFill>
                </w14:textFill>
              </w:rPr>
              <w:t>的力施加在一个最不利的点，本条第（</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）项所述的间隙对于旁开门不大于</w:t>
            </w:r>
            <w:r>
              <w:rPr>
                <w:rFonts w:eastAsiaTheme="minorEastAsia"/>
                <w:snapToGrid w:val="0"/>
                <w:color w:val="000000" w:themeColor="text1"/>
                <w:sz w:val="21"/>
                <w:szCs w:val="21"/>
                <w14:textFill>
                  <w14:solidFill>
                    <w14:schemeClr w14:val="tx1"/>
                  </w14:solidFill>
                </w14:textFill>
              </w:rPr>
              <w:t>30mm</w:t>
            </w:r>
            <w:r>
              <w:rPr>
                <w:rFonts w:hAnsiTheme="minorEastAsia" w:eastAsiaTheme="minorEastAsia"/>
                <w:snapToGrid w:val="0"/>
                <w:color w:val="000000" w:themeColor="text1"/>
                <w:sz w:val="21"/>
                <w:szCs w:val="21"/>
                <w14:textFill>
                  <w14:solidFill>
                    <w14:schemeClr w14:val="tx1"/>
                  </w14:solidFill>
                </w14:textFill>
              </w:rPr>
              <w:t>，对于中分门其总和不大于</w:t>
            </w:r>
            <w:r>
              <w:rPr>
                <w:rFonts w:eastAsiaTheme="minorEastAsia"/>
                <w:snapToGrid w:val="0"/>
                <w:color w:val="000000" w:themeColor="text1"/>
                <w:sz w:val="21"/>
                <w:szCs w:val="21"/>
                <w14:textFill>
                  <w14:solidFill>
                    <w14:schemeClr w14:val="tx1"/>
                  </w14:solidFill>
                </w14:textFill>
              </w:rPr>
              <w:t>45mm</w:t>
            </w:r>
            <w:r>
              <w:rPr>
                <w:rFonts w:hAnsiTheme="minorEastAsia" w:eastAsiaTheme="minorEastAsia"/>
                <w:snapToGrid w:val="0"/>
                <w:color w:val="000000" w:themeColor="text1"/>
                <w:sz w:val="21"/>
                <w:szCs w:val="21"/>
                <w14:textFill>
                  <w14:solidFill>
                    <w14:schemeClr w14:val="tx1"/>
                  </w14:solidFill>
                </w14:textFill>
              </w:rPr>
              <w:t>。</w:t>
            </w:r>
          </w:p>
        </w:tc>
        <w:tc>
          <w:tcPr>
            <w:tcW w:w="2805" w:type="dxa"/>
            <w:tcMar>
              <w:top w:w="0" w:type="dxa"/>
              <w:left w:w="57" w:type="dxa"/>
              <w:bottom w:w="0" w:type="dxa"/>
              <w:right w:w="57" w:type="dxa"/>
            </w:tcMar>
            <w:vAlign w:val="center"/>
          </w:tcPr>
          <w:p w14:paraId="227349B0">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必要时测量相关尺寸。</w:t>
            </w:r>
          </w:p>
        </w:tc>
      </w:tr>
      <w:tr w14:paraId="717F8B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3579E556">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5A00C67">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713DDA6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A1.2.7.2</w:t>
            </w:r>
          </w:p>
          <w:p w14:paraId="0FA04A3C">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玻璃门防拖曳措施</w:t>
            </w:r>
          </w:p>
        </w:tc>
        <w:tc>
          <w:tcPr>
            <w:tcW w:w="4297" w:type="dxa"/>
            <w:tcMar>
              <w:top w:w="0" w:type="dxa"/>
              <w:left w:w="57" w:type="dxa"/>
              <w:bottom w:w="0" w:type="dxa"/>
              <w:right w:w="57" w:type="dxa"/>
            </w:tcMar>
            <w:vAlign w:val="center"/>
          </w:tcPr>
          <w:p w14:paraId="07C88536">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检查防止儿童的手被玻璃门拖曳的措施是否有效。</w:t>
            </w:r>
          </w:p>
        </w:tc>
        <w:tc>
          <w:tcPr>
            <w:tcW w:w="2805" w:type="dxa"/>
            <w:tcMar>
              <w:top w:w="0" w:type="dxa"/>
              <w:left w:w="57" w:type="dxa"/>
              <w:bottom w:w="0" w:type="dxa"/>
              <w:right w:w="57" w:type="dxa"/>
            </w:tcMar>
            <w:vAlign w:val="center"/>
          </w:tcPr>
          <w:p w14:paraId="77A863B9">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696789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5" w:hRule="atLeast"/>
          <w:jc w:val="center"/>
        </w:trPr>
        <w:tc>
          <w:tcPr>
            <w:tcW w:w="481" w:type="dxa"/>
            <w:vMerge w:val="continue"/>
            <w:tcMar>
              <w:top w:w="0" w:type="dxa"/>
              <w:left w:w="57" w:type="dxa"/>
              <w:bottom w:w="0" w:type="dxa"/>
              <w:right w:w="57" w:type="dxa"/>
            </w:tcMar>
            <w:vAlign w:val="center"/>
          </w:tcPr>
          <w:p w14:paraId="2C94F276">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7E311D55">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1FA84CC9">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*A1.2.7.3</w:t>
            </w:r>
          </w:p>
          <w:p w14:paraId="5A93BA07">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门再开启保护装置</w:t>
            </w:r>
          </w:p>
        </w:tc>
        <w:tc>
          <w:tcPr>
            <w:tcW w:w="4297" w:type="dxa"/>
            <w:tcMar>
              <w:top w:w="0" w:type="dxa"/>
              <w:left w:w="57" w:type="dxa"/>
              <w:bottom w:w="0" w:type="dxa"/>
              <w:right w:w="57" w:type="dxa"/>
            </w:tcMar>
            <w:vAlign w:val="center"/>
          </w:tcPr>
          <w:p w14:paraId="00459D56">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检查自动水平滑动门关闭过程中人员通过入口时，保护装置是否能够自动使门重新开启；</w:t>
            </w:r>
          </w:p>
          <w:p w14:paraId="0F2C6373">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对于未按照《电梯监督检验和定期检验规则》中</w:t>
            </w:r>
            <w:r>
              <w:rPr>
                <w:rFonts w:eastAsiaTheme="minorEastAsia"/>
                <w:snapToGrid w:val="0"/>
                <w:color w:val="000000" w:themeColor="text1"/>
                <w:sz w:val="21"/>
                <w:szCs w:val="21"/>
                <w14:textFill>
                  <w14:solidFill>
                    <w14:schemeClr w14:val="tx1"/>
                  </w14:solidFill>
                </w14:textFill>
              </w:rPr>
              <w:t>A1.2.7.4</w:t>
            </w:r>
            <w:r>
              <w:rPr>
                <w:rFonts w:hAnsiTheme="minorEastAsia" w:eastAsiaTheme="minorEastAsia"/>
                <w:snapToGrid w:val="0"/>
                <w:color w:val="000000" w:themeColor="text1"/>
                <w:sz w:val="21"/>
                <w:szCs w:val="21"/>
                <w14:textFill>
                  <w14:solidFill>
                    <w14:schemeClr w14:val="tx1"/>
                  </w14:solidFill>
                </w14:textFill>
              </w:rPr>
              <w:t>条第一款要求对门再开启保护装置进行过监督检验的电梯，检查当人员通过入口被正在关闭的门扇撞击或者将被撞击时，保护装置是否能够自动使门重新开启。</w:t>
            </w:r>
          </w:p>
        </w:tc>
        <w:tc>
          <w:tcPr>
            <w:tcW w:w="2805" w:type="dxa"/>
            <w:tcMar>
              <w:top w:w="0" w:type="dxa"/>
              <w:left w:w="57" w:type="dxa"/>
              <w:bottom w:w="0" w:type="dxa"/>
              <w:right w:w="57" w:type="dxa"/>
            </w:tcMar>
            <w:vAlign w:val="center"/>
          </w:tcPr>
          <w:p w14:paraId="6F3B6320">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模拟动作试验。</w:t>
            </w:r>
          </w:p>
        </w:tc>
      </w:tr>
      <w:tr w14:paraId="12F1F7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4" w:hRule="atLeast"/>
          <w:jc w:val="center"/>
        </w:trPr>
        <w:tc>
          <w:tcPr>
            <w:tcW w:w="481" w:type="dxa"/>
            <w:vMerge w:val="restart"/>
            <w:tcMar>
              <w:top w:w="0" w:type="dxa"/>
              <w:left w:w="57" w:type="dxa"/>
              <w:bottom w:w="0" w:type="dxa"/>
              <w:right w:w="57" w:type="dxa"/>
            </w:tcMar>
            <w:vAlign w:val="center"/>
          </w:tcPr>
          <w:p w14:paraId="008963B2">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w:t>
            </w:r>
          </w:p>
          <w:p w14:paraId="0EF7E594">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实物检查</w:t>
            </w:r>
          </w:p>
        </w:tc>
        <w:tc>
          <w:tcPr>
            <w:tcW w:w="518" w:type="dxa"/>
            <w:vMerge w:val="continue"/>
            <w:tcMar>
              <w:top w:w="0" w:type="dxa"/>
              <w:left w:w="57" w:type="dxa"/>
              <w:bottom w:w="0" w:type="dxa"/>
              <w:right w:w="57" w:type="dxa"/>
            </w:tcMar>
            <w:vAlign w:val="center"/>
          </w:tcPr>
          <w:p w14:paraId="2912A6F8">
            <w:pPr>
              <w:pStyle w:val="19"/>
              <w:tabs>
                <w:tab w:val="left" w:pos="433"/>
              </w:tabs>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2B66003A">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*A1.2.7.4</w:t>
            </w:r>
          </w:p>
          <w:p w14:paraId="5E6DEA28">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门的</w:t>
            </w:r>
          </w:p>
          <w:p w14:paraId="3D23C4CB">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运动与</w:t>
            </w:r>
          </w:p>
          <w:p w14:paraId="469D14F9">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导向</w:t>
            </w:r>
          </w:p>
        </w:tc>
        <w:tc>
          <w:tcPr>
            <w:tcW w:w="4297" w:type="dxa"/>
            <w:tcMar>
              <w:top w:w="0" w:type="dxa"/>
              <w:left w:w="57" w:type="dxa"/>
              <w:bottom w:w="0" w:type="dxa"/>
              <w:right w:w="57" w:type="dxa"/>
            </w:tcMar>
            <w:vAlign w:val="center"/>
          </w:tcPr>
          <w:p w14:paraId="22F73DF4">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）层门和轿门正常运行时无脱轨、机械卡阻或者错位现象；</w:t>
            </w:r>
          </w:p>
          <w:p w14:paraId="6A88A0BE">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）层门导向装置失效时，层门保持装置能够使层门保持在原有位置；</w:t>
            </w:r>
          </w:p>
          <w:p w14:paraId="2658ECF2">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）在层门底部保持装置上或者其附近设有识别保持装置最小啮合深度的标记，并且层门底部保持装置的啮合深度不小于标记所示的最小啮合深度。</w:t>
            </w:r>
          </w:p>
        </w:tc>
        <w:tc>
          <w:tcPr>
            <w:tcW w:w="2805" w:type="dxa"/>
            <w:tcMar>
              <w:top w:w="0" w:type="dxa"/>
              <w:left w:w="57" w:type="dxa"/>
              <w:bottom w:w="0" w:type="dxa"/>
              <w:right w:w="57" w:type="dxa"/>
            </w:tcMar>
            <w:vAlign w:val="center"/>
          </w:tcPr>
          <w:p w14:paraId="1EE74190">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必要时测量。</w:t>
            </w:r>
          </w:p>
        </w:tc>
      </w:tr>
      <w:tr w14:paraId="318C70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91" w:hRule="atLeast"/>
          <w:jc w:val="center"/>
        </w:trPr>
        <w:tc>
          <w:tcPr>
            <w:tcW w:w="481" w:type="dxa"/>
            <w:vMerge w:val="continue"/>
            <w:tcMar>
              <w:top w:w="0" w:type="dxa"/>
              <w:left w:w="57" w:type="dxa"/>
              <w:bottom w:w="0" w:type="dxa"/>
              <w:right w:w="57" w:type="dxa"/>
            </w:tcMar>
            <w:vAlign w:val="center"/>
          </w:tcPr>
          <w:p w14:paraId="4CB1FA4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2B914656">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55011D45">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*A1.2.7.5</w:t>
            </w:r>
          </w:p>
          <w:p w14:paraId="380F4019">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自动关闭层门装置</w:t>
            </w:r>
          </w:p>
        </w:tc>
        <w:tc>
          <w:tcPr>
            <w:tcW w:w="4297" w:type="dxa"/>
            <w:tcMar>
              <w:top w:w="0" w:type="dxa"/>
              <w:left w:w="57" w:type="dxa"/>
              <w:bottom w:w="0" w:type="dxa"/>
              <w:right w:w="57" w:type="dxa"/>
            </w:tcMar>
            <w:vAlign w:val="center"/>
          </w:tcPr>
          <w:p w14:paraId="602DF67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）在轿门驱动层门的情况下，当轿厢在开锁区域之外时，自动关闭层门装置能够使开启的层门关闭；</w:t>
            </w:r>
          </w:p>
          <w:p w14:paraId="734B9E39">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）自动关闭层门装置采用重块的，其防止重块坠落的措施保持有效；对于防爆电梯，无火花措施保持完好。</w:t>
            </w:r>
          </w:p>
        </w:tc>
        <w:tc>
          <w:tcPr>
            <w:tcW w:w="2805" w:type="dxa"/>
            <w:tcMar>
              <w:top w:w="0" w:type="dxa"/>
              <w:left w:w="57" w:type="dxa"/>
              <w:bottom w:w="0" w:type="dxa"/>
              <w:right w:w="57" w:type="dxa"/>
            </w:tcMar>
            <w:vAlign w:val="center"/>
          </w:tcPr>
          <w:p w14:paraId="596F8F8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将轿厢运行至开锁区域外，打开层门，观察层门关闭情况及防止重块坠落措施的有效性。</w:t>
            </w:r>
          </w:p>
        </w:tc>
      </w:tr>
      <w:tr w14:paraId="4567AB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1" w:hRule="atLeast"/>
          <w:jc w:val="center"/>
        </w:trPr>
        <w:tc>
          <w:tcPr>
            <w:tcW w:w="481" w:type="dxa"/>
            <w:vMerge w:val="continue"/>
            <w:tcMar>
              <w:top w:w="0" w:type="dxa"/>
              <w:left w:w="57" w:type="dxa"/>
              <w:bottom w:w="0" w:type="dxa"/>
              <w:right w:w="57" w:type="dxa"/>
            </w:tcMar>
            <w:vAlign w:val="center"/>
          </w:tcPr>
          <w:p w14:paraId="4529E2CC">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395747B9">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345B94FB">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*A1.2.7.6</w:t>
            </w:r>
          </w:p>
          <w:p w14:paraId="12BF7B21">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w:t>
            </w:r>
          </w:p>
          <w:p w14:paraId="2DB7201A">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开锁</w:t>
            </w:r>
          </w:p>
        </w:tc>
        <w:tc>
          <w:tcPr>
            <w:tcW w:w="4297" w:type="dxa"/>
            <w:tcMar>
              <w:top w:w="0" w:type="dxa"/>
              <w:left w:w="57" w:type="dxa"/>
              <w:bottom w:w="0" w:type="dxa"/>
              <w:right w:w="57" w:type="dxa"/>
            </w:tcMar>
            <w:vAlign w:val="center"/>
          </w:tcPr>
          <w:p w14:paraId="7E7C89DC">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）每个层门均能够被专用钥匙从外面开启；紧急开锁后，在层门闭合时门锁装置未保持在开锁位置；</w:t>
            </w:r>
          </w:p>
          <w:p w14:paraId="057E7964">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）如果只能通过层门进入底坑，则从底坑爬梯并且在高度</w:t>
            </w:r>
            <w:r>
              <w:rPr>
                <w:rFonts w:eastAsiaTheme="minorEastAsia"/>
                <w:snapToGrid w:val="0"/>
                <w:color w:val="000000" w:themeColor="text1"/>
                <w:sz w:val="21"/>
                <w:szCs w:val="21"/>
                <w14:textFill>
                  <w14:solidFill>
                    <w14:schemeClr w14:val="tx1"/>
                  </w14:solidFill>
                </w14:textFill>
              </w:rPr>
              <w:t>1.80m</w:t>
            </w:r>
            <w:r>
              <w:rPr>
                <w:rFonts w:hAnsiTheme="minorEastAsia" w:eastAsiaTheme="minorEastAsia"/>
                <w:snapToGrid w:val="0"/>
                <w:color w:val="000000" w:themeColor="text1"/>
                <w:sz w:val="21"/>
                <w:szCs w:val="21"/>
                <w14:textFill>
                  <w14:solidFill>
                    <w14:schemeClr w14:val="tx1"/>
                  </w14:solidFill>
                </w14:textFill>
              </w:rPr>
              <w:t>内和最大水平距离</w:t>
            </w:r>
            <w:r>
              <w:rPr>
                <w:rFonts w:eastAsiaTheme="minorEastAsia"/>
                <w:snapToGrid w:val="0"/>
                <w:color w:val="000000" w:themeColor="text1"/>
                <w:sz w:val="21"/>
                <w:szCs w:val="21"/>
                <w14:textFill>
                  <w14:solidFill>
                    <w14:schemeClr w14:val="tx1"/>
                  </w14:solidFill>
                </w14:textFill>
              </w:rPr>
              <w:t>0.80m</w:t>
            </w:r>
            <w:r>
              <w:rPr>
                <w:rFonts w:hAnsiTheme="minorEastAsia" w:eastAsiaTheme="minorEastAsia"/>
                <w:snapToGrid w:val="0"/>
                <w:color w:val="000000" w:themeColor="text1"/>
                <w:sz w:val="21"/>
                <w:szCs w:val="21"/>
                <w14:textFill>
                  <w14:solidFill>
                    <w14:schemeClr w14:val="tx1"/>
                  </w14:solidFill>
                </w14:textFill>
              </w:rPr>
              <w:t>范围内能够安全地触及门锁，或者能够通过永久设置的装置从底坑中打开层门。</w:t>
            </w:r>
          </w:p>
        </w:tc>
        <w:tc>
          <w:tcPr>
            <w:tcW w:w="2805" w:type="dxa"/>
            <w:tcMar>
              <w:top w:w="0" w:type="dxa"/>
              <w:left w:w="57" w:type="dxa"/>
              <w:bottom w:w="0" w:type="dxa"/>
              <w:right w:w="57" w:type="dxa"/>
            </w:tcMar>
            <w:vAlign w:val="center"/>
          </w:tcPr>
          <w:p w14:paraId="0B639F03">
            <w:pPr>
              <w:pStyle w:val="19"/>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）用钥匙操作紧急开锁装置，验证其功能；</w:t>
            </w:r>
          </w:p>
          <w:p w14:paraId="51F8AE61">
            <w:pPr>
              <w:pStyle w:val="19"/>
              <w:tabs>
                <w:tab w:val="left" w:pos="428"/>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必要时测量相关尺寸</w:t>
            </w:r>
            <w:r>
              <w:rPr>
                <w:rFonts w:hint="eastAsia" w:hAnsiTheme="minorEastAsia" w:eastAsiaTheme="minorEastAsia"/>
                <w:snapToGrid w:val="0"/>
                <w:color w:val="000000" w:themeColor="text1"/>
                <w:sz w:val="21"/>
                <w:szCs w:val="21"/>
                <w14:textFill>
                  <w14:solidFill>
                    <w14:schemeClr w14:val="tx1"/>
                  </w14:solidFill>
                </w14:textFill>
              </w:rPr>
              <w:t>。</w:t>
            </w:r>
          </w:p>
        </w:tc>
      </w:tr>
      <w:tr w14:paraId="09CFCB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87" w:hRule="atLeast"/>
          <w:jc w:val="center"/>
        </w:trPr>
        <w:tc>
          <w:tcPr>
            <w:tcW w:w="481" w:type="dxa"/>
            <w:vMerge w:val="continue"/>
            <w:tcMar>
              <w:top w:w="0" w:type="dxa"/>
              <w:left w:w="57" w:type="dxa"/>
              <w:bottom w:w="0" w:type="dxa"/>
              <w:right w:w="57" w:type="dxa"/>
            </w:tcMar>
            <w:vAlign w:val="center"/>
          </w:tcPr>
          <w:p w14:paraId="3389A202">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903D45A">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70A17E75">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*A1.2.7.7</w:t>
            </w:r>
          </w:p>
          <w:p w14:paraId="5DF73541">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门的</w:t>
            </w:r>
          </w:p>
          <w:p w14:paraId="4CFCA81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锁紧与闭合</w:t>
            </w:r>
          </w:p>
        </w:tc>
        <w:tc>
          <w:tcPr>
            <w:tcW w:w="4297" w:type="dxa"/>
            <w:tcMar>
              <w:top w:w="0" w:type="dxa"/>
              <w:left w:w="57" w:type="dxa"/>
              <w:bottom w:w="0" w:type="dxa"/>
              <w:right w:w="57" w:type="dxa"/>
            </w:tcMar>
            <w:vAlign w:val="center"/>
          </w:tcPr>
          <w:p w14:paraId="587A54D7">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）锁紧动作由重力、永久磁铁或者弹簧来产生和保持，即使永久磁铁或者弹簧失效，重力也不能导致开锁；</w:t>
            </w:r>
          </w:p>
          <w:p w14:paraId="168C4D02">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）轿厢（运载装置）在锁紧元件啮合不小于</w:t>
            </w:r>
            <w:r>
              <w:rPr>
                <w:rFonts w:eastAsiaTheme="minorEastAsia"/>
                <w:snapToGrid w:val="0"/>
                <w:color w:val="000000" w:themeColor="text1"/>
                <w:sz w:val="21"/>
                <w:szCs w:val="21"/>
                <w14:textFill>
                  <w14:solidFill>
                    <w14:schemeClr w14:val="tx1"/>
                  </w14:solidFill>
                </w14:textFill>
              </w:rPr>
              <w:t>7mm</w:t>
            </w:r>
            <w:r>
              <w:rPr>
                <w:rFonts w:hAnsiTheme="minorEastAsia" w:eastAsiaTheme="minorEastAsia"/>
                <w:snapToGrid w:val="0"/>
                <w:color w:val="000000" w:themeColor="text1"/>
                <w:sz w:val="21"/>
                <w:szCs w:val="21"/>
                <w14:textFill>
                  <w14:solidFill>
                    <w14:schemeClr w14:val="tx1"/>
                  </w14:solidFill>
                </w14:textFill>
              </w:rPr>
              <w:t>时才能启动；</w:t>
            </w:r>
          </w:p>
          <w:p w14:paraId="134BC3BE">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）检查层门、轿门锁紧状态的电气安全装置功能有效；</w:t>
            </w:r>
          </w:p>
          <w:p w14:paraId="66653E66">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每个层门和轿门的闭合均由电气安全装置来验证；如果滑动门是由数个间接机械连接的门扇组成，则未被锁住的门扇上设有电气安全装置以验证其闭合状态；与门的驱动部件直接机械连接的轿门门扇可以不设置电气安全装置。</w:t>
            </w:r>
          </w:p>
        </w:tc>
        <w:tc>
          <w:tcPr>
            <w:tcW w:w="2805" w:type="dxa"/>
            <w:tcMar>
              <w:top w:w="0" w:type="dxa"/>
              <w:left w:w="57" w:type="dxa"/>
              <w:bottom w:w="0" w:type="dxa"/>
              <w:right w:w="57" w:type="dxa"/>
            </w:tcMar>
            <w:vAlign w:val="center"/>
          </w:tcPr>
          <w:p w14:paraId="25E722E8">
            <w:pPr>
              <w:pStyle w:val="19"/>
              <w:tabs>
                <w:tab w:val="left" w:pos="63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）目测锁紧元件动作的设置；</w:t>
            </w:r>
          </w:p>
          <w:p w14:paraId="3AF82581">
            <w:pPr>
              <w:pStyle w:val="19"/>
              <w:tabs>
                <w:tab w:val="left" w:pos="645"/>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）目测锁紧元件的啮合情况，认为啮合长度可能不足时测量电气触点刚闭合时锁紧元件的啮合长度；</w:t>
            </w:r>
          </w:p>
          <w:p w14:paraId="6C83B42C">
            <w:pPr>
              <w:pStyle w:val="19"/>
              <w:tabs>
                <w:tab w:val="left" w:pos="63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）使电梯以检修速度运行，打开门锁，观察电梯是否停止；</w:t>
            </w:r>
          </w:p>
          <w:p w14:paraId="017C7406">
            <w:pPr>
              <w:pStyle w:val="19"/>
              <w:tabs>
                <w:tab w:val="left" w:pos="63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）使电梯以检修速度运行，打开层门，检查电梯是否停止；将电梯置于检修状态，层门关闭，打开轿门，观察电梯能否运行；</w:t>
            </w:r>
          </w:p>
          <w:p w14:paraId="2D26CCB6">
            <w:pPr>
              <w:pStyle w:val="19"/>
              <w:tabs>
                <w:tab w:val="left" w:pos="63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5</w:t>
            </w:r>
            <w:r>
              <w:rPr>
                <w:rFonts w:hAnsiTheme="minorEastAsia" w:eastAsiaTheme="minorEastAsia"/>
                <w:snapToGrid w:val="0"/>
                <w:color w:val="000000" w:themeColor="text1"/>
                <w:sz w:val="21"/>
                <w:szCs w:val="21"/>
                <w14:textFill>
                  <w14:solidFill>
                    <w14:schemeClr w14:val="tx1"/>
                  </w14:solidFill>
                </w14:textFill>
              </w:rPr>
              <w:t>）对于由数个间接机械连接的门扇组成的滑动门，短接被锁住门扇上的电气安全装置，使各门扇均打开，观察电梯能否运行。</w:t>
            </w:r>
          </w:p>
        </w:tc>
      </w:tr>
      <w:tr w14:paraId="04DADD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2" w:hRule="atLeast"/>
          <w:jc w:val="center"/>
        </w:trPr>
        <w:tc>
          <w:tcPr>
            <w:tcW w:w="481" w:type="dxa"/>
            <w:vMerge w:val="continue"/>
            <w:tcMar>
              <w:top w:w="0" w:type="dxa"/>
              <w:left w:w="57" w:type="dxa"/>
              <w:bottom w:w="0" w:type="dxa"/>
              <w:right w:w="57" w:type="dxa"/>
            </w:tcMar>
            <w:vAlign w:val="center"/>
          </w:tcPr>
          <w:p w14:paraId="05A72B2D">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07ED08EC">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50C11DE3">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A1.2.7.8</w:t>
            </w:r>
          </w:p>
          <w:p w14:paraId="77F052E9">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门刀、门锁滚轮与地坎间隙</w:t>
            </w:r>
          </w:p>
        </w:tc>
        <w:tc>
          <w:tcPr>
            <w:tcW w:w="4297" w:type="dxa"/>
            <w:tcMar>
              <w:top w:w="0" w:type="dxa"/>
              <w:left w:w="57" w:type="dxa"/>
              <w:bottom w:w="0" w:type="dxa"/>
              <w:right w:w="57" w:type="dxa"/>
            </w:tcMar>
            <w:vAlign w:val="center"/>
          </w:tcPr>
          <w:p w14:paraId="6E33C53E">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检查轿门门刀与层门地坎、层门门锁滚轮与轿厢地坎的间隙是否不小于</w:t>
            </w:r>
            <w:r>
              <w:rPr>
                <w:rFonts w:eastAsiaTheme="minorEastAsia"/>
                <w:snapToGrid w:val="0"/>
                <w:color w:val="000000" w:themeColor="text1"/>
                <w:sz w:val="21"/>
                <w:szCs w:val="21"/>
                <w14:textFill>
                  <w14:solidFill>
                    <w14:schemeClr w14:val="tx1"/>
                  </w14:solidFill>
                </w14:textFill>
              </w:rPr>
              <w:t>5mm</w:t>
            </w:r>
            <w:r>
              <w:rPr>
                <w:rFonts w:hAnsiTheme="minorEastAsia" w:eastAsiaTheme="minorEastAsia"/>
                <w:snapToGrid w:val="0"/>
                <w:color w:val="000000" w:themeColor="text1"/>
                <w:sz w:val="21"/>
                <w:szCs w:val="21"/>
                <w14:textFill>
                  <w14:solidFill>
                    <w14:schemeClr w14:val="tx1"/>
                  </w14:solidFill>
                </w14:textFill>
              </w:rPr>
              <w:t>，并且电梯运行时不互相碰擦。</w:t>
            </w:r>
          </w:p>
        </w:tc>
        <w:tc>
          <w:tcPr>
            <w:tcW w:w="2805" w:type="dxa"/>
            <w:tcMar>
              <w:top w:w="0" w:type="dxa"/>
              <w:left w:w="57" w:type="dxa"/>
              <w:bottom w:w="0" w:type="dxa"/>
              <w:right w:w="57" w:type="dxa"/>
            </w:tcMar>
            <w:vAlign w:val="center"/>
          </w:tcPr>
          <w:p w14:paraId="7A07BA6A">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目测，必要时测量相关尺寸。</w:t>
            </w:r>
          </w:p>
        </w:tc>
      </w:tr>
      <w:tr w14:paraId="4E49CD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5" w:hRule="atLeast"/>
          <w:jc w:val="center"/>
        </w:trPr>
        <w:tc>
          <w:tcPr>
            <w:tcW w:w="481" w:type="dxa"/>
            <w:vMerge w:val="continue"/>
            <w:tcMar>
              <w:top w:w="0" w:type="dxa"/>
              <w:left w:w="57" w:type="dxa"/>
              <w:bottom w:w="0" w:type="dxa"/>
              <w:right w:w="57" w:type="dxa"/>
            </w:tcMar>
            <w:vAlign w:val="center"/>
          </w:tcPr>
          <w:p w14:paraId="608B07ED">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252190F">
            <w:pPr>
              <w:spacing w:line="320" w:lineRule="exact"/>
              <w:jc w:val="center"/>
              <w:rPr>
                <w:rFonts w:eastAsiaTheme="minorEastAsia"/>
                <w:snapToGrid w:val="0"/>
                <w:color w:val="000000" w:themeColor="text1"/>
                <w:kern w:val="0"/>
                <w:szCs w:val="21"/>
                <w14:textFill>
                  <w14:solidFill>
                    <w14:schemeClr w14:val="tx1"/>
                  </w14:solidFill>
                </w14:textFill>
              </w:rPr>
            </w:pPr>
          </w:p>
        </w:tc>
        <w:tc>
          <w:tcPr>
            <w:tcW w:w="7959" w:type="dxa"/>
            <w:gridSpan w:val="3"/>
            <w:tcMar>
              <w:top w:w="0" w:type="dxa"/>
              <w:left w:w="57" w:type="dxa"/>
              <w:bottom w:w="0" w:type="dxa"/>
              <w:right w:w="57" w:type="dxa"/>
            </w:tcMar>
            <w:vAlign w:val="center"/>
          </w:tcPr>
          <w:p w14:paraId="59224A96">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A1-6</w:t>
            </w:r>
            <w:r>
              <w:rPr>
                <w:rFonts w:hAnsiTheme="minorEastAsia" w:eastAsiaTheme="minorEastAsia"/>
                <w:snapToGrid w:val="0"/>
                <w:color w:val="000000" w:themeColor="text1"/>
                <w:sz w:val="21"/>
                <w:szCs w:val="21"/>
                <w14:textFill>
                  <w14:solidFill>
                    <w14:schemeClr w14:val="tx1"/>
                  </w14:solidFill>
                </w14:textFill>
              </w:rPr>
              <w:t>：对层门进行检测时，可以抽取基站、端站以及至少</w:t>
            </w:r>
            <w:r>
              <w:rPr>
                <w:rFonts w:eastAsiaTheme="minorEastAsia"/>
                <w:snapToGrid w:val="0"/>
                <w:color w:val="000000" w:themeColor="text1"/>
                <w:sz w:val="21"/>
                <w:szCs w:val="21"/>
                <w14:textFill>
                  <w14:solidFill>
                    <w14:schemeClr w14:val="tx1"/>
                  </w14:solidFill>
                </w14:textFill>
              </w:rPr>
              <w:t>20%</w:t>
            </w:r>
            <w:r>
              <w:rPr>
                <w:rFonts w:hAnsiTheme="minorEastAsia" w:eastAsiaTheme="minorEastAsia"/>
                <w:snapToGrid w:val="0"/>
                <w:color w:val="000000" w:themeColor="text1"/>
                <w:sz w:val="21"/>
                <w:szCs w:val="21"/>
                <w14:textFill>
                  <w14:solidFill>
                    <w14:schemeClr w14:val="tx1"/>
                  </w14:solidFill>
                </w14:textFill>
              </w:rPr>
              <w:t>其他层站的层门进行检测，本附件</w:t>
            </w:r>
            <w:r>
              <w:rPr>
                <w:rFonts w:eastAsiaTheme="minorEastAsia"/>
                <w:snapToGrid w:val="0"/>
                <w:color w:val="000000" w:themeColor="text1"/>
                <w:sz w:val="21"/>
                <w:szCs w:val="21"/>
                <w14:textFill>
                  <w14:solidFill>
                    <w14:schemeClr w14:val="tx1"/>
                  </w14:solidFill>
                </w14:textFill>
              </w:rPr>
              <w:t>A1.2.7.7</w:t>
            </w:r>
            <w:r>
              <w:rPr>
                <w:rFonts w:hAnsiTheme="minorEastAsia" w:eastAsiaTheme="minorEastAsia"/>
                <w:snapToGrid w:val="0"/>
                <w:color w:val="000000" w:themeColor="text1"/>
                <w:sz w:val="21"/>
                <w:szCs w:val="21"/>
                <w14:textFill>
                  <w14:solidFill>
                    <w14:schemeClr w14:val="tx1"/>
                  </w14:solidFill>
                </w14:textFill>
              </w:rPr>
              <w:t>条第（</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）项除外。</w:t>
            </w:r>
          </w:p>
        </w:tc>
      </w:tr>
      <w:tr w14:paraId="1F4C18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56" w:hRule="atLeast"/>
          <w:jc w:val="center"/>
        </w:trPr>
        <w:tc>
          <w:tcPr>
            <w:tcW w:w="481" w:type="dxa"/>
            <w:vMerge w:val="restart"/>
            <w:tcMar>
              <w:top w:w="0" w:type="dxa"/>
              <w:left w:w="57" w:type="dxa"/>
              <w:bottom w:w="0" w:type="dxa"/>
              <w:right w:w="57" w:type="dxa"/>
            </w:tcMar>
            <w:vAlign w:val="center"/>
          </w:tcPr>
          <w:p w14:paraId="69C9529E">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w:t>
            </w:r>
          </w:p>
          <w:p w14:paraId="1B7B7058">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试验</w:t>
            </w:r>
          </w:p>
        </w:tc>
        <w:tc>
          <w:tcPr>
            <w:tcW w:w="1375" w:type="dxa"/>
            <w:gridSpan w:val="2"/>
            <w:tcMar>
              <w:top w:w="0" w:type="dxa"/>
              <w:left w:w="57" w:type="dxa"/>
              <w:bottom w:w="0" w:type="dxa"/>
              <w:right w:w="57" w:type="dxa"/>
            </w:tcMar>
            <w:vAlign w:val="center"/>
          </w:tcPr>
          <w:p w14:paraId="365AD63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w:t>
            </w:r>
          </w:p>
          <w:p w14:paraId="7D7CE3FC">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应急救援</w:t>
            </w:r>
          </w:p>
          <w:p w14:paraId="722B6853">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4297" w:type="dxa"/>
            <w:tcMar>
              <w:top w:w="0" w:type="dxa"/>
              <w:left w:w="57" w:type="dxa"/>
              <w:bottom w:w="0" w:type="dxa"/>
              <w:right w:w="57" w:type="dxa"/>
            </w:tcMar>
            <w:vAlign w:val="center"/>
          </w:tcPr>
          <w:p w14:paraId="56105390">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）检查机房内或者紧急和测试操作屏上是否设有清晰的应急救援程序；</w:t>
            </w:r>
          </w:p>
          <w:p w14:paraId="045A6AB5">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）对于曳引驱动乘客电梯和消防员电梯、曳引与强制驱动载货电梯，检查建筑物内的救援通道是否保持通畅，应急救援人员是否能够无阻碍地抵达实施紧急操作的位置，以及各层站处；</w:t>
            </w:r>
          </w:p>
          <w:p w14:paraId="676F63CB">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注</w:t>
            </w:r>
            <w:r>
              <w:rPr>
                <w:rFonts w:eastAsiaTheme="minorEastAsia"/>
                <w:bCs/>
                <w:snapToGrid w:val="0"/>
                <w:color w:val="000000" w:themeColor="text1"/>
                <w:kern w:val="0"/>
                <w:szCs w:val="21"/>
                <w14:textFill>
                  <w14:solidFill>
                    <w14:schemeClr w14:val="tx1"/>
                  </w14:solidFill>
                </w14:textFill>
              </w:rPr>
              <w:t>A1-7</w:t>
            </w:r>
            <w:r>
              <w:rPr>
                <w:rFonts w:hAnsiTheme="minorEastAsia" w:eastAsiaTheme="minorEastAsia"/>
                <w:bCs/>
                <w:snapToGrid w:val="0"/>
                <w:color w:val="000000" w:themeColor="text1"/>
                <w:kern w:val="0"/>
                <w:szCs w:val="21"/>
                <w14:textFill>
                  <w14:solidFill>
                    <w14:schemeClr w14:val="tx1"/>
                  </w14:solidFill>
                </w14:textFill>
              </w:rPr>
              <w:t>：对于《电梯监督检验和定期检验规则</w:t>
            </w:r>
            <w:r>
              <w:rPr>
                <w:rFonts w:eastAsiaTheme="minorEastAsia"/>
                <w:bCs/>
                <w:snapToGrid w:val="0"/>
                <w:color w:val="000000" w:themeColor="text1"/>
                <w:kern w:val="0"/>
                <w:szCs w:val="21"/>
                <w14:textFill>
                  <w14:solidFill>
                    <w14:schemeClr w14:val="tx1"/>
                  </w14:solidFill>
                </w14:textFill>
              </w:rPr>
              <w:t>——</w:t>
            </w:r>
            <w:r>
              <w:rPr>
                <w:rFonts w:hAnsiTheme="minorEastAsia" w:eastAsiaTheme="minorEastAsia"/>
                <w:bCs/>
                <w:snapToGrid w:val="0"/>
                <w:color w:val="000000" w:themeColor="text1"/>
                <w:kern w:val="0"/>
                <w:szCs w:val="21"/>
                <w14:textFill>
                  <w14:solidFill>
                    <w14:schemeClr w14:val="tx1"/>
                  </w14:solidFill>
                </w14:textFill>
              </w:rPr>
              <w:t>曳引与强制驱动电梯》（</w:t>
            </w:r>
            <w:r>
              <w:rPr>
                <w:rFonts w:hint="eastAsia" w:eastAsiaTheme="minorEastAsia"/>
                <w:bCs/>
                <w:snapToGrid w:val="0"/>
                <w:color w:val="000000" w:themeColor="text1"/>
                <w:kern w:val="0"/>
                <w:szCs w:val="21"/>
                <w14:textFill>
                  <w14:solidFill>
                    <w14:schemeClr w14:val="tx1"/>
                  </w14:solidFill>
                </w14:textFill>
              </w:rPr>
              <w:t xml:space="preserve">TSG </w:t>
            </w:r>
            <w:r>
              <w:rPr>
                <w:rFonts w:eastAsiaTheme="minorEastAsia"/>
                <w:bCs/>
                <w:snapToGrid w:val="0"/>
                <w:color w:val="000000" w:themeColor="text1"/>
                <w:kern w:val="0"/>
                <w:szCs w:val="21"/>
                <w14:textFill>
                  <w14:solidFill>
                    <w14:schemeClr w14:val="tx1"/>
                  </w14:solidFill>
                </w14:textFill>
              </w:rPr>
              <w:t>T7001—2009</w:t>
            </w:r>
            <w:r>
              <w:rPr>
                <w:rFonts w:hAnsiTheme="minorEastAsia" w:eastAsiaTheme="minorEastAsia"/>
                <w:bCs/>
                <w:snapToGrid w:val="0"/>
                <w:color w:val="000000" w:themeColor="text1"/>
                <w:kern w:val="0"/>
                <w:szCs w:val="21"/>
                <w14:textFill>
                  <w14:solidFill>
                    <w14:schemeClr w14:val="tx1"/>
                  </w14:solidFill>
                </w14:textFill>
              </w:rPr>
              <w:t>，含第</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号修改单）、《电梯监督检验和定期检验规则</w:t>
            </w:r>
            <w:r>
              <w:rPr>
                <w:rFonts w:eastAsiaTheme="minorEastAsia"/>
                <w:bCs/>
                <w:snapToGrid w:val="0"/>
                <w:color w:val="000000" w:themeColor="text1"/>
                <w:kern w:val="0"/>
                <w:szCs w:val="21"/>
                <w14:textFill>
                  <w14:solidFill>
                    <w14:schemeClr w14:val="tx1"/>
                  </w14:solidFill>
                </w14:textFill>
              </w:rPr>
              <w:t>——</w:t>
            </w:r>
            <w:r>
              <w:rPr>
                <w:rFonts w:hAnsiTheme="minorEastAsia" w:eastAsiaTheme="minorEastAsia"/>
                <w:bCs/>
                <w:snapToGrid w:val="0"/>
                <w:color w:val="000000" w:themeColor="text1"/>
                <w:kern w:val="0"/>
                <w:szCs w:val="21"/>
                <w14:textFill>
                  <w14:solidFill>
                    <w14:schemeClr w14:val="tx1"/>
                  </w14:solidFill>
                </w14:textFill>
              </w:rPr>
              <w:t>消防员电梯》（</w:t>
            </w:r>
            <w:r>
              <w:rPr>
                <w:rFonts w:hint="eastAsia" w:eastAsiaTheme="minorEastAsia"/>
                <w:bCs/>
                <w:snapToGrid w:val="0"/>
                <w:color w:val="000000" w:themeColor="text1"/>
                <w:kern w:val="0"/>
                <w:szCs w:val="21"/>
                <w14:textFill>
                  <w14:solidFill>
                    <w14:schemeClr w14:val="tx1"/>
                  </w14:solidFill>
                </w14:textFill>
              </w:rPr>
              <w:t xml:space="preserve">TSG </w:t>
            </w:r>
            <w:r>
              <w:rPr>
                <w:rFonts w:eastAsiaTheme="minorEastAsia"/>
                <w:bCs/>
                <w:snapToGrid w:val="0"/>
                <w:color w:val="000000" w:themeColor="text1"/>
                <w:kern w:val="0"/>
                <w:szCs w:val="21"/>
                <w14:textFill>
                  <w14:solidFill>
                    <w14:schemeClr w14:val="tx1"/>
                  </w14:solidFill>
                </w14:textFill>
              </w:rPr>
              <w:t>T7002—2011</w:t>
            </w:r>
            <w:r>
              <w:rPr>
                <w:rFonts w:hAnsiTheme="minorEastAsia" w:eastAsiaTheme="minorEastAsia"/>
                <w:bCs/>
                <w:snapToGrid w:val="0"/>
                <w:color w:val="000000" w:themeColor="text1"/>
                <w:kern w:val="0"/>
                <w:szCs w:val="21"/>
                <w14:textFill>
                  <w14:solidFill>
                    <w14:schemeClr w14:val="tx1"/>
                  </w14:solidFill>
                </w14:textFill>
              </w:rPr>
              <w:t>，含第</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号修改单）实施前监督检验合格的和在现有建筑物中增设的曳引驱动乘客电梯和消防员电梯、曳引与强制驱动载货电梯，因建筑结构等原因而难以达到本条中有关无阻碍地抵达各层站处这一要求时，如果使用单位采取了有效措施（例如：保证救援人员可以通过钥匙或者强制手段打开通往电梯层站的门窗等阻隔，及时到达实施救援的层站，并且按规定开展了应急救援演练）并且征得了相关利益方的同意，同时符合本条中的其他要求，可以判定本条的检测结果为符合要求。</w:t>
            </w:r>
          </w:p>
          <w:p w14:paraId="5B3EADC2">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3</w:t>
            </w:r>
            <w:r>
              <w:rPr>
                <w:rFonts w:hAnsiTheme="minorEastAsia" w:eastAsiaTheme="minorEastAsia"/>
                <w:bCs/>
                <w:snapToGrid w:val="0"/>
                <w:color w:val="000000" w:themeColor="text1"/>
                <w:kern w:val="0"/>
                <w:szCs w:val="21"/>
                <w14:textFill>
                  <w14:solidFill>
                    <w14:schemeClr w14:val="tx1"/>
                  </w14:solidFill>
                </w14:textFill>
              </w:rPr>
              <w:t>）对于消防员电梯，检查用于消防员从轿厢内自救和从轿厢外救援使用的救援装置（如便携式梯子、绳梯、安全绳系统、轿厢内踩踏点等）功能是否正常，用于消防员从轿顶进入轿厢的梯子是否能够从轿顶展开；</w:t>
            </w:r>
          </w:p>
          <w:p w14:paraId="0B385325">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4</w:t>
            </w:r>
            <w:r>
              <w:rPr>
                <w:rFonts w:hAnsiTheme="minorEastAsia" w:eastAsiaTheme="minorEastAsia"/>
                <w:bCs/>
                <w:snapToGrid w:val="0"/>
                <w:color w:val="000000" w:themeColor="text1"/>
                <w:kern w:val="0"/>
                <w:szCs w:val="21"/>
                <w14:textFill>
                  <w14:solidFill>
                    <w14:schemeClr w14:val="tx1"/>
                  </w14:solidFill>
                </w14:textFill>
              </w:rPr>
              <w:t>）在各种载荷工况下，按照第（</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）项所述的应急救援程序实施操作，观察是否能够安全、及时地解救被困人员。</w:t>
            </w:r>
          </w:p>
        </w:tc>
        <w:tc>
          <w:tcPr>
            <w:tcW w:w="2805" w:type="dxa"/>
            <w:tcMar>
              <w:top w:w="0" w:type="dxa"/>
              <w:left w:w="57" w:type="dxa"/>
              <w:bottom w:w="0" w:type="dxa"/>
              <w:right w:w="57" w:type="dxa"/>
            </w:tcMar>
            <w:vAlign w:val="center"/>
          </w:tcPr>
          <w:p w14:paraId="678B1B4F">
            <w:pPr>
              <w:pStyle w:val="19"/>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w:t>
            </w:r>
          </w:p>
          <w:p w14:paraId="71BCC99C">
            <w:pPr>
              <w:pStyle w:val="19"/>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）模拟停电和停梯故障，按照相应的应急救援程序进行操作，判断在空载、半载、满载等工况（含轿厢与对重平衡的工况）下救援的有效性。</w:t>
            </w:r>
          </w:p>
        </w:tc>
      </w:tr>
      <w:tr w14:paraId="2BF9DA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27" w:hRule="atLeast"/>
          <w:jc w:val="center"/>
        </w:trPr>
        <w:tc>
          <w:tcPr>
            <w:tcW w:w="481" w:type="dxa"/>
            <w:vMerge w:val="continue"/>
            <w:tcMar>
              <w:top w:w="0" w:type="dxa"/>
              <w:left w:w="57" w:type="dxa"/>
              <w:bottom w:w="0" w:type="dxa"/>
              <w:right w:w="57" w:type="dxa"/>
            </w:tcMar>
            <w:vAlign w:val="center"/>
          </w:tcPr>
          <w:p w14:paraId="48EEA6A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1375" w:type="dxa"/>
            <w:gridSpan w:val="2"/>
            <w:tcMar>
              <w:top w:w="0" w:type="dxa"/>
              <w:left w:w="57" w:type="dxa"/>
              <w:bottom w:w="0" w:type="dxa"/>
              <w:right w:w="57" w:type="dxa"/>
            </w:tcMar>
            <w:vAlign w:val="center"/>
          </w:tcPr>
          <w:p w14:paraId="4DA53D5C">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*A1.3.2</w:t>
            </w:r>
          </w:p>
          <w:p w14:paraId="6CFACD0C">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平衡系数</w:t>
            </w:r>
          </w:p>
          <w:p w14:paraId="02AD9598">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测试</w:t>
            </w:r>
          </w:p>
        </w:tc>
        <w:tc>
          <w:tcPr>
            <w:tcW w:w="4297" w:type="dxa"/>
            <w:tcMar>
              <w:top w:w="0" w:type="dxa"/>
              <w:left w:w="57" w:type="dxa"/>
              <w:bottom w:w="0" w:type="dxa"/>
              <w:right w:w="57" w:type="dxa"/>
            </w:tcMar>
            <w:vAlign w:val="center"/>
          </w:tcPr>
          <w:p w14:paraId="0C0319F9">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对平衡系数进行确认或者测试，判定其是否符合下列要求之一：</w:t>
            </w:r>
          </w:p>
          <w:p w14:paraId="4AA3BC21">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）在</w:t>
            </w:r>
            <w:r>
              <w:rPr>
                <w:rFonts w:eastAsiaTheme="minorEastAsia"/>
                <w:bCs/>
                <w:snapToGrid w:val="0"/>
                <w:color w:val="000000" w:themeColor="text1"/>
                <w:kern w:val="0"/>
                <w:szCs w:val="21"/>
                <w14:textFill>
                  <w14:solidFill>
                    <w14:schemeClr w14:val="tx1"/>
                  </w14:solidFill>
                </w14:textFill>
              </w:rPr>
              <w:t>0.40</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0.50</w:t>
            </w:r>
            <w:r>
              <w:rPr>
                <w:rFonts w:hAnsiTheme="minorEastAsia" w:eastAsiaTheme="minorEastAsia"/>
                <w:bCs/>
                <w:snapToGrid w:val="0"/>
                <w:color w:val="000000" w:themeColor="text1"/>
                <w:kern w:val="0"/>
                <w:szCs w:val="21"/>
                <w14:textFill>
                  <w14:solidFill>
                    <w14:schemeClr w14:val="tx1"/>
                  </w14:solidFill>
                </w14:textFill>
              </w:rPr>
              <w:t>之间，并且符合制造（改造）单位的设计值；</w:t>
            </w:r>
          </w:p>
          <w:p w14:paraId="312328CA">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）在</w:t>
            </w:r>
            <w:r>
              <w:rPr>
                <w:rFonts w:eastAsiaTheme="minorEastAsia"/>
                <w:bCs/>
                <w:snapToGrid w:val="0"/>
                <w:color w:val="000000" w:themeColor="text1"/>
                <w:kern w:val="0"/>
                <w:szCs w:val="21"/>
                <w14:textFill>
                  <w14:solidFill>
                    <w14:schemeClr w14:val="tx1"/>
                  </w14:solidFill>
                </w14:textFill>
              </w:rPr>
              <w:t>0.40</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0.50</w:t>
            </w:r>
            <w:r>
              <w:rPr>
                <w:rFonts w:hAnsiTheme="minorEastAsia" w:eastAsiaTheme="minorEastAsia"/>
                <w:bCs/>
                <w:snapToGrid w:val="0"/>
                <w:color w:val="000000" w:themeColor="text1"/>
                <w:kern w:val="0"/>
                <w:szCs w:val="21"/>
                <w14:textFill>
                  <w14:solidFill>
                    <w14:schemeClr w14:val="tx1"/>
                  </w14:solidFill>
                </w14:textFill>
              </w:rPr>
              <w:t>之间，或者符合制造（改造）单位的设计值</w:t>
            </w:r>
            <w:r>
              <w:rPr>
                <w:rFonts w:eastAsiaTheme="minorEastAsia"/>
                <w:bCs/>
                <w:snapToGrid w:val="0"/>
                <w:color w:val="000000" w:themeColor="text1"/>
                <w:kern w:val="0"/>
                <w:szCs w:val="21"/>
                <w14:textFill>
                  <w14:solidFill>
                    <w14:schemeClr w14:val="tx1"/>
                  </w14:solidFill>
                </w14:textFill>
              </w:rPr>
              <w:t>[</w:t>
            </w:r>
            <w:r>
              <w:rPr>
                <w:rFonts w:hAnsiTheme="minorEastAsia" w:eastAsiaTheme="minorEastAsia"/>
                <w:bCs/>
                <w:snapToGrid w:val="0"/>
                <w:color w:val="000000" w:themeColor="text1"/>
                <w:kern w:val="0"/>
                <w:szCs w:val="21"/>
                <w14:textFill>
                  <w14:solidFill>
                    <w14:schemeClr w14:val="tx1"/>
                  </w14:solidFill>
                </w14:textFill>
              </w:rPr>
              <w:t>仅适用于斜行电梯和未按照《电梯监督检验和定期检验规则》中</w:t>
            </w:r>
            <w:r>
              <w:rPr>
                <w:rFonts w:eastAsiaTheme="minorEastAsia"/>
                <w:bCs/>
                <w:snapToGrid w:val="0"/>
                <w:color w:val="000000" w:themeColor="text1"/>
                <w:kern w:val="0"/>
                <w:szCs w:val="21"/>
                <w14:textFill>
                  <w14:solidFill>
                    <w14:schemeClr w14:val="tx1"/>
                  </w14:solidFill>
                </w14:textFill>
              </w:rPr>
              <w:t>A1.3.2</w:t>
            </w:r>
            <w:r>
              <w:rPr>
                <w:rFonts w:hAnsiTheme="minorEastAsia" w:eastAsiaTheme="minorEastAsia"/>
                <w:bCs/>
                <w:snapToGrid w:val="0"/>
                <w:color w:val="000000" w:themeColor="text1"/>
                <w:kern w:val="0"/>
                <w:szCs w:val="21"/>
                <w14:textFill>
                  <w14:solidFill>
                    <w14:schemeClr w14:val="tx1"/>
                  </w14:solidFill>
                </w14:textFill>
              </w:rPr>
              <w:t>条第（</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）项对平衡系数进行过监督检验的电梯</w:t>
            </w:r>
            <w:r>
              <w:rPr>
                <w:rFonts w:eastAsiaTheme="minorEastAsia"/>
                <w:bCs/>
                <w:snapToGrid w:val="0"/>
                <w:color w:val="000000" w:themeColor="text1"/>
                <w:kern w:val="0"/>
                <w:szCs w:val="21"/>
                <w14:textFill>
                  <w14:solidFill>
                    <w14:schemeClr w14:val="tx1"/>
                  </w14:solidFill>
                </w14:textFill>
              </w:rPr>
              <w:t>]</w:t>
            </w:r>
            <w:r>
              <w:rPr>
                <w:rFonts w:hAnsiTheme="minorEastAsia" w:eastAsiaTheme="minorEastAsia"/>
                <w:bCs/>
                <w:snapToGrid w:val="0"/>
                <w:color w:val="000000" w:themeColor="text1"/>
                <w:kern w:val="0"/>
                <w:szCs w:val="21"/>
                <w14:textFill>
                  <w14:solidFill>
                    <w14:schemeClr w14:val="tx1"/>
                  </w14:solidFill>
                </w14:textFill>
              </w:rPr>
              <w:t>。</w:t>
            </w:r>
          </w:p>
          <w:p w14:paraId="2670B98A">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注</w:t>
            </w:r>
            <w:r>
              <w:rPr>
                <w:rFonts w:eastAsiaTheme="minorEastAsia"/>
                <w:bCs/>
                <w:snapToGrid w:val="0"/>
                <w:color w:val="000000" w:themeColor="text1"/>
                <w:kern w:val="0"/>
                <w:szCs w:val="21"/>
                <w14:textFill>
                  <w14:solidFill>
                    <w14:schemeClr w14:val="tx1"/>
                  </w14:solidFill>
                </w14:textFill>
              </w:rPr>
              <w:t>A1-8</w:t>
            </w:r>
            <w:r>
              <w:rPr>
                <w:rFonts w:hAnsiTheme="minorEastAsia" w:eastAsiaTheme="minorEastAsia"/>
                <w:bCs/>
                <w:snapToGrid w:val="0"/>
                <w:color w:val="000000" w:themeColor="text1"/>
                <w:kern w:val="0"/>
                <w:szCs w:val="21"/>
                <w14:textFill>
                  <w14:solidFill>
                    <w14:schemeClr w14:val="tx1"/>
                  </w14:solidFill>
                </w14:textFill>
              </w:rPr>
              <w:t>：只有当本条检测结果符合时方可以进行后续各项试验。</w:t>
            </w:r>
          </w:p>
          <w:p w14:paraId="395891E0">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注</w:t>
            </w:r>
            <w:r>
              <w:rPr>
                <w:rFonts w:eastAsiaTheme="minorEastAsia"/>
                <w:bCs/>
                <w:snapToGrid w:val="0"/>
                <w:color w:val="000000" w:themeColor="text1"/>
                <w:kern w:val="0"/>
                <w:szCs w:val="21"/>
                <w14:textFill>
                  <w14:solidFill>
                    <w14:schemeClr w14:val="tx1"/>
                  </w14:solidFill>
                </w14:textFill>
              </w:rPr>
              <w:t>A1-9</w:t>
            </w:r>
            <w:r>
              <w:rPr>
                <w:rFonts w:hAnsiTheme="minorEastAsia" w:eastAsiaTheme="minorEastAsia"/>
                <w:bCs/>
                <w:snapToGrid w:val="0"/>
                <w:color w:val="000000" w:themeColor="text1"/>
                <w:kern w:val="0"/>
                <w:szCs w:val="21"/>
                <w14:textFill>
                  <w14:solidFill>
                    <w14:schemeClr w14:val="tx1"/>
                  </w14:solidFill>
                </w14:textFill>
              </w:rPr>
              <w:t>：检测时，发现轿厢、对重或者其他部件（如补偿装置）的重量发生变化，并且可能导致平衡系数发生变化的，应当测试平衡系数。</w:t>
            </w:r>
          </w:p>
        </w:tc>
        <w:tc>
          <w:tcPr>
            <w:tcW w:w="2805" w:type="dxa"/>
            <w:tcMar>
              <w:top w:w="0" w:type="dxa"/>
              <w:left w:w="57" w:type="dxa"/>
              <w:bottom w:w="0" w:type="dxa"/>
              <w:right w:w="57" w:type="dxa"/>
            </w:tcMar>
            <w:vAlign w:val="center"/>
          </w:tcPr>
          <w:p w14:paraId="22AE7F18">
            <w:pPr>
              <w:adjustRightInd w:val="0"/>
              <w:snapToGrid w:val="0"/>
              <w:spacing w:line="280" w:lineRule="exact"/>
              <w:rPr>
                <w:rFonts w:eastAsiaTheme="minorEastAsia"/>
                <w:bCs/>
                <w:snapToGrid w:val="0"/>
                <w:color w:val="000000" w:themeColor="text1"/>
                <w:spacing w:val="-6"/>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目测，如果发现轿厢、对重或者其他部件（如补偿装置）的重量发生变化，并且可能导致平衡系数发生变化的，应当按照下列方法测试平衡系数：在轿厢内装载</w:t>
            </w:r>
            <w:r>
              <w:rPr>
                <w:rFonts w:eastAsiaTheme="minorEastAsia"/>
                <w:bCs/>
                <w:snapToGrid w:val="0"/>
                <w:color w:val="000000" w:themeColor="text1"/>
                <w:kern w:val="0"/>
                <w:szCs w:val="21"/>
                <w14:textFill>
                  <w14:solidFill>
                    <w14:schemeClr w14:val="tx1"/>
                  </w14:solidFill>
                </w14:textFill>
              </w:rPr>
              <w:t>30%</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40%</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45%</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50%</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60%</w:t>
            </w:r>
            <w:r>
              <w:rPr>
                <w:rFonts w:hAnsiTheme="minorEastAsia" w:eastAsiaTheme="minorEastAsia"/>
                <w:bCs/>
                <w:snapToGrid w:val="0"/>
                <w:color w:val="000000" w:themeColor="text1"/>
                <w:kern w:val="0"/>
                <w:szCs w:val="21"/>
                <w14:textFill>
                  <w14:solidFill>
                    <w14:schemeClr w14:val="tx1"/>
                  </w14:solidFill>
                </w14:textFill>
              </w:rPr>
              <w:t>额定载重量的载荷运行，当轿厢与对重运行到同一水平位置时，测量电动机的电流值（对于直流电动机同时测量电压值）</w:t>
            </w:r>
            <w:r>
              <w:rPr>
                <w:rFonts w:hAnsiTheme="minorEastAsia" w:eastAsiaTheme="minorEastAsia"/>
                <w:bCs/>
                <w:snapToGrid w:val="0"/>
                <w:color w:val="000000" w:themeColor="text1"/>
                <w:spacing w:val="-6"/>
                <w:kern w:val="0"/>
                <w:szCs w:val="21"/>
                <w14:textFill>
                  <w14:solidFill>
                    <w14:schemeClr w14:val="tx1"/>
                  </w14:solidFill>
                </w14:textFill>
              </w:rPr>
              <w:t>，绘制电流（或者电压）</w:t>
            </w:r>
            <w:r>
              <w:rPr>
                <w:rFonts w:eastAsiaTheme="minorEastAsia"/>
                <w:bCs/>
                <w:snapToGrid w:val="0"/>
                <w:color w:val="000000" w:themeColor="text1"/>
                <w:spacing w:val="-6"/>
                <w:kern w:val="0"/>
                <w:szCs w:val="21"/>
                <w14:textFill>
                  <w14:solidFill>
                    <w14:schemeClr w14:val="tx1"/>
                  </w14:solidFill>
                </w14:textFill>
              </w:rPr>
              <w:t>-</w:t>
            </w:r>
            <w:r>
              <w:rPr>
                <w:rFonts w:hAnsiTheme="minorEastAsia" w:eastAsiaTheme="minorEastAsia"/>
                <w:bCs/>
                <w:snapToGrid w:val="0"/>
                <w:color w:val="000000" w:themeColor="text1"/>
                <w:spacing w:val="-6"/>
                <w:kern w:val="0"/>
                <w:szCs w:val="21"/>
                <w14:textFill>
                  <w14:solidFill>
                    <w14:schemeClr w14:val="tx1"/>
                  </w14:solidFill>
                </w14:textFill>
              </w:rPr>
              <w:t>载荷曲线，以向上向下运行曲线的交点确定平衡系数。</w:t>
            </w:r>
          </w:p>
          <w:p w14:paraId="5759DC9F">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注：对于当次自行检测需要进行本附件</w:t>
            </w:r>
            <w:r>
              <w:rPr>
                <w:rFonts w:eastAsiaTheme="minorEastAsia"/>
                <w:bCs/>
                <w:snapToGrid w:val="0"/>
                <w:color w:val="000000" w:themeColor="text1"/>
                <w:kern w:val="0"/>
                <w:szCs w:val="21"/>
                <w14:textFill>
                  <w14:solidFill>
                    <w14:schemeClr w14:val="tx1"/>
                  </w14:solidFill>
                </w14:textFill>
              </w:rPr>
              <w:t>A1.3.12</w:t>
            </w:r>
            <w:r>
              <w:rPr>
                <w:rFonts w:hAnsiTheme="minorEastAsia" w:eastAsiaTheme="minorEastAsia"/>
                <w:bCs/>
                <w:snapToGrid w:val="0"/>
                <w:color w:val="000000" w:themeColor="text1"/>
                <w:kern w:val="0"/>
                <w:szCs w:val="21"/>
                <w14:textFill>
                  <w14:solidFill>
                    <w14:schemeClr w14:val="tx1"/>
                  </w14:solidFill>
                </w14:textFill>
              </w:rPr>
              <w:t>条所述试验的电梯，应当按照上述方法对平衡系数进行确认，不符合要求时应记录测试数据。</w:t>
            </w:r>
          </w:p>
        </w:tc>
      </w:tr>
      <w:tr w14:paraId="7FDCFA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51" w:hRule="atLeast"/>
          <w:jc w:val="center"/>
        </w:trPr>
        <w:tc>
          <w:tcPr>
            <w:tcW w:w="481" w:type="dxa"/>
            <w:tcMar>
              <w:top w:w="0" w:type="dxa"/>
              <w:left w:w="57" w:type="dxa"/>
              <w:bottom w:w="0" w:type="dxa"/>
              <w:right w:w="57" w:type="dxa"/>
            </w:tcMar>
            <w:vAlign w:val="center"/>
          </w:tcPr>
          <w:p w14:paraId="7BA1DAA1">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w:t>
            </w:r>
          </w:p>
          <w:p w14:paraId="2F7EED59">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试验</w:t>
            </w:r>
          </w:p>
        </w:tc>
        <w:tc>
          <w:tcPr>
            <w:tcW w:w="1375" w:type="dxa"/>
            <w:gridSpan w:val="2"/>
            <w:tcMar>
              <w:top w:w="0" w:type="dxa"/>
              <w:left w:w="57" w:type="dxa"/>
              <w:bottom w:w="0" w:type="dxa"/>
              <w:right w:w="57" w:type="dxa"/>
            </w:tcMar>
            <w:vAlign w:val="center"/>
          </w:tcPr>
          <w:p w14:paraId="34625E79">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A1.3.3</w:t>
            </w:r>
          </w:p>
          <w:p w14:paraId="1B3A76E5">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轿厢超载保护装置试验</w:t>
            </w:r>
          </w:p>
        </w:tc>
        <w:tc>
          <w:tcPr>
            <w:tcW w:w="4297" w:type="dxa"/>
            <w:tcMar>
              <w:top w:w="0" w:type="dxa"/>
              <w:left w:w="57" w:type="dxa"/>
              <w:bottom w:w="0" w:type="dxa"/>
              <w:right w:w="57" w:type="dxa"/>
            </w:tcMar>
            <w:vAlign w:val="center"/>
          </w:tcPr>
          <w:p w14:paraId="3C47C3A9">
            <w:pPr>
              <w:adjustRightInd w:val="0"/>
              <w:snapToGrid w:val="0"/>
              <w:spacing w:line="32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进行轿厢超载保护装置试验，观察是否最迟在轿厢内载荷达到</w:t>
            </w:r>
            <w:r>
              <w:rPr>
                <w:rFonts w:eastAsiaTheme="minorEastAsia"/>
                <w:bCs/>
                <w:snapToGrid w:val="0"/>
                <w:color w:val="000000" w:themeColor="text1"/>
                <w:kern w:val="0"/>
                <w:szCs w:val="21"/>
                <w14:textFill>
                  <w14:solidFill>
                    <w14:schemeClr w14:val="tx1"/>
                  </w14:solidFill>
                </w14:textFill>
              </w:rPr>
              <w:t>110%</w:t>
            </w:r>
            <w:r>
              <w:rPr>
                <w:rFonts w:hAnsiTheme="minorEastAsia" w:eastAsiaTheme="minorEastAsia"/>
                <w:bCs/>
                <w:snapToGrid w:val="0"/>
                <w:color w:val="000000" w:themeColor="text1"/>
                <w:kern w:val="0"/>
                <w:szCs w:val="21"/>
                <w14:textFill>
                  <w14:solidFill>
                    <w14:schemeClr w14:val="tx1"/>
                  </w14:solidFill>
                </w14:textFill>
              </w:rPr>
              <w:t>额定载重量时能够检测出超载，防止电梯正常启动及再平层（对于液压驱动电梯，防止电梯正常启动），并且轿厢内由听觉和视觉信号提示，自动门完全开启，手动门保持在未锁紧状态。对于未按照《电梯监督检验和定期检验规则》中</w:t>
            </w:r>
            <w:r>
              <w:rPr>
                <w:rFonts w:eastAsiaTheme="minorEastAsia"/>
                <w:bCs/>
                <w:snapToGrid w:val="0"/>
                <w:color w:val="000000" w:themeColor="text1"/>
                <w:kern w:val="0"/>
                <w:szCs w:val="21"/>
                <w14:textFill>
                  <w14:solidFill>
                    <w14:schemeClr w14:val="tx1"/>
                  </w14:solidFill>
                </w14:textFill>
              </w:rPr>
              <w:t>A1.3.3</w:t>
            </w:r>
            <w:r>
              <w:rPr>
                <w:rFonts w:hAnsiTheme="minorEastAsia" w:eastAsiaTheme="minorEastAsia"/>
                <w:bCs/>
                <w:snapToGrid w:val="0"/>
                <w:color w:val="000000" w:themeColor="text1"/>
                <w:kern w:val="0"/>
                <w:szCs w:val="21"/>
                <w14:textFill>
                  <w14:solidFill>
                    <w14:schemeClr w14:val="tx1"/>
                  </w14:solidFill>
                </w14:textFill>
              </w:rPr>
              <w:t>条第一款对轿厢超载保护装置进行过监督检验的电梯，允许轿厢内只提供听觉信号或者视觉信号。发现轿厢自重发生变化等可能影响轿厢超载保护装置有效性的情况，应当采用轿厢内施加载荷的方式进行试验；其他情况下，可以采用模拟超载状态的方式进行验证。（半星）</w:t>
            </w:r>
          </w:p>
        </w:tc>
        <w:tc>
          <w:tcPr>
            <w:tcW w:w="2805" w:type="dxa"/>
            <w:tcMar>
              <w:top w:w="0" w:type="dxa"/>
              <w:left w:w="57" w:type="dxa"/>
              <w:bottom w:w="0" w:type="dxa"/>
              <w:right w:w="57" w:type="dxa"/>
            </w:tcMar>
            <w:vAlign w:val="center"/>
          </w:tcPr>
          <w:p w14:paraId="00A755D2">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验证超载保护装置的功能；如果发现轿厢自重发生变化等可能影响轿厢超载保护装置有效性的情况，应当采用轿厢内施加载荷的方式进行试验；其他情况下，可以采用模拟超载状态的方式进行验证。</w:t>
            </w:r>
          </w:p>
          <w:p w14:paraId="008BE1BF">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注：对于当次自行检测需要进行本附件</w:t>
            </w:r>
            <w:r>
              <w:rPr>
                <w:rFonts w:eastAsiaTheme="minorEastAsia"/>
                <w:bCs/>
                <w:snapToGrid w:val="0"/>
                <w:color w:val="000000" w:themeColor="text1"/>
                <w:kern w:val="0"/>
                <w:szCs w:val="21"/>
                <w14:textFill>
                  <w14:solidFill>
                    <w14:schemeClr w14:val="tx1"/>
                  </w14:solidFill>
                </w14:textFill>
              </w:rPr>
              <w:t>A1.3.12</w:t>
            </w:r>
            <w:r>
              <w:rPr>
                <w:rFonts w:hAnsiTheme="minorEastAsia" w:eastAsiaTheme="minorEastAsia"/>
                <w:bCs/>
                <w:snapToGrid w:val="0"/>
                <w:color w:val="000000" w:themeColor="text1"/>
                <w:kern w:val="0"/>
                <w:szCs w:val="21"/>
                <w14:textFill>
                  <w14:solidFill>
                    <w14:schemeClr w14:val="tx1"/>
                  </w14:solidFill>
                </w14:textFill>
              </w:rPr>
              <w:t>条所述试验的电梯，应当采用轿厢内施加载荷的方式进行轿厢超载保护装置试验。</w:t>
            </w:r>
          </w:p>
        </w:tc>
      </w:tr>
      <w:tr w14:paraId="73025A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10" w:hRule="atLeast"/>
          <w:jc w:val="center"/>
        </w:trPr>
        <w:tc>
          <w:tcPr>
            <w:tcW w:w="481" w:type="dxa"/>
            <w:vMerge w:val="restart"/>
            <w:tcMar>
              <w:top w:w="0" w:type="dxa"/>
              <w:left w:w="57" w:type="dxa"/>
              <w:bottom w:w="0" w:type="dxa"/>
              <w:right w:w="57" w:type="dxa"/>
            </w:tcMar>
            <w:vAlign w:val="center"/>
          </w:tcPr>
          <w:p w14:paraId="3510A185">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w:t>
            </w:r>
          </w:p>
          <w:p w14:paraId="2788A34A">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试验</w:t>
            </w:r>
          </w:p>
        </w:tc>
        <w:tc>
          <w:tcPr>
            <w:tcW w:w="518" w:type="dxa"/>
            <w:vMerge w:val="restart"/>
            <w:tcMar>
              <w:top w:w="0" w:type="dxa"/>
              <w:left w:w="57" w:type="dxa"/>
              <w:bottom w:w="0" w:type="dxa"/>
              <w:right w:w="57" w:type="dxa"/>
            </w:tcMar>
            <w:vAlign w:val="center"/>
          </w:tcPr>
          <w:p w14:paraId="401FC08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*A1.3.4</w:t>
            </w:r>
            <w:r>
              <w:rPr>
                <w:rFonts w:hAnsiTheme="minorEastAsia" w:eastAsiaTheme="minorEastAsia"/>
                <w:snapToGrid w:val="0"/>
                <w:color w:val="000000" w:themeColor="text1"/>
                <w:sz w:val="21"/>
                <w:szCs w:val="21"/>
                <w14:textFill>
                  <w14:solidFill>
                    <w14:schemeClr w14:val="tx1"/>
                  </w14:solidFill>
                </w14:textFill>
              </w:rPr>
              <w:t>轿厢（运</w:t>
            </w:r>
          </w:p>
          <w:p w14:paraId="7900E74C">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载装置）限速器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安全钳试验</w:t>
            </w:r>
          </w:p>
        </w:tc>
        <w:tc>
          <w:tcPr>
            <w:tcW w:w="857" w:type="dxa"/>
            <w:tcMar>
              <w:top w:w="0" w:type="dxa"/>
              <w:left w:w="57" w:type="dxa"/>
              <w:bottom w:w="0" w:type="dxa"/>
              <w:right w:w="57" w:type="dxa"/>
            </w:tcMar>
            <w:vAlign w:val="center"/>
          </w:tcPr>
          <w:p w14:paraId="702EAE58">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A1.3.4.1</w:t>
            </w:r>
          </w:p>
          <w:p w14:paraId="42531B4C">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限速器</w:t>
            </w:r>
          </w:p>
        </w:tc>
        <w:tc>
          <w:tcPr>
            <w:tcW w:w="4297" w:type="dxa"/>
            <w:tcMar>
              <w:top w:w="0" w:type="dxa"/>
              <w:left w:w="57" w:type="dxa"/>
              <w:bottom w:w="0" w:type="dxa"/>
              <w:right w:w="57" w:type="dxa"/>
            </w:tcMar>
            <w:vAlign w:val="center"/>
          </w:tcPr>
          <w:p w14:paraId="15EF1FEF">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）各调节部位封记完好，运转时无碰擦、卡阻、转动不灵活等现象，动作正常；</w:t>
            </w:r>
          </w:p>
          <w:p w14:paraId="589E67EA">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）动作速度符合要求。</w:t>
            </w:r>
          </w:p>
          <w:p w14:paraId="50911F7E">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测时，可以通过查看限速器调试证书、校验记录，结合限速器的状态确认其动作速度是否符合要求；发现调节部位封记缺损等可能影响限速器动作速度的情况，检测人员应当通过现场测试动作速度的方式予以确认。</w:t>
            </w:r>
          </w:p>
        </w:tc>
        <w:tc>
          <w:tcPr>
            <w:tcW w:w="2805" w:type="dxa"/>
            <w:tcMar>
              <w:top w:w="0" w:type="dxa"/>
              <w:left w:w="57" w:type="dxa"/>
              <w:bottom w:w="0" w:type="dxa"/>
              <w:right w:w="57" w:type="dxa"/>
            </w:tcMar>
            <w:vAlign w:val="center"/>
          </w:tcPr>
          <w:p w14:paraId="3C95DBF5">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）目测调节部位封记和限速器运转情况，结合安全钳试验结果，判断限速器动作是否正常；</w:t>
            </w:r>
          </w:p>
          <w:p w14:paraId="7B4836DA">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通过查看限速器调试证书、校验记录，结合限速器的状态确认其动作速度是否符合要求；发现调节部位封记缺损等可能影响限速器动作速度的情况，应当通过下列方法现场测试限速器的动作速度：用限速器校验仪校验限速器的动作速度，对照限速器铭牌上的相关参数，判断校验结果是否符合要求。</w:t>
            </w:r>
          </w:p>
        </w:tc>
      </w:tr>
      <w:tr w14:paraId="2E628E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7" w:hRule="atLeast"/>
          <w:jc w:val="center"/>
        </w:trPr>
        <w:tc>
          <w:tcPr>
            <w:tcW w:w="481" w:type="dxa"/>
            <w:vMerge w:val="continue"/>
            <w:tcMar>
              <w:top w:w="0" w:type="dxa"/>
              <w:left w:w="57" w:type="dxa"/>
              <w:bottom w:w="0" w:type="dxa"/>
              <w:right w:w="57" w:type="dxa"/>
            </w:tcMar>
            <w:vAlign w:val="center"/>
          </w:tcPr>
          <w:p w14:paraId="7CC41228">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784493F">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3BF8CB1A">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A1.3.4.2</w:t>
            </w:r>
          </w:p>
          <w:p w14:paraId="618BB41E">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电气安全装置</w:t>
            </w:r>
          </w:p>
        </w:tc>
        <w:tc>
          <w:tcPr>
            <w:tcW w:w="4297" w:type="dxa"/>
            <w:tcMar>
              <w:top w:w="0" w:type="dxa"/>
              <w:left w:w="57" w:type="dxa"/>
              <w:bottom w:w="0" w:type="dxa"/>
              <w:right w:w="57" w:type="dxa"/>
            </w:tcMar>
            <w:vAlign w:val="center"/>
          </w:tcPr>
          <w:p w14:paraId="1B4B7CD9">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检查以下电气安全装置功能是否有效：</w:t>
            </w:r>
          </w:p>
          <w:p w14:paraId="49865E00">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）限速器或者其他装置上设置的在轿厢（运载装置）上行、下行速度达到限速器动作速度之前动作的电气安全装置；</w:t>
            </w:r>
          </w:p>
          <w:p w14:paraId="55C3A164">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）对于安全钳释放后限速器不能自动复位的，用于验证限速器复位状态的电气安全装置；</w:t>
            </w:r>
          </w:p>
          <w:p w14:paraId="14DB0C38">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）用于检查限速器绳断裂或者过分伸长的电气安全装置；</w:t>
            </w:r>
          </w:p>
          <w:p w14:paraId="2E1D08BB">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）轿厢（运载装置）上设置的在轿厢（运载装置）安全钳动作以前或者同时使驱动主机停止运转的电气安全装置。</w:t>
            </w:r>
          </w:p>
        </w:tc>
        <w:tc>
          <w:tcPr>
            <w:tcW w:w="2805" w:type="dxa"/>
            <w:tcMar>
              <w:top w:w="0" w:type="dxa"/>
              <w:left w:w="57" w:type="dxa"/>
              <w:bottom w:w="0" w:type="dxa"/>
              <w:right w:w="57" w:type="dxa"/>
            </w:tcMar>
            <w:vAlign w:val="center"/>
          </w:tcPr>
          <w:p w14:paraId="5EC1D371">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目测电气安全装置的设置情况，电梯以检修速度运行，使电气安全装置动作，观察电梯运行状况。</w:t>
            </w:r>
          </w:p>
        </w:tc>
      </w:tr>
      <w:tr w14:paraId="395EF5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85" w:hRule="atLeast"/>
          <w:jc w:val="center"/>
        </w:trPr>
        <w:tc>
          <w:tcPr>
            <w:tcW w:w="481" w:type="dxa"/>
            <w:vMerge w:val="continue"/>
            <w:tcMar>
              <w:top w:w="0" w:type="dxa"/>
              <w:left w:w="57" w:type="dxa"/>
              <w:bottom w:w="0" w:type="dxa"/>
              <w:right w:w="57" w:type="dxa"/>
            </w:tcMar>
            <w:vAlign w:val="center"/>
          </w:tcPr>
          <w:p w14:paraId="350FDD04">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25FB84BB">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173DD325">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A1.3.4.3</w:t>
            </w:r>
          </w:p>
          <w:p w14:paraId="66A27D12">
            <w:pPr>
              <w:pStyle w:val="19"/>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联动</w:t>
            </w:r>
          </w:p>
          <w:p w14:paraId="034AF12E">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4297" w:type="dxa"/>
            <w:tcMar>
              <w:top w:w="0" w:type="dxa"/>
              <w:left w:w="57" w:type="dxa"/>
              <w:bottom w:w="0" w:type="dxa"/>
              <w:right w:w="57" w:type="dxa"/>
            </w:tcMar>
            <w:vAlign w:val="center"/>
          </w:tcPr>
          <w:p w14:paraId="0F2CCBE9">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轿厢空载，以检修速度下行的工况进行限速器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安全钳联动试验，观察限速器、安全钳动作是否可靠。</w:t>
            </w:r>
          </w:p>
        </w:tc>
        <w:tc>
          <w:tcPr>
            <w:tcW w:w="2805" w:type="dxa"/>
            <w:tcMar>
              <w:top w:w="0" w:type="dxa"/>
              <w:left w:w="57" w:type="dxa"/>
              <w:bottom w:w="0" w:type="dxa"/>
              <w:right w:w="57" w:type="dxa"/>
            </w:tcMar>
            <w:vAlign w:val="center"/>
          </w:tcPr>
          <w:p w14:paraId="0E36D5D3">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短接限速器和安全钳的电气安全装置，轿厢空载，以检修速度向下运行，人为动作限速器，观察轿厢制停情况。</w:t>
            </w:r>
          </w:p>
        </w:tc>
      </w:tr>
      <w:tr w14:paraId="104A4D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14" w:hRule="atLeast"/>
          <w:jc w:val="center"/>
        </w:trPr>
        <w:tc>
          <w:tcPr>
            <w:tcW w:w="481" w:type="dxa"/>
            <w:vMerge w:val="restart"/>
            <w:tcMar>
              <w:top w:w="0" w:type="dxa"/>
              <w:left w:w="57" w:type="dxa"/>
              <w:bottom w:w="0" w:type="dxa"/>
              <w:right w:w="57" w:type="dxa"/>
            </w:tcMar>
            <w:vAlign w:val="center"/>
          </w:tcPr>
          <w:p w14:paraId="05E13F35">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w:t>
            </w:r>
          </w:p>
          <w:p w14:paraId="46FB5FC7">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试验</w:t>
            </w:r>
          </w:p>
        </w:tc>
        <w:tc>
          <w:tcPr>
            <w:tcW w:w="1375" w:type="dxa"/>
            <w:gridSpan w:val="2"/>
            <w:tcMar>
              <w:top w:w="0" w:type="dxa"/>
              <w:left w:w="57" w:type="dxa"/>
              <w:bottom w:w="0" w:type="dxa"/>
              <w:right w:w="57" w:type="dxa"/>
            </w:tcMar>
            <w:vAlign w:val="center"/>
          </w:tcPr>
          <w:p w14:paraId="2DB39DFE">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*A1.3.5</w:t>
            </w:r>
          </w:p>
          <w:p w14:paraId="3B80A2CD">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对重（平衡重）限速器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安全钳试验</w:t>
            </w:r>
          </w:p>
        </w:tc>
        <w:tc>
          <w:tcPr>
            <w:tcW w:w="4297" w:type="dxa"/>
            <w:tcMar>
              <w:top w:w="0" w:type="dxa"/>
              <w:left w:w="57" w:type="dxa"/>
              <w:bottom w:w="0" w:type="dxa"/>
              <w:right w:w="57" w:type="dxa"/>
            </w:tcMar>
            <w:vAlign w:val="center"/>
          </w:tcPr>
          <w:p w14:paraId="477748B0">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）检查限速器及其电气安全装置是否符合本附件第</w:t>
            </w:r>
            <w:r>
              <w:rPr>
                <w:rFonts w:eastAsiaTheme="minorEastAsia"/>
                <w:snapToGrid w:val="0"/>
                <w:color w:val="000000" w:themeColor="text1"/>
                <w:sz w:val="21"/>
                <w:szCs w:val="21"/>
                <w14:textFill>
                  <w14:solidFill>
                    <w14:schemeClr w14:val="tx1"/>
                  </w14:solidFill>
                </w14:textFill>
              </w:rPr>
              <w:t>A1.3.4.1</w:t>
            </w:r>
            <w:r>
              <w:rPr>
                <w:rFonts w:hAnsiTheme="minorEastAsia" w:eastAsiaTheme="minorEastAsia"/>
                <w:snapToGrid w:val="0"/>
                <w:color w:val="000000" w:themeColor="text1"/>
                <w:sz w:val="21"/>
                <w:szCs w:val="21"/>
                <w14:textFill>
                  <w14:solidFill>
                    <w14:schemeClr w14:val="tx1"/>
                  </w14:solidFill>
                </w14:textFill>
              </w:rPr>
              <w:t>条和</w:t>
            </w:r>
            <w:r>
              <w:rPr>
                <w:rFonts w:eastAsiaTheme="minorEastAsia"/>
                <w:snapToGrid w:val="0"/>
                <w:color w:val="000000" w:themeColor="text1"/>
                <w:sz w:val="21"/>
                <w:szCs w:val="21"/>
                <w14:textFill>
                  <w14:solidFill>
                    <w14:schemeClr w14:val="tx1"/>
                  </w14:solidFill>
                </w14:textFill>
              </w:rPr>
              <w:t>A1.3.4.2</w:t>
            </w:r>
            <w:r>
              <w:rPr>
                <w:rFonts w:hAnsiTheme="minorEastAsia" w:eastAsiaTheme="minorEastAsia"/>
                <w:snapToGrid w:val="0"/>
                <w:color w:val="000000" w:themeColor="text1"/>
                <w:sz w:val="21"/>
                <w:szCs w:val="21"/>
                <w14:textFill>
                  <w14:solidFill>
                    <w14:schemeClr w14:val="tx1"/>
                  </w14:solidFill>
                </w14:textFill>
              </w:rPr>
              <w:t>条第（</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）项的要求；</w:t>
            </w:r>
          </w:p>
          <w:p w14:paraId="2C462389">
            <w:pPr>
              <w:pStyle w:val="19"/>
              <w:tabs>
                <w:tab w:val="left" w:pos="43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）轿厢空载，以检修速度上行的工况进行限速器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安全钳联动试验，观察限速器安全钳动作是否可靠。</w:t>
            </w:r>
          </w:p>
          <w:p w14:paraId="117E5BF8">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A1-10</w:t>
            </w:r>
            <w:r>
              <w:rPr>
                <w:rFonts w:hAnsiTheme="minorEastAsia" w:eastAsiaTheme="minorEastAsia"/>
                <w:snapToGrid w:val="0"/>
                <w:color w:val="000000" w:themeColor="text1"/>
                <w:sz w:val="21"/>
                <w:szCs w:val="21"/>
                <w14:textFill>
                  <w14:solidFill>
                    <w14:schemeClr w14:val="tx1"/>
                  </w14:solidFill>
                </w14:textFill>
              </w:rPr>
              <w:t>：对于采用除限速器以外方式触发的安全钳，按照电梯制造（改造）单位的要求进行试验。</w:t>
            </w:r>
          </w:p>
        </w:tc>
        <w:tc>
          <w:tcPr>
            <w:tcW w:w="2805" w:type="dxa"/>
            <w:tcMar>
              <w:top w:w="0" w:type="dxa"/>
              <w:left w:w="57" w:type="dxa"/>
              <w:bottom w:w="0" w:type="dxa"/>
              <w:right w:w="57" w:type="dxa"/>
            </w:tcMar>
            <w:vAlign w:val="center"/>
          </w:tcPr>
          <w:p w14:paraId="2794CE51">
            <w:pPr>
              <w:pStyle w:val="19"/>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）目测调节部位封记和限速器运转情况，结合安全钳试验结果，判断限速器动作是否正常；</w:t>
            </w:r>
          </w:p>
          <w:p w14:paraId="0C716DE7">
            <w:pPr>
              <w:pStyle w:val="19"/>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）通过查看限速器调试证书、校验记录，结合限速器的状态确认其动作速度是否符合要求；发现调节部位封记缺损等可能影响限速器动作速度的情况，应当通过下列方法现场测试限速器的动作速度：</w:t>
            </w:r>
          </w:p>
          <w:p w14:paraId="50F0A8D2">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用限速器校验仪校验限速器的动作速度，对照限速器铭牌上的相关参数，判断校验结果是否符合要求；</w:t>
            </w:r>
          </w:p>
          <w:p w14:paraId="4EEF0A66">
            <w:pPr>
              <w:pStyle w:val="19"/>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）目测电气安全装置的设置情况，电梯以检修速度运行，使电气安全装置动作，观察电梯运行状况；</w:t>
            </w:r>
          </w:p>
          <w:p w14:paraId="5E5CC1E2">
            <w:pPr>
              <w:pStyle w:val="19"/>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）短接限速器和安全钳的电气安全装置，轿厢空载，以检修速度向上运行，人为动作限速器，观察对重（平衡重）制停情况（</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）对于采用除限速器以外方式触发的安全钳，按照电梯制造（改造）单位的要求进行试验。</w:t>
            </w:r>
          </w:p>
        </w:tc>
      </w:tr>
      <w:tr w14:paraId="02AD5F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6" w:hRule="atLeast"/>
          <w:jc w:val="center"/>
        </w:trPr>
        <w:tc>
          <w:tcPr>
            <w:tcW w:w="481" w:type="dxa"/>
            <w:vMerge w:val="continue"/>
            <w:tcMar>
              <w:top w:w="0" w:type="dxa"/>
              <w:left w:w="57" w:type="dxa"/>
              <w:bottom w:w="0" w:type="dxa"/>
              <w:right w:w="57" w:type="dxa"/>
            </w:tcMar>
            <w:vAlign w:val="center"/>
          </w:tcPr>
          <w:p w14:paraId="63E3845F">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p>
        </w:tc>
        <w:tc>
          <w:tcPr>
            <w:tcW w:w="1375" w:type="dxa"/>
            <w:gridSpan w:val="2"/>
            <w:tcMar>
              <w:top w:w="0" w:type="dxa"/>
              <w:left w:w="57" w:type="dxa"/>
              <w:bottom w:w="0" w:type="dxa"/>
              <w:right w:w="57" w:type="dxa"/>
            </w:tcMar>
            <w:vAlign w:val="center"/>
          </w:tcPr>
          <w:p w14:paraId="4AB91185">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*A1.3.6</w:t>
            </w:r>
          </w:p>
          <w:p w14:paraId="444B6651">
            <w:pPr>
              <w:pStyle w:val="19"/>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缓冲器试验</w:t>
            </w:r>
          </w:p>
        </w:tc>
        <w:tc>
          <w:tcPr>
            <w:tcW w:w="4297" w:type="dxa"/>
            <w:tcMar>
              <w:top w:w="0" w:type="dxa"/>
              <w:left w:w="57" w:type="dxa"/>
              <w:bottom w:w="0" w:type="dxa"/>
              <w:right w:w="57" w:type="dxa"/>
            </w:tcMar>
            <w:vAlign w:val="center"/>
          </w:tcPr>
          <w:p w14:paraId="6D7ABFCD">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轿厢空载，以检修速度运行的工况使缓冲器被压缩，轿厢（运载装置）、对重停在其上再离开后，观察缓冲器是否未出现对电梯正常使用有不利影响的损坏（如明显倾斜、断裂、塑性变形、剥落、破损等）。</w:t>
            </w:r>
          </w:p>
        </w:tc>
        <w:tc>
          <w:tcPr>
            <w:tcW w:w="2805" w:type="dxa"/>
            <w:tcMar>
              <w:top w:w="0" w:type="dxa"/>
              <w:left w:w="57" w:type="dxa"/>
              <w:bottom w:w="0" w:type="dxa"/>
              <w:right w:w="57" w:type="dxa"/>
            </w:tcMar>
            <w:vAlign w:val="center"/>
          </w:tcPr>
          <w:p w14:paraId="08FF5DDE">
            <w:pPr>
              <w:pStyle w:val="19"/>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将限位开关（如果有）、极限开关短接，轿厢空载，以检修速度运行的工况使缓冲器被压缩，轿厢（运载装置）、对重停在其上再离开后，观察缓冲器是否未出现对电梯正常使用有不利影响的损坏（如明显倾斜、断裂、塑性变形、剥落、破损等）。</w:t>
            </w:r>
          </w:p>
        </w:tc>
      </w:tr>
      <w:tr w14:paraId="6EDD51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33" w:hRule="atLeast"/>
          <w:jc w:val="center"/>
        </w:trPr>
        <w:tc>
          <w:tcPr>
            <w:tcW w:w="481" w:type="dxa"/>
            <w:vMerge w:val="restart"/>
            <w:tcMar>
              <w:top w:w="0" w:type="dxa"/>
              <w:left w:w="57" w:type="dxa"/>
              <w:bottom w:w="0" w:type="dxa"/>
              <w:right w:w="57" w:type="dxa"/>
            </w:tcMar>
            <w:vAlign w:val="center"/>
          </w:tcPr>
          <w:p w14:paraId="3A6D4945">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w:t>
            </w:r>
          </w:p>
          <w:p w14:paraId="5CF358BC">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试验</w:t>
            </w:r>
          </w:p>
        </w:tc>
        <w:tc>
          <w:tcPr>
            <w:tcW w:w="518" w:type="dxa"/>
            <w:vMerge w:val="restart"/>
            <w:tcMar>
              <w:top w:w="0" w:type="dxa"/>
              <w:left w:w="57" w:type="dxa"/>
              <w:bottom w:w="0" w:type="dxa"/>
              <w:right w:w="57" w:type="dxa"/>
            </w:tcMar>
            <w:vAlign w:val="center"/>
          </w:tcPr>
          <w:p w14:paraId="004BE08F">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w:t>
            </w:r>
          </w:p>
          <w:p w14:paraId="03DB81FB">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轿厢（运载装置）上行超速保护</w:t>
            </w:r>
          </w:p>
          <w:p w14:paraId="34AF650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装置试</w:t>
            </w:r>
          </w:p>
          <w:p w14:paraId="3E5C43D3">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验</w:t>
            </w:r>
          </w:p>
        </w:tc>
        <w:tc>
          <w:tcPr>
            <w:tcW w:w="857" w:type="dxa"/>
            <w:tcMar>
              <w:top w:w="0" w:type="dxa"/>
              <w:left w:w="57" w:type="dxa"/>
              <w:bottom w:w="0" w:type="dxa"/>
              <w:right w:w="57" w:type="dxa"/>
            </w:tcMar>
            <w:vAlign w:val="center"/>
          </w:tcPr>
          <w:p w14:paraId="20D0D9B3">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A1.3.7.1</w:t>
            </w:r>
          </w:p>
          <w:p w14:paraId="647E3A66">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p w14:paraId="69461B1D">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方法</w:t>
            </w:r>
          </w:p>
        </w:tc>
        <w:tc>
          <w:tcPr>
            <w:tcW w:w="4297" w:type="dxa"/>
            <w:tcMar>
              <w:top w:w="0" w:type="dxa"/>
              <w:left w:w="57" w:type="dxa"/>
              <w:bottom w:w="0" w:type="dxa"/>
              <w:right w:w="57" w:type="dxa"/>
            </w:tcMar>
            <w:vAlign w:val="center"/>
          </w:tcPr>
          <w:p w14:paraId="33CAB43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检查控制柜或者紧急和测试操作屏上是否标有轿厢（运载装置）上行超速保护装置动作试验方法。</w:t>
            </w:r>
          </w:p>
        </w:tc>
        <w:tc>
          <w:tcPr>
            <w:tcW w:w="2805" w:type="dxa"/>
            <w:tcMar>
              <w:top w:w="0" w:type="dxa"/>
              <w:left w:w="57" w:type="dxa"/>
              <w:bottom w:w="0" w:type="dxa"/>
              <w:right w:w="57" w:type="dxa"/>
            </w:tcMar>
            <w:vAlign w:val="center"/>
          </w:tcPr>
          <w:p w14:paraId="3D9E6CDC">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789ABF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87" w:hRule="atLeast"/>
          <w:jc w:val="center"/>
        </w:trPr>
        <w:tc>
          <w:tcPr>
            <w:tcW w:w="481" w:type="dxa"/>
            <w:vMerge w:val="continue"/>
            <w:tcMar>
              <w:top w:w="0" w:type="dxa"/>
              <w:left w:w="57" w:type="dxa"/>
              <w:bottom w:w="0" w:type="dxa"/>
              <w:right w:w="57" w:type="dxa"/>
            </w:tcMar>
            <w:vAlign w:val="center"/>
          </w:tcPr>
          <w:p w14:paraId="32C6C33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3B369E27">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0054B2B1">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*A1.3.7.2</w:t>
            </w:r>
          </w:p>
          <w:p w14:paraId="0D72F02F">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电气安全装置</w:t>
            </w:r>
          </w:p>
        </w:tc>
        <w:tc>
          <w:tcPr>
            <w:tcW w:w="4297" w:type="dxa"/>
            <w:tcMar>
              <w:top w:w="0" w:type="dxa"/>
              <w:left w:w="57" w:type="dxa"/>
              <w:bottom w:w="0" w:type="dxa"/>
              <w:right w:w="57" w:type="dxa"/>
            </w:tcMar>
            <w:vAlign w:val="center"/>
          </w:tcPr>
          <w:p w14:paraId="793AB73D">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检查轿厢（运载装置）上行超速保护装置上的电气安全装置功能是否有效。</w:t>
            </w:r>
          </w:p>
        </w:tc>
        <w:tc>
          <w:tcPr>
            <w:tcW w:w="2805" w:type="dxa"/>
            <w:tcMar>
              <w:top w:w="0" w:type="dxa"/>
              <w:left w:w="57" w:type="dxa"/>
              <w:bottom w:w="0" w:type="dxa"/>
              <w:right w:w="57" w:type="dxa"/>
            </w:tcMar>
            <w:vAlign w:val="center"/>
          </w:tcPr>
          <w:p w14:paraId="71BFD6DB">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轿厢空载，以检修速度运行，人为使电气安全装置动作，观察电梯运行状况。</w:t>
            </w:r>
          </w:p>
        </w:tc>
      </w:tr>
      <w:tr w14:paraId="5373C8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9" w:hRule="atLeast"/>
          <w:jc w:val="center"/>
        </w:trPr>
        <w:tc>
          <w:tcPr>
            <w:tcW w:w="481" w:type="dxa"/>
            <w:vMerge w:val="continue"/>
            <w:tcMar>
              <w:top w:w="0" w:type="dxa"/>
              <w:left w:w="57" w:type="dxa"/>
              <w:bottom w:w="0" w:type="dxa"/>
              <w:right w:w="57" w:type="dxa"/>
            </w:tcMar>
            <w:vAlign w:val="center"/>
          </w:tcPr>
          <w:p w14:paraId="1E15B5B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2D4DB9FB">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0DDB2C1E">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*A1.3.7.3</w:t>
            </w:r>
          </w:p>
          <w:p w14:paraId="702C82DA">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监测</w:t>
            </w:r>
          </w:p>
          <w:p w14:paraId="3556ACC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w:t>
            </w:r>
          </w:p>
        </w:tc>
        <w:tc>
          <w:tcPr>
            <w:tcW w:w="4297" w:type="dxa"/>
            <w:tcMar>
              <w:top w:w="0" w:type="dxa"/>
              <w:left w:w="57" w:type="dxa"/>
              <w:bottom w:w="0" w:type="dxa"/>
              <w:right w:w="57" w:type="dxa"/>
            </w:tcMar>
            <w:vAlign w:val="center"/>
          </w:tcPr>
          <w:p w14:paraId="1AA03E5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采用存在内部冗余的制动器作为轿厢（运载装置）上行超速保护装置减速部件的检查当制动器机械部件动作（松开或者制动）失效或者制动力不足时，是否能够防止电梯正常运行。</w:t>
            </w:r>
          </w:p>
        </w:tc>
        <w:tc>
          <w:tcPr>
            <w:tcW w:w="2805" w:type="dxa"/>
            <w:tcMar>
              <w:top w:w="0" w:type="dxa"/>
              <w:left w:w="57" w:type="dxa"/>
              <w:bottom w:w="0" w:type="dxa"/>
              <w:right w:w="57" w:type="dxa"/>
            </w:tcMar>
            <w:vAlign w:val="center"/>
          </w:tcPr>
          <w:p w14:paraId="2C541EBE">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通过模拟操作检查制动器状态监测功能或者按照电梯整机制造单位提供的方法检查制动器机械部件动作（松开或者制动）或者制动力监测功能）。</w:t>
            </w:r>
          </w:p>
        </w:tc>
      </w:tr>
      <w:tr w14:paraId="557F04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1" w:hRule="atLeast"/>
          <w:jc w:val="center"/>
        </w:trPr>
        <w:tc>
          <w:tcPr>
            <w:tcW w:w="481" w:type="dxa"/>
            <w:vMerge w:val="continue"/>
            <w:tcMar>
              <w:top w:w="0" w:type="dxa"/>
              <w:left w:w="57" w:type="dxa"/>
              <w:bottom w:w="0" w:type="dxa"/>
              <w:right w:w="57" w:type="dxa"/>
            </w:tcMar>
            <w:vAlign w:val="center"/>
          </w:tcPr>
          <w:p w14:paraId="563D7E03">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D2DBB92">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7FAF5E0B">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*A1.3.7.4</w:t>
            </w:r>
          </w:p>
          <w:p w14:paraId="0B27443B">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4297" w:type="dxa"/>
            <w:tcMar>
              <w:top w:w="0" w:type="dxa"/>
              <w:left w:w="57" w:type="dxa"/>
              <w:bottom w:w="0" w:type="dxa"/>
              <w:right w:w="57" w:type="dxa"/>
            </w:tcMar>
            <w:vAlign w:val="center"/>
          </w:tcPr>
          <w:p w14:paraId="3614C57E">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按照本附件</w:t>
            </w:r>
            <w:r>
              <w:rPr>
                <w:rFonts w:eastAsiaTheme="minorEastAsia"/>
                <w:snapToGrid w:val="0"/>
                <w:color w:val="000000" w:themeColor="text1"/>
                <w:sz w:val="21"/>
                <w:szCs w:val="21"/>
                <w14:textFill>
                  <w14:solidFill>
                    <w14:schemeClr w14:val="tx1"/>
                  </w14:solidFill>
                </w14:textFill>
              </w:rPr>
              <w:t>A1.3.7.1</w:t>
            </w:r>
            <w:r>
              <w:rPr>
                <w:rFonts w:hAnsiTheme="minorEastAsia" w:eastAsiaTheme="minorEastAsia"/>
                <w:snapToGrid w:val="0"/>
                <w:color w:val="000000" w:themeColor="text1"/>
                <w:sz w:val="21"/>
                <w:szCs w:val="21"/>
                <w14:textFill>
                  <w14:solidFill>
                    <w14:schemeClr w14:val="tx1"/>
                  </w14:solidFill>
                </w14:textFill>
              </w:rPr>
              <w:t>条所述的试验方法进行动作试验，观察轿厢（运载装置）上行超速保护装置动作是否可靠。</w:t>
            </w:r>
          </w:p>
          <w:p w14:paraId="1B29AAF1">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对于配有轿厢（运载装置）上行超速保护装置但是未按照《电梯监督检验和定期检验规则》中</w:t>
            </w:r>
            <w:r>
              <w:rPr>
                <w:rFonts w:eastAsiaTheme="minorEastAsia"/>
                <w:snapToGrid w:val="0"/>
                <w:color w:val="000000" w:themeColor="text1"/>
                <w:sz w:val="21"/>
                <w:szCs w:val="21"/>
                <w14:textFill>
                  <w14:solidFill>
                    <w14:schemeClr w14:val="tx1"/>
                  </w14:solidFill>
                </w14:textFill>
              </w:rPr>
              <w:t>A1.3.7</w:t>
            </w:r>
            <w:r>
              <w:rPr>
                <w:rFonts w:hAnsiTheme="minorEastAsia" w:eastAsiaTheme="minorEastAsia"/>
                <w:snapToGrid w:val="0"/>
                <w:color w:val="000000" w:themeColor="text1"/>
                <w:sz w:val="21"/>
                <w:szCs w:val="21"/>
                <w14:textFill>
                  <w14:solidFill>
                    <w14:schemeClr w14:val="tx1"/>
                  </w14:solidFill>
                </w14:textFill>
              </w:rPr>
              <w:t>条对轿厢（运载装置）上行超速保护装置进行过监督检验并且不符合本附件</w:t>
            </w:r>
            <w:r>
              <w:rPr>
                <w:rFonts w:eastAsiaTheme="minorEastAsia"/>
                <w:snapToGrid w:val="0"/>
                <w:color w:val="000000" w:themeColor="text1"/>
                <w:sz w:val="21"/>
                <w:szCs w:val="21"/>
                <w14:textFill>
                  <w14:solidFill>
                    <w14:schemeClr w14:val="tx1"/>
                  </w14:solidFill>
                </w14:textFill>
              </w:rPr>
              <w:t>A1.3.7.1</w:t>
            </w:r>
            <w:r>
              <w:rPr>
                <w:rFonts w:hAnsiTheme="minorEastAsia" w:eastAsiaTheme="minorEastAsia"/>
                <w:snapToGrid w:val="0"/>
                <w:color w:val="000000" w:themeColor="text1"/>
                <w:sz w:val="21"/>
                <w:szCs w:val="21"/>
                <w14:textFill>
                  <w14:solidFill>
                    <w14:schemeClr w14:val="tx1"/>
                  </w14:solidFill>
                </w14:textFill>
              </w:rPr>
              <w:t>条要求的电梯（不要求其必须符合该条要求），可以轿厢空载、检修速度上行的工况进行动作试验。</w:t>
            </w:r>
          </w:p>
        </w:tc>
        <w:tc>
          <w:tcPr>
            <w:tcW w:w="2805" w:type="dxa"/>
            <w:tcMar>
              <w:top w:w="0" w:type="dxa"/>
              <w:left w:w="57" w:type="dxa"/>
              <w:bottom w:w="0" w:type="dxa"/>
              <w:right w:w="57" w:type="dxa"/>
            </w:tcMar>
            <w:vAlign w:val="center"/>
          </w:tcPr>
          <w:p w14:paraId="54F55088">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按照控制柜或者紧急和测试操作屏上标注的轿厢（运载装置）上行超速保护装置动作试验方法进行试验，观察轿厢（运载装置）上行超速保护装置动作是否可靠；</w:t>
            </w:r>
          </w:p>
          <w:p w14:paraId="53DD1128">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对于配有轿厢（运载装置）上行超速保护装置但是未按照《电梯监督检验和定期检验规则》中</w:t>
            </w:r>
            <w:r>
              <w:rPr>
                <w:rFonts w:eastAsiaTheme="minorEastAsia"/>
                <w:snapToGrid w:val="0"/>
                <w:color w:val="000000" w:themeColor="text1"/>
                <w:sz w:val="21"/>
                <w:szCs w:val="21"/>
                <w14:textFill>
                  <w14:solidFill>
                    <w14:schemeClr w14:val="tx1"/>
                  </w14:solidFill>
                </w14:textFill>
              </w:rPr>
              <w:t>A1.3.7</w:t>
            </w:r>
            <w:r>
              <w:rPr>
                <w:rFonts w:hAnsiTheme="minorEastAsia" w:eastAsiaTheme="minorEastAsia"/>
                <w:snapToGrid w:val="0"/>
                <w:color w:val="000000" w:themeColor="text1"/>
                <w:sz w:val="21"/>
                <w:szCs w:val="21"/>
                <w14:textFill>
                  <w14:solidFill>
                    <w14:schemeClr w14:val="tx1"/>
                  </w14:solidFill>
                </w14:textFill>
              </w:rPr>
              <w:t>条对轿厢（运载装置）上行超速保护装置进行过监督检验并且不符合本附件</w:t>
            </w:r>
            <w:r>
              <w:rPr>
                <w:rFonts w:eastAsiaTheme="minorEastAsia"/>
                <w:snapToGrid w:val="0"/>
                <w:color w:val="000000" w:themeColor="text1"/>
                <w:sz w:val="21"/>
                <w:szCs w:val="21"/>
                <w14:textFill>
                  <w14:solidFill>
                    <w14:schemeClr w14:val="tx1"/>
                  </w14:solidFill>
                </w14:textFill>
              </w:rPr>
              <w:t>A1.3.7.1</w:t>
            </w:r>
            <w:r>
              <w:rPr>
                <w:rFonts w:hAnsiTheme="minorEastAsia" w:eastAsiaTheme="minorEastAsia"/>
                <w:snapToGrid w:val="0"/>
                <w:color w:val="000000" w:themeColor="text1"/>
                <w:sz w:val="21"/>
                <w:szCs w:val="21"/>
                <w14:textFill>
                  <w14:solidFill>
                    <w14:schemeClr w14:val="tx1"/>
                  </w14:solidFill>
                </w14:textFill>
              </w:rPr>
              <w:t>条要求的电梯（不要求其必须符合该条要求），可以轿厢空载、检修速度上行的工况进行动作试验。</w:t>
            </w:r>
          </w:p>
        </w:tc>
      </w:tr>
      <w:tr w14:paraId="7104A1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4" w:hRule="atLeast"/>
          <w:jc w:val="center"/>
        </w:trPr>
        <w:tc>
          <w:tcPr>
            <w:tcW w:w="481" w:type="dxa"/>
            <w:vMerge w:val="continue"/>
            <w:tcMar>
              <w:top w:w="0" w:type="dxa"/>
              <w:left w:w="57" w:type="dxa"/>
              <w:bottom w:w="0" w:type="dxa"/>
              <w:right w:w="57" w:type="dxa"/>
            </w:tcMar>
            <w:vAlign w:val="center"/>
          </w:tcPr>
          <w:p w14:paraId="1085E0A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restart"/>
            <w:tcMar>
              <w:top w:w="0" w:type="dxa"/>
              <w:left w:w="57" w:type="dxa"/>
              <w:bottom w:w="0" w:type="dxa"/>
              <w:right w:w="57" w:type="dxa"/>
            </w:tcMar>
            <w:vAlign w:val="center"/>
          </w:tcPr>
          <w:p w14:paraId="1273B6F6">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w:t>
            </w:r>
            <w:r>
              <w:rPr>
                <w:rFonts w:hAnsiTheme="minorEastAsia" w:eastAsiaTheme="minorEastAsia"/>
                <w:snapToGrid w:val="0"/>
                <w:color w:val="000000" w:themeColor="text1"/>
                <w:sz w:val="21"/>
                <w:szCs w:val="21"/>
                <w14:textFill>
                  <w14:solidFill>
                    <w14:schemeClr w14:val="tx1"/>
                  </w14:solidFill>
                </w14:textFill>
              </w:rPr>
              <w:t>轿厢（运</w:t>
            </w:r>
          </w:p>
          <w:p w14:paraId="25E83926">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载装置）</w:t>
            </w:r>
          </w:p>
          <w:p w14:paraId="70C3E5E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意外移动保护装置试验</w:t>
            </w:r>
          </w:p>
        </w:tc>
        <w:tc>
          <w:tcPr>
            <w:tcW w:w="857" w:type="dxa"/>
            <w:tcMar>
              <w:top w:w="0" w:type="dxa"/>
              <w:left w:w="57" w:type="dxa"/>
              <w:bottom w:w="0" w:type="dxa"/>
              <w:right w:w="57" w:type="dxa"/>
            </w:tcMar>
            <w:vAlign w:val="center"/>
          </w:tcPr>
          <w:p w14:paraId="00BDEC4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A1.3.8.1</w:t>
            </w:r>
          </w:p>
          <w:p w14:paraId="1C63D889">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p w14:paraId="60B42BC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方法</w:t>
            </w:r>
          </w:p>
        </w:tc>
        <w:tc>
          <w:tcPr>
            <w:tcW w:w="4297" w:type="dxa"/>
            <w:tcMar>
              <w:top w:w="0" w:type="dxa"/>
              <w:left w:w="57" w:type="dxa"/>
              <w:bottom w:w="0" w:type="dxa"/>
              <w:right w:w="57" w:type="dxa"/>
            </w:tcMar>
            <w:vAlign w:val="center"/>
          </w:tcPr>
          <w:p w14:paraId="3596DB4C">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检查控制柜或者紧急和测试操作屏上是否标有轿厢（运载装置）意外移动保护装置动作试验方法。</w:t>
            </w:r>
          </w:p>
        </w:tc>
        <w:tc>
          <w:tcPr>
            <w:tcW w:w="2805" w:type="dxa"/>
            <w:tcMar>
              <w:top w:w="0" w:type="dxa"/>
              <w:left w:w="57" w:type="dxa"/>
              <w:bottom w:w="0" w:type="dxa"/>
              <w:right w:w="57" w:type="dxa"/>
            </w:tcMar>
            <w:vAlign w:val="center"/>
          </w:tcPr>
          <w:p w14:paraId="2936C1E1">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p>
        </w:tc>
      </w:tr>
      <w:tr w14:paraId="5554A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8" w:hRule="atLeast"/>
          <w:jc w:val="center"/>
        </w:trPr>
        <w:tc>
          <w:tcPr>
            <w:tcW w:w="481" w:type="dxa"/>
            <w:vMerge w:val="continue"/>
            <w:tcMar>
              <w:top w:w="0" w:type="dxa"/>
              <w:left w:w="57" w:type="dxa"/>
              <w:bottom w:w="0" w:type="dxa"/>
              <w:right w:w="57" w:type="dxa"/>
            </w:tcMar>
            <w:vAlign w:val="center"/>
          </w:tcPr>
          <w:p w14:paraId="58FB9C40">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655376C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857" w:type="dxa"/>
            <w:tcMar>
              <w:top w:w="0" w:type="dxa"/>
              <w:left w:w="57" w:type="dxa"/>
              <w:bottom w:w="0" w:type="dxa"/>
              <w:right w:w="57" w:type="dxa"/>
            </w:tcMar>
            <w:vAlign w:val="center"/>
          </w:tcPr>
          <w:p w14:paraId="11AD221F">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*A1.3.8.2</w:t>
            </w:r>
          </w:p>
          <w:p w14:paraId="7B10A73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电气安全装置</w:t>
            </w:r>
          </w:p>
        </w:tc>
        <w:tc>
          <w:tcPr>
            <w:tcW w:w="4297" w:type="dxa"/>
            <w:tcMar>
              <w:top w:w="0" w:type="dxa"/>
              <w:left w:w="57" w:type="dxa"/>
              <w:bottom w:w="0" w:type="dxa"/>
              <w:right w:w="57" w:type="dxa"/>
            </w:tcMar>
            <w:vAlign w:val="center"/>
          </w:tcPr>
          <w:p w14:paraId="7B74D32E">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检查轿厢（运载装置）意外移动保护装置上的电气安全装置功能是否有效。</w:t>
            </w:r>
          </w:p>
        </w:tc>
        <w:tc>
          <w:tcPr>
            <w:tcW w:w="2805" w:type="dxa"/>
            <w:tcMar>
              <w:top w:w="0" w:type="dxa"/>
              <w:left w:w="57" w:type="dxa"/>
              <w:bottom w:w="0" w:type="dxa"/>
              <w:right w:w="57" w:type="dxa"/>
            </w:tcMar>
            <w:vAlign w:val="center"/>
          </w:tcPr>
          <w:p w14:paraId="6137C966">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轿厢空载，以检修速度运行，人为使电气安全装置动作，观察电梯运行状况。</w:t>
            </w:r>
          </w:p>
        </w:tc>
      </w:tr>
      <w:tr w14:paraId="12E50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11" w:hRule="atLeast"/>
          <w:jc w:val="center"/>
        </w:trPr>
        <w:tc>
          <w:tcPr>
            <w:tcW w:w="481" w:type="dxa"/>
            <w:vMerge w:val="continue"/>
            <w:tcMar>
              <w:top w:w="0" w:type="dxa"/>
              <w:left w:w="57" w:type="dxa"/>
              <w:bottom w:w="0" w:type="dxa"/>
              <w:right w:w="57" w:type="dxa"/>
            </w:tcMar>
            <w:vAlign w:val="center"/>
          </w:tcPr>
          <w:p w14:paraId="62E28B5F">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38BE22C4">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510C3944">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*A1.3.8.3</w:t>
            </w:r>
          </w:p>
          <w:p w14:paraId="4CB40108">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监测</w:t>
            </w:r>
          </w:p>
          <w:p w14:paraId="46303E9B">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w:t>
            </w:r>
          </w:p>
        </w:tc>
        <w:tc>
          <w:tcPr>
            <w:tcW w:w="4297" w:type="dxa"/>
            <w:tcMar>
              <w:top w:w="0" w:type="dxa"/>
              <w:left w:w="57" w:type="dxa"/>
              <w:bottom w:w="0" w:type="dxa"/>
              <w:right w:w="57" w:type="dxa"/>
            </w:tcMar>
            <w:vAlign w:val="center"/>
          </w:tcPr>
          <w:p w14:paraId="13CF997C">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采用存在内部冗余的制动器作为轿厢（运载装置）意外移动保护装置制停部件的检查当制动器机械部件动作（松开或者制动）失效或者制动力不足时，是否能够关闭轿门和层门，并且能够防止电梯正常运行。</w:t>
            </w:r>
          </w:p>
        </w:tc>
        <w:tc>
          <w:tcPr>
            <w:tcW w:w="2805" w:type="dxa"/>
            <w:tcMar>
              <w:top w:w="0" w:type="dxa"/>
              <w:left w:w="57" w:type="dxa"/>
              <w:bottom w:w="0" w:type="dxa"/>
              <w:right w:w="57" w:type="dxa"/>
            </w:tcMar>
            <w:vAlign w:val="center"/>
          </w:tcPr>
          <w:p w14:paraId="4DBD35C9">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通过模拟操作检查制动器状态监测功能或者按照电梯整机制造单位提供的方法检查</w:t>
            </w:r>
            <w:r>
              <w:rPr>
                <w:rFonts w:hAnsiTheme="minorEastAsia" w:eastAsiaTheme="minorEastAsia"/>
                <w:snapToGrid w:val="0"/>
                <w:color w:val="000000" w:themeColor="text1"/>
                <w:spacing w:val="-4"/>
                <w:sz w:val="21"/>
                <w:szCs w:val="21"/>
                <w14:textFill>
                  <w14:solidFill>
                    <w14:schemeClr w14:val="tx1"/>
                  </w14:solidFill>
                </w14:textFill>
              </w:rPr>
              <w:t>制动器机械部件动作（松开或者制动）或者制动力监测功能。</w:t>
            </w:r>
          </w:p>
        </w:tc>
      </w:tr>
      <w:tr w14:paraId="22ACD9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41" w:hRule="atLeast"/>
          <w:jc w:val="center"/>
        </w:trPr>
        <w:tc>
          <w:tcPr>
            <w:tcW w:w="481" w:type="dxa"/>
            <w:vMerge w:val="continue"/>
            <w:tcMar>
              <w:top w:w="0" w:type="dxa"/>
              <w:left w:w="57" w:type="dxa"/>
              <w:bottom w:w="0" w:type="dxa"/>
              <w:right w:w="57" w:type="dxa"/>
            </w:tcMar>
            <w:vAlign w:val="center"/>
          </w:tcPr>
          <w:p w14:paraId="517D4040">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518" w:type="dxa"/>
            <w:vMerge w:val="continue"/>
            <w:tcMar>
              <w:top w:w="0" w:type="dxa"/>
              <w:left w:w="57" w:type="dxa"/>
              <w:bottom w:w="0" w:type="dxa"/>
              <w:right w:w="57" w:type="dxa"/>
            </w:tcMar>
            <w:vAlign w:val="center"/>
          </w:tcPr>
          <w:p w14:paraId="4E599187">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857" w:type="dxa"/>
            <w:tcMar>
              <w:top w:w="0" w:type="dxa"/>
              <w:left w:w="57" w:type="dxa"/>
              <w:bottom w:w="0" w:type="dxa"/>
              <w:right w:w="57" w:type="dxa"/>
            </w:tcMar>
            <w:vAlign w:val="center"/>
          </w:tcPr>
          <w:p w14:paraId="7E11290C">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*A1.3.8.4</w:t>
            </w:r>
          </w:p>
          <w:p w14:paraId="0F51C242">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4297" w:type="dxa"/>
            <w:tcMar>
              <w:top w:w="0" w:type="dxa"/>
              <w:left w:w="57" w:type="dxa"/>
              <w:bottom w:w="0" w:type="dxa"/>
              <w:right w:w="57" w:type="dxa"/>
            </w:tcMar>
            <w:vAlign w:val="center"/>
          </w:tcPr>
          <w:p w14:paraId="768F7AC7">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按照本附件</w:t>
            </w:r>
            <w:r>
              <w:rPr>
                <w:rFonts w:eastAsiaTheme="minorEastAsia"/>
                <w:snapToGrid w:val="0"/>
                <w:color w:val="000000" w:themeColor="text1"/>
                <w:sz w:val="21"/>
                <w:szCs w:val="21"/>
                <w14:textFill>
                  <w14:solidFill>
                    <w14:schemeClr w14:val="tx1"/>
                  </w14:solidFill>
                </w14:textFill>
              </w:rPr>
              <w:t>A1.3.8.1</w:t>
            </w:r>
            <w:r>
              <w:rPr>
                <w:rFonts w:hAnsiTheme="minorEastAsia" w:eastAsiaTheme="minorEastAsia"/>
                <w:snapToGrid w:val="0"/>
                <w:color w:val="000000" w:themeColor="text1"/>
                <w:sz w:val="21"/>
                <w:szCs w:val="21"/>
                <w14:textFill>
                  <w14:solidFill>
                    <w14:schemeClr w14:val="tx1"/>
                  </w14:solidFill>
                </w14:textFill>
              </w:rPr>
              <w:t>条所述的试验方法进行动作试验，观察轿厢（运载装置）意外移动保护装置动作是否可靠。</w:t>
            </w:r>
          </w:p>
        </w:tc>
        <w:tc>
          <w:tcPr>
            <w:tcW w:w="2805" w:type="dxa"/>
            <w:tcMar>
              <w:top w:w="0" w:type="dxa"/>
              <w:left w:w="57" w:type="dxa"/>
              <w:bottom w:w="0" w:type="dxa"/>
              <w:right w:w="57" w:type="dxa"/>
            </w:tcMar>
            <w:vAlign w:val="center"/>
          </w:tcPr>
          <w:p w14:paraId="05F04B2F">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按照控制柜或者紧急和测试操作屏上标注的轿厢（运载装置）意外移动保护装置动作试验方法进行试验，观察轿厢（运载装置）意外移动保护装置动作是否可靠。</w:t>
            </w:r>
          </w:p>
        </w:tc>
      </w:tr>
      <w:tr w14:paraId="422E1D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restart"/>
            <w:tcMar>
              <w:top w:w="0" w:type="dxa"/>
              <w:left w:w="57" w:type="dxa"/>
              <w:bottom w:w="0" w:type="dxa"/>
              <w:right w:w="57" w:type="dxa"/>
            </w:tcMar>
            <w:vAlign w:val="center"/>
          </w:tcPr>
          <w:p w14:paraId="1B5AB395">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w:t>
            </w:r>
          </w:p>
          <w:p w14:paraId="15FDF767">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试验</w:t>
            </w:r>
          </w:p>
        </w:tc>
        <w:tc>
          <w:tcPr>
            <w:tcW w:w="1375" w:type="dxa"/>
            <w:gridSpan w:val="2"/>
            <w:tcMar>
              <w:top w:w="0" w:type="dxa"/>
              <w:left w:w="57" w:type="dxa"/>
              <w:bottom w:w="0" w:type="dxa"/>
              <w:right w:w="57" w:type="dxa"/>
            </w:tcMar>
            <w:vAlign w:val="center"/>
          </w:tcPr>
          <w:p w14:paraId="623AF29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*A1.3.9</w:t>
            </w:r>
          </w:p>
          <w:p w14:paraId="64ACA5B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破裂阀试验</w:t>
            </w:r>
          </w:p>
        </w:tc>
        <w:tc>
          <w:tcPr>
            <w:tcW w:w="4297" w:type="dxa"/>
            <w:tcMar>
              <w:top w:w="0" w:type="dxa"/>
              <w:left w:w="57" w:type="dxa"/>
              <w:bottom w:w="0" w:type="dxa"/>
              <w:right w:w="57" w:type="dxa"/>
            </w:tcMar>
            <w:vAlign w:val="center"/>
          </w:tcPr>
          <w:p w14:paraId="4383D9A3">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检查破裂阀附近是否标有电梯整机制造单位规定的无需轿厢超载即可使破裂阀达到动作流量的手动操作方法；按照该方法，轿厢空载下行，观察当达到破裂阀的动作速度时，轿厢是否被可靠制停。</w:t>
            </w:r>
          </w:p>
          <w:p w14:paraId="4559181D">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注</w:t>
            </w:r>
            <w:r>
              <w:rPr>
                <w:rFonts w:eastAsiaTheme="minorEastAsia"/>
                <w:bCs/>
                <w:snapToGrid w:val="0"/>
                <w:color w:val="000000" w:themeColor="text1"/>
                <w:sz w:val="21"/>
                <w:szCs w:val="21"/>
                <w14:textFill>
                  <w14:solidFill>
                    <w14:schemeClr w14:val="tx1"/>
                  </w14:solidFill>
                </w14:textFill>
              </w:rPr>
              <w:t>A1-11</w:t>
            </w:r>
            <w:r>
              <w:rPr>
                <w:rFonts w:hAnsiTheme="minorEastAsia" w:eastAsiaTheme="minorEastAsia"/>
                <w:bCs/>
                <w:snapToGrid w:val="0"/>
                <w:color w:val="000000" w:themeColor="text1"/>
                <w:sz w:val="21"/>
                <w:szCs w:val="21"/>
                <w14:textFill>
                  <w14:solidFill>
                    <w14:schemeClr w14:val="tx1"/>
                  </w14:solidFill>
                </w14:textFill>
              </w:rPr>
              <w:t>：本条不适用于采用限速器触发安全钳来防止轿厢坠落、超速下降的间接作用式液压电梯。</w:t>
            </w:r>
          </w:p>
        </w:tc>
        <w:tc>
          <w:tcPr>
            <w:tcW w:w="2805" w:type="dxa"/>
            <w:tcMar>
              <w:top w:w="0" w:type="dxa"/>
              <w:left w:w="57" w:type="dxa"/>
              <w:bottom w:w="0" w:type="dxa"/>
              <w:right w:w="57" w:type="dxa"/>
            </w:tcMar>
            <w:vAlign w:val="center"/>
          </w:tcPr>
          <w:p w14:paraId="0F108AF2">
            <w:pPr>
              <w:pStyle w:val="19"/>
              <w:widowControl/>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pacing w:val="-8"/>
                <w:sz w:val="21"/>
                <w:szCs w:val="21"/>
                <w14:textFill>
                  <w14:solidFill>
                    <w14:schemeClr w14:val="tx1"/>
                  </w14:solidFill>
                </w14:textFill>
              </w:rPr>
              <w:t>目测破裂阀手动操作方法；</w:t>
            </w:r>
          </w:p>
          <w:p w14:paraId="23E22D7F">
            <w:pPr>
              <w:pStyle w:val="19"/>
              <w:widowControl/>
              <w:tabs>
                <w:tab w:val="left" w:pos="429"/>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）按照电梯整机制造单位规定的</w:t>
            </w:r>
            <w:r>
              <w:rPr>
                <w:rFonts w:hAnsiTheme="minorEastAsia" w:eastAsiaTheme="minorEastAsia"/>
                <w:snapToGrid w:val="0"/>
                <w:color w:val="000000" w:themeColor="text1"/>
                <w:spacing w:val="-4"/>
                <w:sz w:val="21"/>
                <w:szCs w:val="21"/>
                <w14:textFill>
                  <w14:solidFill>
                    <w14:schemeClr w14:val="tx1"/>
                  </w14:solidFill>
                </w14:textFill>
              </w:rPr>
              <w:t>方法进行试验，轿厢空载下行，当达到破裂阀的动作速度时，轿厢应当被可靠制停</w:t>
            </w:r>
            <w:r>
              <w:rPr>
                <w:rFonts w:hint="eastAsia" w:eastAsiaTheme="minorEastAsia"/>
                <w:snapToGrid w:val="0"/>
                <w:color w:val="000000" w:themeColor="text1"/>
                <w:spacing w:val="-4"/>
                <w:sz w:val="21"/>
                <w:szCs w:val="21"/>
                <w14:textFill>
                  <w14:solidFill>
                    <w14:schemeClr w14:val="tx1"/>
                  </w14:solidFill>
                </w14:textFill>
              </w:rPr>
              <w:t>。</w:t>
            </w:r>
          </w:p>
        </w:tc>
      </w:tr>
      <w:tr w14:paraId="32EE52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3FAA84CC">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1375" w:type="dxa"/>
            <w:gridSpan w:val="2"/>
            <w:tcMar>
              <w:top w:w="0" w:type="dxa"/>
              <w:left w:w="57" w:type="dxa"/>
              <w:bottom w:w="0" w:type="dxa"/>
              <w:right w:w="57" w:type="dxa"/>
            </w:tcMar>
            <w:vAlign w:val="center"/>
          </w:tcPr>
          <w:p w14:paraId="16C6DA11">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A1.3.10</w:t>
            </w:r>
          </w:p>
          <w:p w14:paraId="23BB880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沉降试验</w:t>
            </w:r>
          </w:p>
        </w:tc>
        <w:tc>
          <w:tcPr>
            <w:tcW w:w="4297" w:type="dxa"/>
            <w:tcMar>
              <w:top w:w="0" w:type="dxa"/>
              <w:left w:w="57" w:type="dxa"/>
              <w:bottom w:w="0" w:type="dxa"/>
              <w:right w:w="57" w:type="dxa"/>
            </w:tcMar>
            <w:vAlign w:val="center"/>
          </w:tcPr>
          <w:p w14:paraId="4D8502B1">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对于液压驱动电梯，轿厢内装载额定载重量的载荷停在上端站，测量</w:t>
            </w:r>
            <w:r>
              <w:rPr>
                <w:rFonts w:eastAsiaTheme="minorEastAsia"/>
                <w:bCs/>
                <w:snapToGrid w:val="0"/>
                <w:color w:val="000000" w:themeColor="text1"/>
                <w:sz w:val="21"/>
                <w:szCs w:val="21"/>
                <w14:textFill>
                  <w14:solidFill>
                    <w14:schemeClr w14:val="tx1"/>
                  </w14:solidFill>
                </w14:textFill>
              </w:rPr>
              <w:t>10min</w:t>
            </w:r>
            <w:r>
              <w:rPr>
                <w:rFonts w:hAnsiTheme="minorEastAsia" w:eastAsiaTheme="minorEastAsia"/>
                <w:bCs/>
                <w:snapToGrid w:val="0"/>
                <w:color w:val="000000" w:themeColor="text1"/>
                <w:sz w:val="21"/>
                <w:szCs w:val="21"/>
                <w14:textFill>
                  <w14:solidFill>
                    <w14:schemeClr w14:val="tx1"/>
                  </w14:solidFill>
                </w14:textFill>
              </w:rPr>
              <w:t>内的下沉距离是否不超过</w:t>
            </w:r>
            <w:r>
              <w:rPr>
                <w:rFonts w:eastAsiaTheme="minorEastAsia"/>
                <w:bCs/>
                <w:snapToGrid w:val="0"/>
                <w:color w:val="000000" w:themeColor="text1"/>
                <w:sz w:val="21"/>
                <w:szCs w:val="21"/>
                <w14:textFill>
                  <w14:solidFill>
                    <w14:schemeClr w14:val="tx1"/>
                  </w14:solidFill>
                </w14:textFill>
              </w:rPr>
              <w:t>10mm</w:t>
            </w:r>
            <w:r>
              <w:rPr>
                <w:rFonts w:hAnsiTheme="minorEastAsia" w:eastAsiaTheme="minorEastAsia"/>
                <w:bCs/>
                <w:snapToGrid w:val="0"/>
                <w:color w:val="000000" w:themeColor="text1"/>
                <w:sz w:val="21"/>
                <w:szCs w:val="21"/>
                <w14:textFill>
                  <w14:solidFill>
                    <w14:schemeClr w14:val="tx1"/>
                  </w14:solidFill>
                </w14:textFill>
              </w:rPr>
              <w:t>。</w:t>
            </w:r>
          </w:p>
        </w:tc>
        <w:tc>
          <w:tcPr>
            <w:tcW w:w="2805" w:type="dxa"/>
            <w:tcMar>
              <w:top w:w="0" w:type="dxa"/>
              <w:left w:w="57" w:type="dxa"/>
              <w:bottom w:w="0" w:type="dxa"/>
              <w:right w:w="57" w:type="dxa"/>
            </w:tcMar>
            <w:vAlign w:val="center"/>
          </w:tcPr>
          <w:p w14:paraId="16E00FE5">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将轿厢停在上端站，切断主电源，轿厢内装载均匀分布的额定载重量，用尺测量轿厢地坎与层门地坎之间的垂直距离，保持</w:t>
            </w:r>
            <w:r>
              <w:rPr>
                <w:rFonts w:eastAsiaTheme="minorEastAsia"/>
                <w:bCs/>
                <w:snapToGrid w:val="0"/>
                <w:color w:val="000000" w:themeColor="text1"/>
                <w:sz w:val="21"/>
                <w:szCs w:val="21"/>
                <w14:textFill>
                  <w14:solidFill>
                    <w14:schemeClr w14:val="tx1"/>
                  </w14:solidFill>
                </w14:textFill>
              </w:rPr>
              <w:t>10min</w:t>
            </w:r>
            <w:r>
              <w:rPr>
                <w:rFonts w:hAnsiTheme="minorEastAsia" w:eastAsiaTheme="minorEastAsia"/>
                <w:bCs/>
                <w:snapToGrid w:val="0"/>
                <w:color w:val="000000" w:themeColor="text1"/>
                <w:sz w:val="21"/>
                <w:szCs w:val="21"/>
                <w14:textFill>
                  <w14:solidFill>
                    <w14:schemeClr w14:val="tx1"/>
                  </w14:solidFill>
                </w14:textFill>
              </w:rPr>
              <w:t>，再在相同位置测量轿厢地坎与层门地坎之间的距离，两者相减，判断轿厢下沉距离是否符合要求。</w:t>
            </w:r>
          </w:p>
        </w:tc>
      </w:tr>
      <w:tr w14:paraId="19B842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10B512E4">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1375" w:type="dxa"/>
            <w:gridSpan w:val="2"/>
            <w:tcMar>
              <w:top w:w="0" w:type="dxa"/>
              <w:left w:w="57" w:type="dxa"/>
              <w:bottom w:w="0" w:type="dxa"/>
              <w:right w:w="57" w:type="dxa"/>
            </w:tcMar>
            <w:vAlign w:val="center"/>
          </w:tcPr>
          <w:p w14:paraId="7690DCA8">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*A1.3.11</w:t>
            </w:r>
          </w:p>
          <w:p w14:paraId="50D2D1E4">
            <w:pPr>
              <w:pStyle w:val="19"/>
              <w:widowControl/>
              <w:adjustRightInd/>
              <w:spacing w:line="32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曳引能力</w:t>
            </w:r>
          </w:p>
          <w:p w14:paraId="7ED9A2AE">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4297" w:type="dxa"/>
            <w:tcMar>
              <w:top w:w="0" w:type="dxa"/>
              <w:left w:w="57" w:type="dxa"/>
              <w:bottom w:w="0" w:type="dxa"/>
              <w:right w:w="57" w:type="dxa"/>
            </w:tcMar>
            <w:vAlign w:val="center"/>
          </w:tcPr>
          <w:p w14:paraId="3E72003F">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1</w:t>
            </w:r>
            <w:r>
              <w:rPr>
                <w:rFonts w:hAnsiTheme="minorEastAsia" w:eastAsiaTheme="minorEastAsia"/>
                <w:bCs/>
                <w:snapToGrid w:val="0"/>
                <w:color w:val="000000" w:themeColor="text1"/>
                <w:sz w:val="21"/>
                <w:szCs w:val="21"/>
                <w14:textFill>
                  <w14:solidFill>
                    <w14:schemeClr w14:val="tx1"/>
                  </w14:solidFill>
                </w14:textFill>
              </w:rPr>
              <w:t>）轿厢空载，当对重压在缓冲器上而驱动主机按电梯上行方向旋转时，观察悬挂装置是否相对曳引轮打滑，或者驱动主机停止运转；</w:t>
            </w:r>
          </w:p>
          <w:p w14:paraId="2D13870C">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2</w:t>
            </w:r>
            <w:r>
              <w:rPr>
                <w:rFonts w:hAnsiTheme="minorEastAsia" w:eastAsiaTheme="minorEastAsia"/>
                <w:bCs/>
                <w:snapToGrid w:val="0"/>
                <w:color w:val="000000" w:themeColor="text1"/>
                <w:sz w:val="21"/>
                <w:szCs w:val="21"/>
                <w14:textFill>
                  <w14:solidFill>
                    <w14:schemeClr w14:val="tx1"/>
                  </w14:solidFill>
                </w14:textFill>
              </w:rPr>
              <w:t>）轿厢空载，以额定速度上行至行程上部，切断电动机与制动器供电，观察轿厢（运载装置）是否完全停止。</w:t>
            </w:r>
          </w:p>
        </w:tc>
        <w:tc>
          <w:tcPr>
            <w:tcW w:w="2805" w:type="dxa"/>
            <w:tcMar>
              <w:top w:w="0" w:type="dxa"/>
              <w:left w:w="57" w:type="dxa"/>
              <w:bottom w:w="0" w:type="dxa"/>
              <w:right w:w="57" w:type="dxa"/>
            </w:tcMar>
            <w:vAlign w:val="center"/>
          </w:tcPr>
          <w:p w14:paraId="1BAD89BA">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1</w:t>
            </w:r>
            <w:r>
              <w:rPr>
                <w:rFonts w:hAnsiTheme="minorEastAsia" w:eastAsiaTheme="minorEastAsia"/>
                <w:bCs/>
                <w:snapToGrid w:val="0"/>
                <w:color w:val="000000" w:themeColor="text1"/>
                <w:sz w:val="21"/>
                <w:szCs w:val="21"/>
                <w14:textFill>
                  <w14:solidFill>
                    <w14:schemeClr w14:val="tx1"/>
                  </w14:solidFill>
                </w14:textFill>
              </w:rPr>
              <w:t>）将上限位开关（如果有）、极限开关和缓冲器柱塞复位开关（如果有）短接，以检修速度将空载轿厢提升，当对重压在缓冲器上后，继续使驱动主机按电梯上行方向旋转，观察悬挂装置是否相对曳引轮打滑，或者驱动主机停止运转；</w:t>
            </w:r>
          </w:p>
          <w:p w14:paraId="2BB77FAB">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2</w:t>
            </w:r>
            <w:r>
              <w:rPr>
                <w:rFonts w:hAnsiTheme="minorEastAsia" w:eastAsiaTheme="minorEastAsia"/>
                <w:bCs/>
                <w:snapToGrid w:val="0"/>
                <w:color w:val="000000" w:themeColor="text1"/>
                <w:sz w:val="21"/>
                <w:szCs w:val="21"/>
                <w14:textFill>
                  <w14:solidFill>
                    <w14:schemeClr w14:val="tx1"/>
                  </w14:solidFill>
                </w14:textFill>
              </w:rPr>
              <w:t>）轿厢空载，以额定速度上行至行程上部时，断开主开关，检查轿厢（运载装置）停止情况。</w:t>
            </w:r>
          </w:p>
        </w:tc>
      </w:tr>
      <w:tr w14:paraId="16EAFC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447377FB">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1375" w:type="dxa"/>
            <w:gridSpan w:val="2"/>
            <w:tcMar>
              <w:top w:w="0" w:type="dxa"/>
              <w:left w:w="57" w:type="dxa"/>
              <w:bottom w:w="0" w:type="dxa"/>
              <w:right w:w="57" w:type="dxa"/>
            </w:tcMar>
            <w:vAlign w:val="center"/>
          </w:tcPr>
          <w:p w14:paraId="53181361">
            <w:pPr>
              <w:pStyle w:val="19"/>
              <w:widowControl/>
              <w:adjustRightInd/>
              <w:spacing w:line="320" w:lineRule="exact"/>
              <w:jc w:val="center"/>
              <w:textAlignment w:val="auto"/>
              <w:rPr>
                <w:rFonts w:eastAsiaTheme="minorEastAsia"/>
                <w:bCs/>
                <w:snapToGrid w:val="0"/>
                <w:color w:val="000000" w:themeColor="text1"/>
                <w:sz w:val="21"/>
                <w:szCs w:val="21"/>
                <w14:textFill>
                  <w14:solidFill>
                    <w14:schemeClr w14:val="tx1"/>
                  </w14:solidFill>
                </w14:textFill>
              </w:rPr>
            </w:pPr>
            <w:r>
              <w:rPr>
                <w:rFonts w:eastAsiaTheme="minorEastAsia"/>
                <w:bCs/>
                <w:snapToGrid w:val="0"/>
                <w:color w:val="000000" w:themeColor="text1"/>
                <w:sz w:val="21"/>
                <w:szCs w:val="21"/>
                <w14:textFill>
                  <w14:solidFill>
                    <w14:schemeClr w14:val="tx1"/>
                  </w14:solidFill>
                </w14:textFill>
              </w:rPr>
              <w:t>*A1.3.12</w:t>
            </w:r>
          </w:p>
          <w:p w14:paraId="44A96D65">
            <w:pPr>
              <w:pStyle w:val="19"/>
              <w:widowControl/>
              <w:adjustRightInd/>
              <w:spacing w:line="320" w:lineRule="exact"/>
              <w:jc w:val="center"/>
              <w:textAlignment w:val="auto"/>
              <w:rPr>
                <w:rFonts w:hAnsiTheme="minorEastAsia" w:eastAsiaTheme="minorEastAsia"/>
                <w:bCs/>
                <w:snapToGrid w:val="0"/>
                <w:color w:val="000000" w:themeColor="text1"/>
                <w:sz w:val="21"/>
                <w:szCs w:val="21"/>
                <w14:textFill>
                  <w14:solidFill>
                    <w14:schemeClr w14:val="tx1"/>
                  </w14:solidFill>
                </w14:textFill>
              </w:rPr>
            </w:pPr>
            <w:r>
              <w:rPr>
                <w:rFonts w:eastAsiaTheme="minorEastAsia"/>
                <w:bCs/>
                <w:snapToGrid w:val="0"/>
                <w:color w:val="000000" w:themeColor="text1"/>
                <w:sz w:val="21"/>
                <w:szCs w:val="21"/>
                <w14:textFill>
                  <w14:solidFill>
                    <w14:schemeClr w14:val="tx1"/>
                  </w14:solidFill>
                </w14:textFill>
              </w:rPr>
              <w:t>125%</w:t>
            </w:r>
            <w:r>
              <w:rPr>
                <w:rFonts w:hAnsiTheme="minorEastAsia" w:eastAsiaTheme="minorEastAsia"/>
                <w:bCs/>
                <w:snapToGrid w:val="0"/>
                <w:color w:val="000000" w:themeColor="text1"/>
                <w:sz w:val="21"/>
                <w:szCs w:val="21"/>
                <w14:textFill>
                  <w14:solidFill>
                    <w14:schemeClr w14:val="tx1"/>
                  </w14:solidFill>
                </w14:textFill>
              </w:rPr>
              <w:t>额定</w:t>
            </w:r>
          </w:p>
          <w:p w14:paraId="4D1F7213">
            <w:pPr>
              <w:pStyle w:val="19"/>
              <w:widowControl/>
              <w:adjustRightInd/>
              <w:spacing w:line="320" w:lineRule="exact"/>
              <w:jc w:val="center"/>
              <w:textAlignment w:val="auto"/>
              <w:rPr>
                <w:rFonts w:hint="eastAsia" w:hAnsiTheme="minorEastAsia"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载重量制动</w:t>
            </w:r>
          </w:p>
          <w:p w14:paraId="0DE99E57">
            <w:pPr>
              <w:pStyle w:val="19"/>
              <w:widowControl/>
              <w:adjustRightInd/>
              <w:spacing w:line="320" w:lineRule="exact"/>
              <w:jc w:val="center"/>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试验</w:t>
            </w:r>
          </w:p>
        </w:tc>
        <w:tc>
          <w:tcPr>
            <w:tcW w:w="4297" w:type="dxa"/>
            <w:tcMar>
              <w:top w:w="0" w:type="dxa"/>
              <w:left w:w="57" w:type="dxa"/>
              <w:bottom w:w="0" w:type="dxa"/>
              <w:right w:w="57" w:type="dxa"/>
            </w:tcMar>
            <w:vAlign w:val="center"/>
          </w:tcPr>
          <w:p w14:paraId="56C1F9E2">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轿厢内装载</w:t>
            </w:r>
            <w:r>
              <w:rPr>
                <w:rFonts w:eastAsiaTheme="minorEastAsia"/>
                <w:bCs/>
                <w:snapToGrid w:val="0"/>
                <w:color w:val="000000" w:themeColor="text1"/>
                <w:sz w:val="21"/>
                <w:szCs w:val="21"/>
                <w14:textFill>
                  <w14:solidFill>
                    <w14:schemeClr w14:val="tx1"/>
                  </w14:solidFill>
                </w14:textFill>
              </w:rPr>
              <w:t>125%</w:t>
            </w:r>
            <w:r>
              <w:rPr>
                <w:rFonts w:hAnsiTheme="minorEastAsia" w:eastAsiaTheme="minorEastAsia"/>
                <w:bCs/>
                <w:snapToGrid w:val="0"/>
                <w:color w:val="000000" w:themeColor="text1"/>
                <w:sz w:val="21"/>
                <w:szCs w:val="21"/>
                <w14:textFill>
                  <w14:solidFill>
                    <w14:schemeClr w14:val="tx1"/>
                  </w14:solidFill>
                </w14:textFill>
              </w:rPr>
              <w:t>额定载重量的载荷，以额定速度下行至行程下部，切断电动机与制动器供电，观察制动器是否能够使驱动主机停止运转，并且轿厢及其附联部件和导轨等无明显变形和损坏。</w:t>
            </w:r>
          </w:p>
          <w:p w14:paraId="374FC6D3">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注</w:t>
            </w:r>
            <w:r>
              <w:rPr>
                <w:rFonts w:eastAsiaTheme="minorEastAsia"/>
                <w:bCs/>
                <w:snapToGrid w:val="0"/>
                <w:color w:val="000000" w:themeColor="text1"/>
                <w:sz w:val="21"/>
                <w:szCs w:val="21"/>
                <w14:textFill>
                  <w14:solidFill>
                    <w14:schemeClr w14:val="tx1"/>
                  </w14:solidFill>
                </w14:textFill>
              </w:rPr>
              <w:t>A1-12</w:t>
            </w:r>
            <w:r>
              <w:rPr>
                <w:rFonts w:hAnsiTheme="minorEastAsia" w:eastAsiaTheme="minorEastAsia"/>
                <w:bCs/>
                <w:snapToGrid w:val="0"/>
                <w:color w:val="000000" w:themeColor="text1"/>
                <w:sz w:val="21"/>
                <w:szCs w:val="21"/>
                <w14:textFill>
                  <w14:solidFill>
                    <w14:schemeClr w14:val="tx1"/>
                  </w14:solidFill>
                </w14:textFill>
              </w:rPr>
              <w:t>：以安装监督检验合格日期（按照《电梯监督检验和定期检验规则》进行改造监督检验的，以该改造监督检验合格日期）为基准，每</w:t>
            </w:r>
            <w:r>
              <w:rPr>
                <w:rFonts w:eastAsiaTheme="minorEastAsia"/>
                <w:bCs/>
                <w:snapToGrid w:val="0"/>
                <w:color w:val="000000" w:themeColor="text1"/>
                <w:sz w:val="21"/>
                <w:szCs w:val="21"/>
                <w14:textFill>
                  <w14:solidFill>
                    <w14:schemeClr w14:val="tx1"/>
                  </w14:solidFill>
                </w14:textFill>
              </w:rPr>
              <w:t>6</w:t>
            </w:r>
            <w:r>
              <w:rPr>
                <w:rFonts w:hAnsiTheme="minorEastAsia" w:eastAsiaTheme="minorEastAsia"/>
                <w:bCs/>
                <w:snapToGrid w:val="0"/>
                <w:color w:val="000000" w:themeColor="text1"/>
                <w:sz w:val="21"/>
                <w:szCs w:val="21"/>
                <w14:textFill>
                  <w14:solidFill>
                    <w14:schemeClr w14:val="tx1"/>
                  </w14:solidFill>
                </w14:textFill>
              </w:rPr>
              <w:t>年对曳引驱动乘客电梯和曳引驱动消防员电梯进行一次本条所述的试验。</w:t>
            </w:r>
          </w:p>
        </w:tc>
        <w:tc>
          <w:tcPr>
            <w:tcW w:w="2805" w:type="dxa"/>
            <w:tcMar>
              <w:top w:w="0" w:type="dxa"/>
              <w:left w:w="57" w:type="dxa"/>
              <w:bottom w:w="0" w:type="dxa"/>
              <w:right w:w="57" w:type="dxa"/>
            </w:tcMar>
            <w:vAlign w:val="center"/>
          </w:tcPr>
          <w:p w14:paraId="21226DC4">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自行检测单位未进行试验时，进行载荷试验时：轿厢内装载</w:t>
            </w:r>
            <w:r>
              <w:rPr>
                <w:rFonts w:eastAsiaTheme="minorEastAsia"/>
                <w:bCs/>
                <w:snapToGrid w:val="0"/>
                <w:color w:val="000000" w:themeColor="text1"/>
                <w:sz w:val="21"/>
                <w:szCs w:val="21"/>
                <w14:textFill>
                  <w14:solidFill>
                    <w14:schemeClr w14:val="tx1"/>
                  </w14:solidFill>
                </w14:textFill>
              </w:rPr>
              <w:t>125%</w:t>
            </w:r>
            <w:r>
              <w:rPr>
                <w:rFonts w:hAnsiTheme="minorEastAsia" w:eastAsiaTheme="minorEastAsia"/>
                <w:bCs/>
                <w:snapToGrid w:val="0"/>
                <w:color w:val="000000" w:themeColor="text1"/>
                <w:sz w:val="21"/>
                <w:szCs w:val="21"/>
                <w14:textFill>
                  <w14:solidFill>
                    <w14:schemeClr w14:val="tx1"/>
                  </w14:solidFill>
                </w14:textFill>
              </w:rPr>
              <w:t>额定载重量的载荷，以额定速度下行至行程下部，断开主开关，轿厢应当完全停止，并且轿厢及其附联部件和导轨等无明显变形和损坏。</w:t>
            </w:r>
          </w:p>
        </w:tc>
      </w:tr>
      <w:tr w14:paraId="3EBF21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vMerge w:val="continue"/>
            <w:tcMar>
              <w:top w:w="0" w:type="dxa"/>
              <w:left w:w="57" w:type="dxa"/>
              <w:bottom w:w="0" w:type="dxa"/>
              <w:right w:w="57" w:type="dxa"/>
            </w:tcMar>
            <w:vAlign w:val="center"/>
          </w:tcPr>
          <w:p w14:paraId="265775F0">
            <w:pPr>
              <w:widowControl/>
              <w:autoSpaceDE w:val="0"/>
              <w:autoSpaceDN w:val="0"/>
              <w:spacing w:line="320" w:lineRule="exact"/>
              <w:jc w:val="center"/>
              <w:rPr>
                <w:rFonts w:eastAsiaTheme="minorEastAsia"/>
                <w:snapToGrid w:val="0"/>
                <w:color w:val="000000" w:themeColor="text1"/>
                <w:kern w:val="0"/>
                <w:szCs w:val="21"/>
                <w14:textFill>
                  <w14:solidFill>
                    <w14:schemeClr w14:val="tx1"/>
                  </w14:solidFill>
                </w14:textFill>
              </w:rPr>
            </w:pPr>
          </w:p>
        </w:tc>
        <w:tc>
          <w:tcPr>
            <w:tcW w:w="1375" w:type="dxa"/>
            <w:gridSpan w:val="2"/>
            <w:tcMar>
              <w:top w:w="0" w:type="dxa"/>
              <w:left w:w="57" w:type="dxa"/>
              <w:bottom w:w="0" w:type="dxa"/>
              <w:right w:w="57" w:type="dxa"/>
            </w:tcMar>
            <w:vAlign w:val="center"/>
          </w:tcPr>
          <w:p w14:paraId="7C90B035">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A1.3.13</w:t>
            </w:r>
          </w:p>
          <w:p w14:paraId="077EF167">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运行试验</w:t>
            </w:r>
          </w:p>
        </w:tc>
        <w:tc>
          <w:tcPr>
            <w:tcW w:w="4297" w:type="dxa"/>
            <w:tcMar>
              <w:top w:w="0" w:type="dxa"/>
              <w:left w:w="57" w:type="dxa"/>
              <w:bottom w:w="0" w:type="dxa"/>
              <w:right w:w="57" w:type="dxa"/>
            </w:tcMar>
            <w:vAlign w:val="center"/>
          </w:tcPr>
          <w:p w14:paraId="20C603CA">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轿厢空载，以额定速度上、下运行，观察呼梯、楼层显示等信号系统是否功能有效指示正确、动作无误，轿厢是否平层良好，无异常现象发生。</w:t>
            </w:r>
          </w:p>
        </w:tc>
        <w:tc>
          <w:tcPr>
            <w:tcW w:w="2805" w:type="dxa"/>
            <w:tcMar>
              <w:top w:w="0" w:type="dxa"/>
              <w:left w:w="57" w:type="dxa"/>
              <w:bottom w:w="0" w:type="dxa"/>
              <w:right w:w="57" w:type="dxa"/>
            </w:tcMar>
            <w:vAlign w:val="center"/>
          </w:tcPr>
          <w:p w14:paraId="7F806ACF">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轿厢空载，以额定速度上、下运行，观察电梯运行情况。</w:t>
            </w:r>
          </w:p>
        </w:tc>
      </w:tr>
      <w:tr w14:paraId="73F167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81" w:type="dxa"/>
            <w:tcMar>
              <w:top w:w="0" w:type="dxa"/>
              <w:left w:w="57" w:type="dxa"/>
              <w:bottom w:w="0" w:type="dxa"/>
              <w:right w:w="57" w:type="dxa"/>
            </w:tcMar>
            <w:vAlign w:val="center"/>
          </w:tcPr>
          <w:p w14:paraId="612119CC">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w:t>
            </w:r>
          </w:p>
          <w:p w14:paraId="47FAD42F">
            <w:pPr>
              <w:pStyle w:val="19"/>
              <w:widowControl/>
              <w:adjustRightInd/>
              <w:spacing w:line="32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试验</w:t>
            </w:r>
          </w:p>
        </w:tc>
        <w:tc>
          <w:tcPr>
            <w:tcW w:w="1375" w:type="dxa"/>
            <w:gridSpan w:val="2"/>
            <w:tcMar>
              <w:top w:w="0" w:type="dxa"/>
              <w:left w:w="57" w:type="dxa"/>
              <w:bottom w:w="0" w:type="dxa"/>
              <w:right w:w="57" w:type="dxa"/>
            </w:tcMar>
            <w:vAlign w:val="center"/>
          </w:tcPr>
          <w:p w14:paraId="0CF32D34">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A1.3.14</w:t>
            </w:r>
          </w:p>
          <w:p w14:paraId="0314FE90">
            <w:pPr>
              <w:pStyle w:val="19"/>
              <w:widowControl/>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噪声测试</w:t>
            </w:r>
          </w:p>
        </w:tc>
        <w:tc>
          <w:tcPr>
            <w:tcW w:w="4297" w:type="dxa"/>
            <w:tcMar>
              <w:top w:w="0" w:type="dxa"/>
              <w:left w:w="57" w:type="dxa"/>
              <w:bottom w:w="0" w:type="dxa"/>
              <w:right w:w="57" w:type="dxa"/>
            </w:tcMar>
            <w:vAlign w:val="center"/>
          </w:tcPr>
          <w:p w14:paraId="6B44E2CB">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采用以下方法进行噪声测试，确认噪声的</w:t>
            </w:r>
            <w:r>
              <w:rPr>
                <w:rFonts w:eastAsiaTheme="minorEastAsia"/>
                <w:bCs/>
                <w:snapToGrid w:val="0"/>
                <w:color w:val="000000" w:themeColor="text1"/>
                <w:sz w:val="21"/>
                <w:szCs w:val="21"/>
                <w14:textFill>
                  <w14:solidFill>
                    <w14:schemeClr w14:val="tx1"/>
                  </w14:solidFill>
                </w14:textFill>
              </w:rPr>
              <w:t>A</w:t>
            </w:r>
            <w:r>
              <w:rPr>
                <w:rFonts w:hAnsiTheme="minorEastAsia" w:eastAsiaTheme="minorEastAsia"/>
                <w:bCs/>
                <w:snapToGrid w:val="0"/>
                <w:color w:val="000000" w:themeColor="text1"/>
                <w:sz w:val="21"/>
                <w:szCs w:val="21"/>
                <w14:textFill>
                  <w14:solidFill>
                    <w14:schemeClr w14:val="tx1"/>
                  </w14:solidFill>
                </w14:textFill>
              </w:rPr>
              <w:t>频率计权声级是否符合本附件表</w:t>
            </w:r>
            <w:r>
              <w:rPr>
                <w:rFonts w:eastAsiaTheme="minorEastAsia"/>
                <w:bCs/>
                <w:snapToGrid w:val="0"/>
                <w:color w:val="000000" w:themeColor="text1"/>
                <w:sz w:val="21"/>
                <w:szCs w:val="21"/>
                <w14:textFill>
                  <w14:solidFill>
                    <w14:schemeClr w14:val="tx1"/>
                  </w14:solidFill>
                </w14:textFill>
              </w:rPr>
              <w:t>A1-2</w:t>
            </w:r>
            <w:r>
              <w:rPr>
                <w:rFonts w:hAnsiTheme="minorEastAsia" w:eastAsiaTheme="minorEastAsia"/>
                <w:bCs/>
                <w:snapToGrid w:val="0"/>
                <w:color w:val="000000" w:themeColor="text1"/>
                <w:sz w:val="21"/>
                <w:szCs w:val="21"/>
                <w14:textFill>
                  <w14:solidFill>
                    <w14:schemeClr w14:val="tx1"/>
                  </w14:solidFill>
                </w14:textFill>
              </w:rPr>
              <w:t>规定的值：</w:t>
            </w:r>
          </w:p>
          <w:p w14:paraId="24F2E9C4">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机房噪声：电梯以额定速度运行，声音测量传感器置于距地面高</w:t>
            </w:r>
            <w:r>
              <w:rPr>
                <w:rFonts w:eastAsiaTheme="minorEastAsia"/>
                <w:bCs/>
                <w:snapToGrid w:val="0"/>
                <w:color w:val="000000" w:themeColor="text1"/>
                <w:sz w:val="21"/>
                <w:szCs w:val="21"/>
                <w14:textFill>
                  <w14:solidFill>
                    <w14:schemeClr w14:val="tx1"/>
                  </w14:solidFill>
                </w14:textFill>
              </w:rPr>
              <w:t>1.5m</w:t>
            </w:r>
            <w:r>
              <w:rPr>
                <w:rFonts w:hAnsiTheme="minorEastAsia" w:eastAsiaTheme="minorEastAsia"/>
                <w:bCs/>
                <w:snapToGrid w:val="0"/>
                <w:color w:val="000000" w:themeColor="text1"/>
                <w:sz w:val="21"/>
                <w:szCs w:val="21"/>
                <w14:textFill>
                  <w14:solidFill>
                    <w14:schemeClr w14:val="tx1"/>
                  </w14:solidFill>
                </w14:textFill>
              </w:rPr>
              <w:t>、驱动主机</w:t>
            </w:r>
            <w:r>
              <w:rPr>
                <w:rFonts w:eastAsiaTheme="minorEastAsia"/>
                <w:bCs/>
                <w:snapToGrid w:val="0"/>
                <w:color w:val="000000" w:themeColor="text1"/>
                <w:sz w:val="21"/>
                <w:szCs w:val="21"/>
                <w14:textFill>
                  <w14:solidFill>
                    <w14:schemeClr w14:val="tx1"/>
                  </w14:solidFill>
                </w14:textFill>
              </w:rPr>
              <w:t>1.0m</w:t>
            </w:r>
            <w:r>
              <w:rPr>
                <w:rFonts w:hAnsiTheme="minorEastAsia" w:eastAsiaTheme="minorEastAsia"/>
                <w:bCs/>
                <w:snapToGrid w:val="0"/>
                <w:color w:val="000000" w:themeColor="text1"/>
                <w:sz w:val="21"/>
                <w:szCs w:val="21"/>
                <w14:textFill>
                  <w14:solidFill>
                    <w14:schemeClr w14:val="tx1"/>
                  </w14:solidFill>
                </w14:textFill>
              </w:rPr>
              <w:t>处测试，测试点不少于</w:t>
            </w:r>
            <w:r>
              <w:rPr>
                <w:rFonts w:eastAsiaTheme="minorEastAsia"/>
                <w:bCs/>
                <w:snapToGrid w:val="0"/>
                <w:color w:val="000000" w:themeColor="text1"/>
                <w:sz w:val="21"/>
                <w:szCs w:val="21"/>
                <w14:textFill>
                  <w14:solidFill>
                    <w14:schemeClr w14:val="tx1"/>
                  </w14:solidFill>
                </w14:textFill>
              </w:rPr>
              <w:t>3</w:t>
            </w:r>
            <w:r>
              <w:rPr>
                <w:rFonts w:hAnsiTheme="minorEastAsia" w:eastAsiaTheme="minorEastAsia"/>
                <w:bCs/>
                <w:snapToGrid w:val="0"/>
                <w:color w:val="000000" w:themeColor="text1"/>
                <w:sz w:val="21"/>
                <w:szCs w:val="21"/>
                <w14:textFill>
                  <w14:solidFill>
                    <w14:schemeClr w14:val="tx1"/>
                  </w14:solidFill>
                </w14:textFill>
              </w:rPr>
              <w:t>点，取平均值；</w:t>
            </w:r>
          </w:p>
          <w:p w14:paraId="0B55C7A7">
            <w:pPr>
              <w:pStyle w:val="19"/>
              <w:widowControl/>
              <w:adjustRightInd/>
              <w:spacing w:line="320" w:lineRule="exact"/>
              <w:jc w:val="both"/>
              <w:textAlignment w:val="auto"/>
              <w:rPr>
                <w:rFonts w:hAnsiTheme="minorEastAsia"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轿厢内噪声：电梯以额定速度全程上、下运行，声音测量传感器置于轿厢内中央、距地面高1.5m处测试，取最大值；</w:t>
            </w:r>
          </w:p>
          <w:p w14:paraId="4EC55FE6">
            <w:pPr>
              <w:pStyle w:val="19"/>
              <w:widowControl/>
              <w:adjustRightInd/>
              <w:spacing w:line="320" w:lineRule="exact"/>
              <w:jc w:val="both"/>
              <w:textAlignment w:val="auto"/>
              <w:rPr>
                <w:rFonts w:hAnsiTheme="minorEastAsia"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开关门噪声：声音测量传感器置于层（轿）门宽度的中央、距门0.24m、地面高1.5m处，测试开、关门过程中的噪声，取最大值；</w:t>
            </w:r>
          </w:p>
          <w:p w14:paraId="69F7C4CC">
            <w:pPr>
              <w:pStyle w:val="19"/>
              <w:widowControl/>
              <w:adjustRightInd/>
              <w:spacing w:line="320" w:lineRule="exact"/>
              <w:jc w:val="both"/>
              <w:textAlignment w:val="auto"/>
              <w:rPr>
                <w:rFonts w:hAnsiTheme="minorEastAsia"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无机房电梯层门处噪声：声音测量传感器置于驱动主机安装位置最近层站开门宽度的中部对着层门，在水平方向距门扇0.5m，垂直方向距层站地面1.5m处测试取出发端站门关闭后至到达端站门开启前，电梯全程上、下运行过程中以额定速度运行时的最大值。</w:t>
            </w:r>
          </w:p>
          <w:p w14:paraId="6C050D28">
            <w:pPr>
              <w:pStyle w:val="19"/>
              <w:widowControl/>
              <w:tabs>
                <w:tab w:val="left" w:pos="1003"/>
              </w:tabs>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w:t>
            </w:r>
            <w:r>
              <w:rPr>
                <w:rFonts w:eastAsiaTheme="minorEastAsia"/>
                <w:snapToGrid w:val="0"/>
                <w:color w:val="000000" w:themeColor="text1"/>
                <w:sz w:val="21"/>
                <w:szCs w:val="21"/>
                <w14:textFill>
                  <w14:solidFill>
                    <w14:schemeClr w14:val="tx1"/>
                  </w14:solidFill>
                </w14:textFill>
              </w:rPr>
              <w:t>A1-2</w:t>
            </w:r>
            <w:r>
              <w:rPr>
                <w:rFonts w:hAnsiTheme="minorEastAsia" w:eastAsiaTheme="minorEastAsia"/>
                <w:snapToGrid w:val="0"/>
                <w:color w:val="000000" w:themeColor="text1"/>
                <w:sz w:val="21"/>
                <w:szCs w:val="21"/>
                <w14:textFill>
                  <w14:solidFill>
                    <w14:schemeClr w14:val="tx1"/>
                  </w14:solidFill>
                </w14:textFill>
              </w:rPr>
              <w:t>噪声的</w:t>
            </w:r>
            <w:r>
              <w:rPr>
                <w:rFonts w:eastAsiaTheme="minorEastAsia"/>
                <w:snapToGrid w:val="0"/>
                <w:color w:val="000000" w:themeColor="text1"/>
                <w:sz w:val="21"/>
                <w:szCs w:val="21"/>
                <w14:textFill>
                  <w14:solidFill>
                    <w14:schemeClr w14:val="tx1"/>
                  </w14:solidFill>
                </w14:textFill>
              </w:rPr>
              <w:t>A</w:t>
            </w:r>
            <w:r>
              <w:rPr>
                <w:rFonts w:hAnsiTheme="minorEastAsia" w:eastAsiaTheme="minorEastAsia"/>
                <w:snapToGrid w:val="0"/>
                <w:color w:val="000000" w:themeColor="text1"/>
                <w:sz w:val="21"/>
                <w:szCs w:val="21"/>
                <w14:textFill>
                  <w14:solidFill>
                    <w14:schemeClr w14:val="tx1"/>
                  </w14:solidFill>
                </w14:textFill>
              </w:rPr>
              <w:t>频率计权声级</w:t>
            </w:r>
          </w:p>
          <w:tbl>
            <w:tblPr>
              <w:tblStyle w:val="12"/>
              <w:tblW w:w="41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72"/>
              <w:gridCol w:w="795"/>
              <w:gridCol w:w="752"/>
              <w:gridCol w:w="795"/>
              <w:gridCol w:w="925"/>
            </w:tblGrid>
            <w:tr w14:paraId="433124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68" w:type="dxa"/>
                  <w:tcMar>
                    <w:top w:w="0" w:type="dxa"/>
                    <w:left w:w="0" w:type="dxa"/>
                    <w:bottom w:w="0" w:type="dxa"/>
                    <w:right w:w="0" w:type="dxa"/>
                  </w:tcMar>
                  <w:vAlign w:val="center"/>
                </w:tcPr>
                <w:p w14:paraId="55902960">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额定速度</w:t>
                  </w:r>
                  <w:r>
                    <w:rPr>
                      <w:rFonts w:eastAsiaTheme="minorEastAsia"/>
                      <w:snapToGrid w:val="0"/>
                      <w:color w:val="000000" w:themeColor="text1"/>
                      <w:sz w:val="21"/>
                      <w:szCs w:val="21"/>
                      <w14:textFill>
                        <w14:solidFill>
                          <w14:schemeClr w14:val="tx1"/>
                        </w14:solidFill>
                      </w14:textFill>
                    </w:rPr>
                    <w:t>υ</w:t>
                  </w:r>
                </w:p>
              </w:tc>
              <w:tc>
                <w:tcPr>
                  <w:tcW w:w="793" w:type="dxa"/>
                  <w:tcMar>
                    <w:top w:w="0" w:type="dxa"/>
                    <w:left w:w="0" w:type="dxa"/>
                    <w:bottom w:w="0" w:type="dxa"/>
                    <w:right w:w="0" w:type="dxa"/>
                  </w:tcMar>
                  <w:vAlign w:val="center"/>
                </w:tcPr>
                <w:p w14:paraId="5F9E2663">
                  <w:pPr>
                    <w:pStyle w:val="19"/>
                    <w:widowControl/>
                    <w:kinsoku w:val="0"/>
                    <w:snapToGrid w:val="0"/>
                    <w:spacing w:line="32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机房</w:t>
                  </w:r>
                </w:p>
                <w:p w14:paraId="1351B88B">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噪声</w:t>
                  </w:r>
                </w:p>
              </w:tc>
              <w:tc>
                <w:tcPr>
                  <w:tcW w:w="750" w:type="dxa"/>
                  <w:tcMar>
                    <w:top w:w="0" w:type="dxa"/>
                    <w:left w:w="0" w:type="dxa"/>
                    <w:bottom w:w="0" w:type="dxa"/>
                    <w:right w:w="0" w:type="dxa"/>
                  </w:tcMar>
                  <w:vAlign w:val="center"/>
                </w:tcPr>
                <w:p w14:paraId="4A04F835">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轿厢内噪声</w:t>
                  </w:r>
                </w:p>
              </w:tc>
              <w:tc>
                <w:tcPr>
                  <w:tcW w:w="793" w:type="dxa"/>
                  <w:tcMar>
                    <w:top w:w="0" w:type="dxa"/>
                    <w:left w:w="0" w:type="dxa"/>
                    <w:bottom w:w="0" w:type="dxa"/>
                    <w:right w:w="0" w:type="dxa"/>
                  </w:tcMar>
                  <w:vAlign w:val="center"/>
                </w:tcPr>
                <w:p w14:paraId="6E649A12">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开关门噪声</w:t>
                  </w:r>
                </w:p>
              </w:tc>
              <w:tc>
                <w:tcPr>
                  <w:tcW w:w="922" w:type="dxa"/>
                  <w:tcMar>
                    <w:top w:w="0" w:type="dxa"/>
                    <w:left w:w="0" w:type="dxa"/>
                    <w:bottom w:w="0" w:type="dxa"/>
                    <w:right w:w="0" w:type="dxa"/>
                  </w:tcMar>
                  <w:vAlign w:val="center"/>
                </w:tcPr>
                <w:p w14:paraId="4CC92EB8">
                  <w:pPr>
                    <w:pStyle w:val="19"/>
                    <w:widowControl/>
                    <w:kinsoku w:val="0"/>
                    <w:snapToGrid w:val="0"/>
                    <w:spacing w:line="32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无机房</w:t>
                  </w:r>
                </w:p>
                <w:p w14:paraId="4AE73DAA">
                  <w:pPr>
                    <w:pStyle w:val="19"/>
                    <w:widowControl/>
                    <w:kinsoku w:val="0"/>
                    <w:snapToGrid w:val="0"/>
                    <w:spacing w:line="32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电梯层</w:t>
                  </w:r>
                </w:p>
                <w:p w14:paraId="05A459A2">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门处噪声</w:t>
                  </w:r>
                </w:p>
              </w:tc>
            </w:tr>
            <w:tr w14:paraId="6B8113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68" w:type="dxa"/>
                  <w:tcMar>
                    <w:top w:w="0" w:type="dxa"/>
                    <w:left w:w="0" w:type="dxa"/>
                    <w:bottom w:w="0" w:type="dxa"/>
                    <w:right w:w="0" w:type="dxa"/>
                  </w:tcMar>
                  <w:vAlign w:val="center"/>
                </w:tcPr>
                <w:p w14:paraId="7E66D967">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υ≤2.5m/s</w:t>
                  </w:r>
                </w:p>
              </w:tc>
              <w:tc>
                <w:tcPr>
                  <w:tcW w:w="793" w:type="dxa"/>
                  <w:tcMar>
                    <w:top w:w="0" w:type="dxa"/>
                    <w:left w:w="0" w:type="dxa"/>
                    <w:bottom w:w="0" w:type="dxa"/>
                    <w:right w:w="0" w:type="dxa"/>
                  </w:tcMar>
                  <w:vAlign w:val="center"/>
                </w:tcPr>
                <w:p w14:paraId="515DA40D">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≤80dB</w:t>
                  </w:r>
                </w:p>
              </w:tc>
              <w:tc>
                <w:tcPr>
                  <w:tcW w:w="750" w:type="dxa"/>
                  <w:tcMar>
                    <w:top w:w="0" w:type="dxa"/>
                    <w:left w:w="0" w:type="dxa"/>
                    <w:bottom w:w="0" w:type="dxa"/>
                    <w:right w:w="0" w:type="dxa"/>
                  </w:tcMar>
                  <w:vAlign w:val="center"/>
                </w:tcPr>
                <w:p w14:paraId="68FE8737">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≤55dB</w:t>
                  </w:r>
                </w:p>
              </w:tc>
              <w:tc>
                <w:tcPr>
                  <w:tcW w:w="793" w:type="dxa"/>
                  <w:tcMar>
                    <w:top w:w="0" w:type="dxa"/>
                    <w:left w:w="0" w:type="dxa"/>
                    <w:bottom w:w="0" w:type="dxa"/>
                    <w:right w:w="0" w:type="dxa"/>
                  </w:tcMar>
                  <w:vAlign w:val="center"/>
                </w:tcPr>
                <w:p w14:paraId="6EC4A7E9">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≤65dB</w:t>
                  </w:r>
                </w:p>
              </w:tc>
              <w:tc>
                <w:tcPr>
                  <w:tcW w:w="922" w:type="dxa"/>
                  <w:tcMar>
                    <w:top w:w="0" w:type="dxa"/>
                    <w:left w:w="0" w:type="dxa"/>
                    <w:bottom w:w="0" w:type="dxa"/>
                    <w:right w:w="0" w:type="dxa"/>
                  </w:tcMar>
                  <w:vAlign w:val="center"/>
                </w:tcPr>
                <w:p w14:paraId="3B687C1B">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≤65dB</w:t>
                  </w:r>
                </w:p>
              </w:tc>
            </w:tr>
            <w:tr w14:paraId="05745B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68" w:type="dxa"/>
                  <w:tcMar>
                    <w:top w:w="0" w:type="dxa"/>
                    <w:left w:w="0" w:type="dxa"/>
                    <w:bottom w:w="0" w:type="dxa"/>
                    <w:right w:w="0" w:type="dxa"/>
                  </w:tcMar>
                  <w:vAlign w:val="center"/>
                </w:tcPr>
                <w:p w14:paraId="04E92936">
                  <w:pPr>
                    <w:pStyle w:val="19"/>
                    <w:widowControl/>
                    <w:kinsoku w:val="0"/>
                    <w:snapToGrid w:val="0"/>
                    <w:spacing w:line="320" w:lineRule="exact"/>
                    <w:ind w:hanging="31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2.5m/s</w:t>
                  </w:r>
                  <w:r>
                    <w:rPr>
                      <w:rFonts w:hint="eastAsia" w:eastAsiaTheme="minorEastAsia"/>
                      <w:snapToGrid w:val="0"/>
                      <w:color w:val="000000" w:themeColor="text1"/>
                      <w:sz w:val="21"/>
                      <w:szCs w:val="21"/>
                      <w14:textFill>
                        <w14:solidFill>
                          <w14:schemeClr w14:val="tx1"/>
                        </w14:solidFill>
                      </w14:textFill>
                    </w:rPr>
                    <w:t>&lt;</w:t>
                  </w:r>
                  <w:r>
                    <w:rPr>
                      <w:rFonts w:eastAsiaTheme="minorEastAsia"/>
                      <w:snapToGrid w:val="0"/>
                      <w:color w:val="000000" w:themeColor="text1"/>
                      <w:sz w:val="21"/>
                      <w:szCs w:val="21"/>
                      <w14:textFill>
                        <w14:solidFill>
                          <w14:schemeClr w14:val="tx1"/>
                        </w14:solidFill>
                      </w14:textFill>
                    </w:rPr>
                    <w:t>υ</w:t>
                  </w:r>
                </w:p>
                <w:p w14:paraId="55491A4A">
                  <w:pPr>
                    <w:pStyle w:val="19"/>
                    <w:widowControl/>
                    <w:kinsoku w:val="0"/>
                    <w:snapToGrid w:val="0"/>
                    <w:spacing w:line="320" w:lineRule="exact"/>
                    <w:ind w:hanging="31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≤6.0m/s</w:t>
                  </w:r>
                </w:p>
              </w:tc>
              <w:tc>
                <w:tcPr>
                  <w:tcW w:w="793" w:type="dxa"/>
                  <w:tcMar>
                    <w:top w:w="0" w:type="dxa"/>
                    <w:left w:w="0" w:type="dxa"/>
                    <w:bottom w:w="0" w:type="dxa"/>
                    <w:right w:w="0" w:type="dxa"/>
                  </w:tcMar>
                  <w:vAlign w:val="center"/>
                </w:tcPr>
                <w:p w14:paraId="75D53D64">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≤85dB</w:t>
                  </w:r>
                </w:p>
              </w:tc>
              <w:tc>
                <w:tcPr>
                  <w:tcW w:w="750" w:type="dxa"/>
                  <w:tcMar>
                    <w:top w:w="0" w:type="dxa"/>
                    <w:left w:w="0" w:type="dxa"/>
                    <w:bottom w:w="0" w:type="dxa"/>
                    <w:right w:w="0" w:type="dxa"/>
                  </w:tcMar>
                  <w:vAlign w:val="center"/>
                </w:tcPr>
                <w:p w14:paraId="74DBF81A">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≤60dB</w:t>
                  </w:r>
                </w:p>
              </w:tc>
              <w:tc>
                <w:tcPr>
                  <w:tcW w:w="793" w:type="dxa"/>
                  <w:tcMar>
                    <w:top w:w="0" w:type="dxa"/>
                    <w:left w:w="0" w:type="dxa"/>
                    <w:bottom w:w="0" w:type="dxa"/>
                    <w:right w:w="0" w:type="dxa"/>
                  </w:tcMar>
                  <w:vAlign w:val="center"/>
                </w:tcPr>
                <w:p w14:paraId="00D7EF8C">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≤65dB</w:t>
                  </w:r>
                </w:p>
              </w:tc>
              <w:tc>
                <w:tcPr>
                  <w:tcW w:w="922" w:type="dxa"/>
                  <w:vMerge w:val="restart"/>
                  <w:tcMar>
                    <w:top w:w="0" w:type="dxa"/>
                    <w:left w:w="0" w:type="dxa"/>
                    <w:bottom w:w="0" w:type="dxa"/>
                    <w:right w:w="0" w:type="dxa"/>
                  </w:tcMar>
                  <w:vAlign w:val="center"/>
                </w:tcPr>
                <w:p w14:paraId="486526F3">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不超过制造单位的允许值。制造单位未规定的，按照额定速度为</w:t>
                  </w:r>
                  <w:r>
                    <w:rPr>
                      <w:rFonts w:eastAsiaTheme="minorEastAsia"/>
                      <w:snapToGrid w:val="0"/>
                      <w:color w:val="000000" w:themeColor="text1"/>
                      <w:sz w:val="21"/>
                      <w:szCs w:val="21"/>
                      <w14:textFill>
                        <w14:solidFill>
                          <w14:schemeClr w14:val="tx1"/>
                        </w14:solidFill>
                      </w14:textFill>
                    </w:rPr>
                    <w:t>2.5m/s</w:t>
                  </w:r>
                  <w:r>
                    <w:rPr>
                      <w:rFonts w:hAnsiTheme="minorEastAsia" w:eastAsiaTheme="minorEastAsia"/>
                      <w:snapToGrid w:val="0"/>
                      <w:color w:val="000000" w:themeColor="text1"/>
                      <w:sz w:val="21"/>
                      <w:szCs w:val="21"/>
                      <w14:textFill>
                        <w14:solidFill>
                          <w14:schemeClr w14:val="tx1"/>
                        </w14:solidFill>
                      </w14:textFill>
                    </w:rPr>
                    <w:t>的电梯限值指标判定</w:t>
                  </w:r>
                </w:p>
              </w:tc>
            </w:tr>
            <w:tr w14:paraId="46141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68" w:type="dxa"/>
                  <w:tcMar>
                    <w:top w:w="0" w:type="dxa"/>
                    <w:left w:w="0" w:type="dxa"/>
                    <w:bottom w:w="0" w:type="dxa"/>
                    <w:right w:w="0" w:type="dxa"/>
                  </w:tcMar>
                  <w:vAlign w:val="center"/>
                </w:tcPr>
                <w:p w14:paraId="22D5F20E">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υ</w:t>
                  </w:r>
                  <w:r>
                    <w:rPr>
                      <w:rFonts w:hint="eastAsia" w:eastAsiaTheme="minorEastAsia"/>
                      <w:snapToGrid w:val="0"/>
                      <w:color w:val="000000" w:themeColor="text1"/>
                      <w:sz w:val="21"/>
                      <w:szCs w:val="21"/>
                      <w14:textFill>
                        <w14:solidFill>
                          <w14:schemeClr w14:val="tx1"/>
                        </w14:solidFill>
                      </w14:textFill>
                    </w:rPr>
                    <w:t>&gt;</w:t>
                  </w:r>
                  <w:r>
                    <w:rPr>
                      <w:rFonts w:eastAsiaTheme="minorEastAsia"/>
                      <w:snapToGrid w:val="0"/>
                      <w:color w:val="000000" w:themeColor="text1"/>
                      <w:sz w:val="21"/>
                      <w:szCs w:val="21"/>
                      <w14:textFill>
                        <w14:solidFill>
                          <w14:schemeClr w14:val="tx1"/>
                        </w14:solidFill>
                      </w14:textFill>
                    </w:rPr>
                    <w:t>6.0m/s</w:t>
                  </w:r>
                </w:p>
              </w:tc>
              <w:tc>
                <w:tcPr>
                  <w:tcW w:w="2336" w:type="dxa"/>
                  <w:gridSpan w:val="3"/>
                  <w:tcMar>
                    <w:top w:w="0" w:type="dxa"/>
                    <w:left w:w="0" w:type="dxa"/>
                    <w:bottom w:w="0" w:type="dxa"/>
                    <w:right w:w="0" w:type="dxa"/>
                  </w:tcMar>
                  <w:vAlign w:val="center"/>
                </w:tcPr>
                <w:p w14:paraId="2567C14E">
                  <w:pPr>
                    <w:pStyle w:val="19"/>
                    <w:widowControl/>
                    <w:kinsoku w:val="0"/>
                    <w:snapToGrid w:val="0"/>
                    <w:spacing w:line="320" w:lineRule="exact"/>
                    <w:ind w:right="100"/>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不超过制造单位的允许值。制造单位未规定的，按照额定速度为</w:t>
                  </w:r>
                  <w:r>
                    <w:rPr>
                      <w:rFonts w:eastAsiaTheme="minorEastAsia"/>
                      <w:snapToGrid w:val="0"/>
                      <w:color w:val="000000" w:themeColor="text1"/>
                      <w:sz w:val="21"/>
                      <w:szCs w:val="21"/>
                      <w14:textFill>
                        <w14:solidFill>
                          <w14:schemeClr w14:val="tx1"/>
                        </w14:solidFill>
                      </w14:textFill>
                    </w:rPr>
                    <w:t>6.0m/s</w:t>
                  </w:r>
                  <w:r>
                    <w:rPr>
                      <w:rFonts w:hAnsiTheme="minorEastAsia" w:eastAsiaTheme="minorEastAsia"/>
                      <w:snapToGrid w:val="0"/>
                      <w:color w:val="000000" w:themeColor="text1"/>
                      <w:sz w:val="21"/>
                      <w:szCs w:val="21"/>
                      <w14:textFill>
                        <w14:solidFill>
                          <w14:schemeClr w14:val="tx1"/>
                        </w14:solidFill>
                      </w14:textFill>
                    </w:rPr>
                    <w:t>的电梯限值指标判定</w:t>
                  </w:r>
                </w:p>
              </w:tc>
              <w:tc>
                <w:tcPr>
                  <w:tcW w:w="922" w:type="dxa"/>
                  <w:vMerge w:val="continue"/>
                  <w:tcMar>
                    <w:top w:w="0" w:type="dxa"/>
                    <w:left w:w="0" w:type="dxa"/>
                    <w:bottom w:w="0" w:type="dxa"/>
                    <w:right w:w="0" w:type="dxa"/>
                  </w:tcMar>
                  <w:vAlign w:val="center"/>
                </w:tcPr>
                <w:p w14:paraId="08EB63A7">
                  <w:pPr>
                    <w:pStyle w:val="19"/>
                    <w:widowControl/>
                    <w:tabs>
                      <w:tab w:val="left" w:pos="1003"/>
                    </w:tabs>
                    <w:adjustRightInd/>
                    <w:spacing w:line="320" w:lineRule="exact"/>
                    <w:jc w:val="center"/>
                    <w:textAlignment w:val="auto"/>
                    <w:rPr>
                      <w:rFonts w:eastAsiaTheme="minorEastAsia"/>
                      <w:snapToGrid w:val="0"/>
                      <w:color w:val="000000" w:themeColor="text1"/>
                      <w:sz w:val="21"/>
                      <w:szCs w:val="21"/>
                      <w14:textFill>
                        <w14:solidFill>
                          <w14:schemeClr w14:val="tx1"/>
                        </w14:solidFill>
                      </w14:textFill>
                    </w:rPr>
                  </w:pPr>
                </w:p>
              </w:tc>
            </w:tr>
          </w:tbl>
          <w:p w14:paraId="1A9A23E0">
            <w:pPr>
              <w:pStyle w:val="19"/>
              <w:widowControl/>
              <w:tabs>
                <w:tab w:val="left" w:pos="1003"/>
              </w:tabs>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p>
        </w:tc>
        <w:tc>
          <w:tcPr>
            <w:tcW w:w="2805" w:type="dxa"/>
            <w:tcMar>
              <w:top w:w="0" w:type="dxa"/>
              <w:left w:w="57" w:type="dxa"/>
              <w:bottom w:w="0" w:type="dxa"/>
              <w:right w:w="57" w:type="dxa"/>
            </w:tcMar>
            <w:vAlign w:val="center"/>
          </w:tcPr>
          <w:p w14:paraId="7316B6E8">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1</w:t>
            </w:r>
            <w:r>
              <w:rPr>
                <w:rFonts w:hAnsiTheme="minorEastAsia" w:eastAsiaTheme="minorEastAsia"/>
                <w:bCs/>
                <w:snapToGrid w:val="0"/>
                <w:color w:val="000000" w:themeColor="text1"/>
                <w:sz w:val="21"/>
                <w:szCs w:val="21"/>
                <w14:textFill>
                  <w14:solidFill>
                    <w14:schemeClr w14:val="tx1"/>
                  </w14:solidFill>
                </w14:textFill>
              </w:rPr>
              <w:t>）机房噪声：电梯以额定速度运行，声音测量传感器置于距地面高</w:t>
            </w:r>
            <w:r>
              <w:rPr>
                <w:rFonts w:eastAsiaTheme="minorEastAsia"/>
                <w:bCs/>
                <w:snapToGrid w:val="0"/>
                <w:color w:val="000000" w:themeColor="text1"/>
                <w:sz w:val="21"/>
                <w:szCs w:val="21"/>
                <w14:textFill>
                  <w14:solidFill>
                    <w14:schemeClr w14:val="tx1"/>
                  </w14:solidFill>
                </w14:textFill>
              </w:rPr>
              <w:t>1.5m</w:t>
            </w:r>
            <w:r>
              <w:rPr>
                <w:rFonts w:hAnsiTheme="minorEastAsia" w:eastAsiaTheme="minorEastAsia"/>
                <w:bCs/>
                <w:snapToGrid w:val="0"/>
                <w:color w:val="000000" w:themeColor="text1"/>
                <w:sz w:val="21"/>
                <w:szCs w:val="21"/>
                <w14:textFill>
                  <w14:solidFill>
                    <w14:schemeClr w14:val="tx1"/>
                  </w14:solidFill>
                </w14:textFill>
              </w:rPr>
              <w:t>、驱动主机</w:t>
            </w:r>
            <w:r>
              <w:rPr>
                <w:rFonts w:eastAsiaTheme="minorEastAsia"/>
                <w:bCs/>
                <w:snapToGrid w:val="0"/>
                <w:color w:val="000000" w:themeColor="text1"/>
                <w:sz w:val="21"/>
                <w:szCs w:val="21"/>
                <w14:textFill>
                  <w14:solidFill>
                    <w14:schemeClr w14:val="tx1"/>
                  </w14:solidFill>
                </w14:textFill>
              </w:rPr>
              <w:t>1.0m</w:t>
            </w:r>
            <w:r>
              <w:rPr>
                <w:rFonts w:hAnsiTheme="minorEastAsia" w:eastAsiaTheme="minorEastAsia"/>
                <w:bCs/>
                <w:snapToGrid w:val="0"/>
                <w:color w:val="000000" w:themeColor="text1"/>
                <w:sz w:val="21"/>
                <w:szCs w:val="21"/>
                <w14:textFill>
                  <w14:solidFill>
                    <w14:schemeClr w14:val="tx1"/>
                  </w14:solidFill>
                </w14:textFill>
              </w:rPr>
              <w:t>处测试，测试点不少于</w:t>
            </w:r>
            <w:r>
              <w:rPr>
                <w:rFonts w:eastAsiaTheme="minorEastAsia"/>
                <w:bCs/>
                <w:snapToGrid w:val="0"/>
                <w:color w:val="000000" w:themeColor="text1"/>
                <w:sz w:val="21"/>
                <w:szCs w:val="21"/>
                <w14:textFill>
                  <w14:solidFill>
                    <w14:schemeClr w14:val="tx1"/>
                  </w14:solidFill>
                </w14:textFill>
              </w:rPr>
              <w:t>3</w:t>
            </w:r>
            <w:r>
              <w:rPr>
                <w:rFonts w:hAnsiTheme="minorEastAsia" w:eastAsiaTheme="minorEastAsia"/>
                <w:bCs/>
                <w:snapToGrid w:val="0"/>
                <w:color w:val="000000" w:themeColor="text1"/>
                <w:sz w:val="21"/>
                <w:szCs w:val="21"/>
                <w14:textFill>
                  <w14:solidFill>
                    <w14:schemeClr w14:val="tx1"/>
                  </w14:solidFill>
                </w14:textFill>
              </w:rPr>
              <w:t>点，取平均值；</w:t>
            </w:r>
          </w:p>
          <w:p w14:paraId="231C86CE">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2</w:t>
            </w:r>
            <w:r>
              <w:rPr>
                <w:rFonts w:hAnsiTheme="minorEastAsia" w:eastAsiaTheme="minorEastAsia"/>
                <w:bCs/>
                <w:snapToGrid w:val="0"/>
                <w:color w:val="000000" w:themeColor="text1"/>
                <w:sz w:val="21"/>
                <w:szCs w:val="21"/>
                <w14:textFill>
                  <w14:solidFill>
                    <w14:schemeClr w14:val="tx1"/>
                  </w14:solidFill>
                </w14:textFill>
              </w:rPr>
              <w:t>）轿厢内噪声：电梯以额定速度全程上、下运行，声音测量传感器置于轿厢内中央、距地面高</w:t>
            </w:r>
            <w:r>
              <w:rPr>
                <w:rFonts w:eastAsiaTheme="minorEastAsia"/>
                <w:bCs/>
                <w:snapToGrid w:val="0"/>
                <w:color w:val="000000" w:themeColor="text1"/>
                <w:sz w:val="21"/>
                <w:szCs w:val="21"/>
                <w14:textFill>
                  <w14:solidFill>
                    <w14:schemeClr w14:val="tx1"/>
                  </w14:solidFill>
                </w14:textFill>
              </w:rPr>
              <w:t>1.5m</w:t>
            </w:r>
            <w:r>
              <w:rPr>
                <w:rFonts w:hAnsiTheme="minorEastAsia" w:eastAsiaTheme="minorEastAsia"/>
                <w:bCs/>
                <w:snapToGrid w:val="0"/>
                <w:color w:val="000000" w:themeColor="text1"/>
                <w:sz w:val="21"/>
                <w:szCs w:val="21"/>
                <w14:textFill>
                  <w14:solidFill>
                    <w14:schemeClr w14:val="tx1"/>
                  </w14:solidFill>
                </w14:textFill>
              </w:rPr>
              <w:t>处测试，取最大值；</w:t>
            </w:r>
          </w:p>
          <w:p w14:paraId="6C6E7893">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3</w:t>
            </w:r>
            <w:r>
              <w:rPr>
                <w:rFonts w:hAnsiTheme="minorEastAsia" w:eastAsiaTheme="minorEastAsia"/>
                <w:bCs/>
                <w:snapToGrid w:val="0"/>
                <w:color w:val="000000" w:themeColor="text1"/>
                <w:sz w:val="21"/>
                <w:szCs w:val="21"/>
                <w14:textFill>
                  <w14:solidFill>
                    <w14:schemeClr w14:val="tx1"/>
                  </w14:solidFill>
                </w14:textFill>
              </w:rPr>
              <w:t>）开关门噪声：声音测量传感器置于层（轿）门宽度的中央、距门</w:t>
            </w:r>
            <w:r>
              <w:rPr>
                <w:rFonts w:eastAsiaTheme="minorEastAsia"/>
                <w:bCs/>
                <w:snapToGrid w:val="0"/>
                <w:color w:val="000000" w:themeColor="text1"/>
                <w:sz w:val="21"/>
                <w:szCs w:val="21"/>
                <w14:textFill>
                  <w14:solidFill>
                    <w14:schemeClr w14:val="tx1"/>
                  </w14:solidFill>
                </w14:textFill>
              </w:rPr>
              <w:t>0.24m</w:t>
            </w:r>
            <w:r>
              <w:rPr>
                <w:rFonts w:hAnsiTheme="minorEastAsia" w:eastAsiaTheme="minorEastAsia"/>
                <w:bCs/>
                <w:snapToGrid w:val="0"/>
                <w:color w:val="000000" w:themeColor="text1"/>
                <w:sz w:val="21"/>
                <w:szCs w:val="21"/>
                <w14:textFill>
                  <w14:solidFill>
                    <w14:schemeClr w14:val="tx1"/>
                  </w14:solidFill>
                </w14:textFill>
              </w:rPr>
              <w:t>、地面高</w:t>
            </w:r>
            <w:r>
              <w:rPr>
                <w:rFonts w:eastAsiaTheme="minorEastAsia"/>
                <w:bCs/>
                <w:snapToGrid w:val="0"/>
                <w:color w:val="000000" w:themeColor="text1"/>
                <w:sz w:val="21"/>
                <w:szCs w:val="21"/>
                <w14:textFill>
                  <w14:solidFill>
                    <w14:schemeClr w14:val="tx1"/>
                  </w14:solidFill>
                </w14:textFill>
              </w:rPr>
              <w:t>1.5m</w:t>
            </w:r>
            <w:r>
              <w:rPr>
                <w:rFonts w:hAnsiTheme="minorEastAsia" w:eastAsiaTheme="minorEastAsia"/>
                <w:bCs/>
                <w:snapToGrid w:val="0"/>
                <w:color w:val="000000" w:themeColor="text1"/>
                <w:sz w:val="21"/>
                <w:szCs w:val="21"/>
                <w14:textFill>
                  <w14:solidFill>
                    <w14:schemeClr w14:val="tx1"/>
                  </w14:solidFill>
                </w14:textFill>
              </w:rPr>
              <w:t>处，测试开、关门过程中的噪声，取最大值；</w:t>
            </w:r>
          </w:p>
          <w:p w14:paraId="636B7B1F">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4</w:t>
            </w:r>
            <w:r>
              <w:rPr>
                <w:rFonts w:hAnsiTheme="minorEastAsia" w:eastAsiaTheme="minorEastAsia"/>
                <w:bCs/>
                <w:snapToGrid w:val="0"/>
                <w:color w:val="000000" w:themeColor="text1"/>
                <w:sz w:val="21"/>
                <w:szCs w:val="21"/>
                <w14:textFill>
                  <w14:solidFill>
                    <w14:schemeClr w14:val="tx1"/>
                  </w14:solidFill>
                </w14:textFill>
              </w:rPr>
              <w:t>）无机房电梯层门处噪声：声音测量传感器置于驱动主机安装位置最近层站开门宽度的中部对着层门，在水平方向距门扇</w:t>
            </w:r>
            <w:r>
              <w:rPr>
                <w:rFonts w:eastAsiaTheme="minorEastAsia"/>
                <w:bCs/>
                <w:snapToGrid w:val="0"/>
                <w:color w:val="000000" w:themeColor="text1"/>
                <w:sz w:val="21"/>
                <w:szCs w:val="21"/>
                <w14:textFill>
                  <w14:solidFill>
                    <w14:schemeClr w14:val="tx1"/>
                  </w14:solidFill>
                </w14:textFill>
              </w:rPr>
              <w:t>0.5m</w:t>
            </w:r>
            <w:r>
              <w:rPr>
                <w:rFonts w:hAnsiTheme="minorEastAsia" w:eastAsiaTheme="minorEastAsia"/>
                <w:bCs/>
                <w:snapToGrid w:val="0"/>
                <w:color w:val="000000" w:themeColor="text1"/>
                <w:sz w:val="21"/>
                <w:szCs w:val="21"/>
                <w14:textFill>
                  <w14:solidFill>
                    <w14:schemeClr w14:val="tx1"/>
                  </w14:solidFill>
                </w14:textFill>
              </w:rPr>
              <w:t>，垂直方向距层站地面</w:t>
            </w:r>
            <w:r>
              <w:rPr>
                <w:rFonts w:eastAsiaTheme="minorEastAsia"/>
                <w:bCs/>
                <w:snapToGrid w:val="0"/>
                <w:color w:val="000000" w:themeColor="text1"/>
                <w:sz w:val="21"/>
                <w:szCs w:val="21"/>
                <w14:textFill>
                  <w14:solidFill>
                    <w14:schemeClr w14:val="tx1"/>
                  </w14:solidFill>
                </w14:textFill>
              </w:rPr>
              <w:t>1.5m</w:t>
            </w:r>
            <w:r>
              <w:rPr>
                <w:rFonts w:hAnsiTheme="minorEastAsia" w:eastAsiaTheme="minorEastAsia"/>
                <w:bCs/>
                <w:snapToGrid w:val="0"/>
                <w:color w:val="000000" w:themeColor="text1"/>
                <w:sz w:val="21"/>
                <w:szCs w:val="21"/>
                <w14:textFill>
                  <w14:solidFill>
                    <w14:schemeClr w14:val="tx1"/>
                  </w14:solidFill>
                </w14:textFill>
              </w:rPr>
              <w:t>处测试，取出发端站门关闭后至到达端站门开启前，电梯全程上、下运行过程中以额定速度运行时的最大值。</w:t>
            </w:r>
          </w:p>
          <w:p w14:paraId="1EE49836">
            <w:pPr>
              <w:pStyle w:val="19"/>
              <w:widowControl/>
              <w:adjustRightInd/>
              <w:spacing w:line="320" w:lineRule="exact"/>
              <w:jc w:val="both"/>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噪声值的修正：如果所测声源噪声与背景噪声相差不大于</w:t>
            </w:r>
            <w:r>
              <w:rPr>
                <w:rFonts w:eastAsiaTheme="minorEastAsia"/>
                <w:bCs/>
                <w:snapToGrid w:val="0"/>
                <w:color w:val="000000" w:themeColor="text1"/>
                <w:sz w:val="21"/>
                <w:szCs w:val="21"/>
                <w14:textFill>
                  <w14:solidFill>
                    <w14:schemeClr w14:val="tx1"/>
                  </w14:solidFill>
                </w14:textFill>
              </w:rPr>
              <w:t>10dB</w:t>
            </w:r>
            <w:r>
              <w:rPr>
                <w:rFonts w:hAnsiTheme="minorEastAsia" w:eastAsiaTheme="minorEastAsia"/>
                <w:bCs/>
                <w:snapToGrid w:val="0"/>
                <w:color w:val="000000" w:themeColor="text1"/>
                <w:sz w:val="21"/>
                <w:szCs w:val="21"/>
                <w14:textFill>
                  <w14:solidFill>
                    <w14:schemeClr w14:val="tx1"/>
                  </w14:solidFill>
                </w14:textFill>
              </w:rPr>
              <w:t>（</w:t>
            </w:r>
            <w:r>
              <w:rPr>
                <w:rFonts w:eastAsiaTheme="minorEastAsia"/>
                <w:bCs/>
                <w:snapToGrid w:val="0"/>
                <w:color w:val="000000" w:themeColor="text1"/>
                <w:sz w:val="21"/>
                <w:szCs w:val="21"/>
                <w14:textFill>
                  <w14:solidFill>
                    <w14:schemeClr w14:val="tx1"/>
                  </w14:solidFill>
                </w14:textFill>
              </w:rPr>
              <w:t>A</w:t>
            </w:r>
            <w:r>
              <w:rPr>
                <w:rFonts w:hAnsiTheme="minorEastAsia" w:eastAsiaTheme="minorEastAsia"/>
                <w:bCs/>
                <w:snapToGrid w:val="0"/>
                <w:color w:val="000000" w:themeColor="text1"/>
                <w:sz w:val="21"/>
                <w:szCs w:val="21"/>
                <w14:textFill>
                  <w14:solidFill>
                    <w14:schemeClr w14:val="tx1"/>
                  </w14:solidFill>
                </w14:textFill>
              </w:rPr>
              <w:t>），按照下表修正。</w:t>
            </w:r>
          </w:p>
          <w:p w14:paraId="15E016FB">
            <w:pPr>
              <w:pStyle w:val="19"/>
              <w:widowControl/>
              <w:adjustRightInd/>
              <w:spacing w:line="320" w:lineRule="exact"/>
              <w:jc w:val="center"/>
              <w:textAlignment w:val="auto"/>
              <w:rPr>
                <w:rFonts w:eastAsiaTheme="minorEastAsia"/>
                <w:bCs/>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噪声</w:t>
            </w:r>
            <w:r>
              <w:rPr>
                <w:rFonts w:hAnsiTheme="minorEastAsia" w:eastAsiaTheme="minorEastAsia"/>
                <w:snapToGrid w:val="0"/>
                <w:color w:val="000000" w:themeColor="text1"/>
                <w:sz w:val="21"/>
                <w:szCs w:val="21"/>
                <w14:textFill>
                  <w14:solidFill>
                    <w14:schemeClr w14:val="tx1"/>
                  </w14:solidFill>
                </w14:textFill>
              </w:rPr>
              <w:t>修正值</w:t>
            </w:r>
            <w:r>
              <w:rPr>
                <w:rFonts w:eastAsiaTheme="minorEastAsia"/>
                <w:snapToGrid w:val="0"/>
                <w:color w:val="000000" w:themeColor="text1"/>
                <w:sz w:val="21"/>
                <w:szCs w:val="21"/>
                <w14:textFill>
                  <w14:solidFill>
                    <w14:schemeClr w14:val="tx1"/>
                  </w14:solidFill>
                </w14:textFill>
              </w:rPr>
              <w:t>dB</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A</w:t>
            </w:r>
            <w:r>
              <w:rPr>
                <w:rFonts w:hAnsiTheme="minorEastAsia" w:eastAsiaTheme="minorEastAsia"/>
                <w:snapToGrid w:val="0"/>
                <w:color w:val="000000" w:themeColor="text1"/>
                <w:sz w:val="21"/>
                <w:szCs w:val="21"/>
                <w14:textFill>
                  <w14:solidFill>
                    <w14:schemeClr w14:val="tx1"/>
                  </w14:solidFill>
                </w14:textFill>
              </w:rPr>
              <w:t>）</w:t>
            </w:r>
          </w:p>
          <w:tbl>
            <w:tblPr>
              <w:tblStyle w:val="12"/>
              <w:tblW w:w="27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1225"/>
            </w:tblGrid>
            <w:tr w14:paraId="53E3B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46074584">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声源工作时测得的</w:t>
                  </w:r>
                  <w:r>
                    <w:rPr>
                      <w:rFonts w:eastAsiaTheme="minorEastAsia"/>
                      <w:snapToGrid w:val="0"/>
                      <w:color w:val="000000" w:themeColor="text1"/>
                      <w:sz w:val="21"/>
                      <w:szCs w:val="21"/>
                      <w14:textFill>
                        <w14:solidFill>
                          <w14:schemeClr w14:val="tx1"/>
                        </w14:solidFill>
                      </w14:textFill>
                    </w:rPr>
                    <w:t>A</w:t>
                  </w:r>
                  <w:r>
                    <w:rPr>
                      <w:rFonts w:hAnsiTheme="minorEastAsia" w:eastAsiaTheme="minorEastAsia"/>
                      <w:snapToGrid w:val="0"/>
                      <w:color w:val="000000" w:themeColor="text1"/>
                      <w:sz w:val="21"/>
                      <w:szCs w:val="21"/>
                      <w14:textFill>
                        <w14:solidFill>
                          <w14:schemeClr w14:val="tx1"/>
                        </w14:solidFill>
                      </w14:textFill>
                    </w:rPr>
                    <w:t>声级与背景噪声</w:t>
                  </w:r>
                  <w:r>
                    <w:rPr>
                      <w:rFonts w:eastAsiaTheme="minorEastAsia"/>
                      <w:snapToGrid w:val="0"/>
                      <w:color w:val="000000" w:themeColor="text1"/>
                      <w:sz w:val="21"/>
                      <w:szCs w:val="21"/>
                      <w14:textFill>
                        <w14:solidFill>
                          <w14:schemeClr w14:val="tx1"/>
                        </w14:solidFill>
                      </w14:textFill>
                    </w:rPr>
                    <w:t>A</w:t>
                  </w:r>
                  <w:r>
                    <w:rPr>
                      <w:rFonts w:hAnsiTheme="minorEastAsia" w:eastAsiaTheme="minorEastAsia"/>
                      <w:snapToGrid w:val="0"/>
                      <w:color w:val="000000" w:themeColor="text1"/>
                      <w:sz w:val="21"/>
                      <w:szCs w:val="21"/>
                      <w14:textFill>
                        <w14:solidFill>
                          <w14:schemeClr w14:val="tx1"/>
                        </w14:solidFill>
                      </w14:textFill>
                    </w:rPr>
                    <w:t>声级之差</w:t>
                  </w:r>
                </w:p>
              </w:tc>
              <w:tc>
                <w:tcPr>
                  <w:tcW w:w="1225" w:type="dxa"/>
                  <w:vAlign w:val="center"/>
                </w:tcPr>
                <w:p w14:paraId="26106719">
                  <w:pPr>
                    <w:pStyle w:val="19"/>
                    <w:widowControl/>
                    <w:spacing w:line="32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应减去的</w:t>
                  </w:r>
                </w:p>
                <w:p w14:paraId="091F5B49">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修正值</w:t>
                  </w:r>
                </w:p>
              </w:tc>
            </w:tr>
            <w:tr w14:paraId="4CF7B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3480A4A2">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3</w:t>
                  </w:r>
                </w:p>
              </w:tc>
              <w:tc>
                <w:tcPr>
                  <w:tcW w:w="1225" w:type="dxa"/>
                  <w:vAlign w:val="center"/>
                </w:tcPr>
                <w:p w14:paraId="3C3C0974">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3.0</w:t>
                  </w:r>
                </w:p>
              </w:tc>
            </w:tr>
            <w:tr w14:paraId="5D461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2806BE6B">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4</w:t>
                  </w:r>
                </w:p>
              </w:tc>
              <w:tc>
                <w:tcPr>
                  <w:tcW w:w="1225" w:type="dxa"/>
                  <w:vAlign w:val="center"/>
                </w:tcPr>
                <w:p w14:paraId="4E61E270">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2.0</w:t>
                  </w:r>
                </w:p>
              </w:tc>
            </w:tr>
            <w:tr w14:paraId="5DD09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53122331">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5</w:t>
                  </w:r>
                </w:p>
              </w:tc>
              <w:tc>
                <w:tcPr>
                  <w:tcW w:w="1225" w:type="dxa"/>
                  <w:vAlign w:val="center"/>
                </w:tcPr>
                <w:p w14:paraId="5E7EC199">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2.0</w:t>
                  </w:r>
                </w:p>
              </w:tc>
            </w:tr>
            <w:tr w14:paraId="57D7C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3161BB2A">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6</w:t>
                  </w:r>
                </w:p>
              </w:tc>
              <w:tc>
                <w:tcPr>
                  <w:tcW w:w="1225" w:type="dxa"/>
                  <w:vAlign w:val="center"/>
                </w:tcPr>
                <w:p w14:paraId="37D03190">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1.0</w:t>
                  </w:r>
                </w:p>
              </w:tc>
            </w:tr>
            <w:tr w14:paraId="0B4D0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10FBDF8F">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7</w:t>
                  </w:r>
                </w:p>
              </w:tc>
              <w:tc>
                <w:tcPr>
                  <w:tcW w:w="1225" w:type="dxa"/>
                  <w:vAlign w:val="center"/>
                </w:tcPr>
                <w:p w14:paraId="02FF661D">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1.0</w:t>
                  </w:r>
                </w:p>
              </w:tc>
            </w:tr>
            <w:tr w14:paraId="0D816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1161951F">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8</w:t>
                  </w:r>
                </w:p>
              </w:tc>
              <w:tc>
                <w:tcPr>
                  <w:tcW w:w="1225" w:type="dxa"/>
                  <w:vAlign w:val="center"/>
                </w:tcPr>
                <w:p w14:paraId="2A9048E0">
                  <w:pPr>
                    <w:pStyle w:val="19"/>
                    <w:widowControl/>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1.0</w:t>
                  </w:r>
                </w:p>
              </w:tc>
            </w:tr>
            <w:tr w14:paraId="3EE22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00893539">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9</w:t>
                  </w:r>
                </w:p>
              </w:tc>
              <w:tc>
                <w:tcPr>
                  <w:tcW w:w="1225" w:type="dxa"/>
                  <w:vAlign w:val="center"/>
                </w:tcPr>
                <w:p w14:paraId="4E788CF4">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0.5</w:t>
                  </w:r>
                </w:p>
              </w:tc>
            </w:tr>
            <w:tr w14:paraId="2F08D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272E1831">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10</w:t>
                  </w:r>
                </w:p>
              </w:tc>
              <w:tc>
                <w:tcPr>
                  <w:tcW w:w="1225" w:type="dxa"/>
                  <w:vAlign w:val="center"/>
                </w:tcPr>
                <w:p w14:paraId="4774E5D3">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0.5</w:t>
                  </w:r>
                </w:p>
              </w:tc>
            </w:tr>
            <w:tr w14:paraId="4818C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97" w:type="dxa"/>
                  <w:vAlign w:val="center"/>
                </w:tcPr>
                <w:p w14:paraId="3A6490F7">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&gt;10</w:t>
                  </w:r>
                </w:p>
              </w:tc>
              <w:tc>
                <w:tcPr>
                  <w:tcW w:w="1225" w:type="dxa"/>
                  <w:vAlign w:val="center"/>
                </w:tcPr>
                <w:p w14:paraId="2FB0AD25">
                  <w:pPr>
                    <w:pStyle w:val="19"/>
                    <w:widowControl/>
                    <w:kinsoku w:val="0"/>
                    <w:snapToGrid w:val="0"/>
                    <w:spacing w:line="32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w:t>
                  </w:r>
                </w:p>
              </w:tc>
            </w:tr>
          </w:tbl>
          <w:p w14:paraId="797212E8">
            <w:pPr>
              <w:pStyle w:val="19"/>
              <w:widowControl/>
              <w:adjustRightInd/>
              <w:spacing w:line="32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bCs/>
                <w:snapToGrid w:val="0"/>
                <w:color w:val="000000" w:themeColor="text1"/>
                <w:sz w:val="21"/>
                <w:szCs w:val="21"/>
                <w14:textFill>
                  <w14:solidFill>
                    <w14:schemeClr w14:val="tx1"/>
                  </w14:solidFill>
                </w14:textFill>
              </w:rPr>
              <w:t>注：背景噪声是指被测量声源不存在时，周围环境的噪声</w:t>
            </w:r>
            <w:r>
              <w:rPr>
                <w:rFonts w:hAnsiTheme="minorEastAsia" w:eastAsiaTheme="minorEastAsia"/>
                <w:snapToGrid w:val="0"/>
                <w:color w:val="000000" w:themeColor="text1"/>
                <w:sz w:val="21"/>
                <w:szCs w:val="21"/>
                <w14:textFill>
                  <w14:solidFill>
                    <w14:schemeClr w14:val="tx1"/>
                  </w14:solidFill>
                </w14:textFill>
              </w:rPr>
              <w:t>。</w:t>
            </w:r>
          </w:p>
        </w:tc>
      </w:tr>
    </w:tbl>
    <w:p w14:paraId="3864950C">
      <w:pPr>
        <w:widowControl/>
        <w:jc w:val="left"/>
        <w:rPr>
          <w:rFonts w:hAnsiTheme="minorEastAsia" w:eastAsiaTheme="minorEastAsia"/>
          <w:snapToGrid w:val="0"/>
          <w:color w:val="000000"/>
          <w:kern w:val="0"/>
          <w:szCs w:val="21"/>
        </w:rPr>
      </w:pPr>
      <w:r>
        <w:rPr>
          <w:rFonts w:hAnsiTheme="minorEastAsia" w:eastAsiaTheme="minorEastAsia"/>
          <w:snapToGrid w:val="0"/>
          <w:color w:val="000000"/>
          <w:kern w:val="0"/>
          <w:szCs w:val="21"/>
        </w:rPr>
        <w:t>注</w:t>
      </w:r>
      <w:r>
        <w:rPr>
          <w:rFonts w:hint="eastAsia" w:hAnsiTheme="minorEastAsia" w:eastAsiaTheme="minorEastAsia"/>
          <w:snapToGrid w:val="0"/>
          <w:color w:val="000000"/>
          <w:kern w:val="0"/>
          <w:szCs w:val="21"/>
        </w:rPr>
        <w:t>1</w:t>
      </w:r>
      <w:r>
        <w:rPr>
          <w:rFonts w:hAnsiTheme="minorEastAsia" w:eastAsiaTheme="minorEastAsia"/>
          <w:snapToGrid w:val="0"/>
          <w:color w:val="000000"/>
          <w:kern w:val="0"/>
          <w:szCs w:val="21"/>
        </w:rPr>
        <w:t>：</w:t>
      </w:r>
      <w:r>
        <w:rPr>
          <w:rFonts w:eastAsiaTheme="minorEastAsia"/>
          <w:snapToGrid w:val="0"/>
          <w:color w:val="000000"/>
          <w:kern w:val="0"/>
          <w:szCs w:val="21"/>
        </w:rPr>
        <w:t>*</w:t>
      </w:r>
      <w:r>
        <w:rPr>
          <w:rFonts w:hAnsiTheme="minorEastAsia" w:eastAsiaTheme="minorEastAsia"/>
          <w:snapToGrid w:val="0"/>
          <w:color w:val="000000"/>
          <w:kern w:val="0"/>
          <w:szCs w:val="21"/>
        </w:rPr>
        <w:t>项为</w:t>
      </w:r>
      <w:r>
        <w:rPr>
          <w:rFonts w:hint="eastAsia" w:hAnsiTheme="minorEastAsia" w:eastAsiaTheme="minorEastAsia"/>
          <w:snapToGrid w:val="0"/>
          <w:color w:val="000000"/>
          <w:kern w:val="0"/>
          <w:szCs w:val="21"/>
        </w:rPr>
        <w:t>关键</w:t>
      </w:r>
      <w:r>
        <w:rPr>
          <w:rFonts w:hAnsiTheme="minorEastAsia" w:eastAsiaTheme="minorEastAsia"/>
          <w:snapToGrid w:val="0"/>
          <w:color w:val="000000"/>
          <w:kern w:val="0"/>
          <w:szCs w:val="21"/>
        </w:rPr>
        <w:t>项</w:t>
      </w:r>
      <w:r>
        <w:rPr>
          <w:rFonts w:hint="eastAsia" w:hAnsiTheme="minorEastAsia" w:eastAsiaTheme="minorEastAsia"/>
          <w:snapToGrid w:val="0"/>
          <w:color w:val="000000"/>
          <w:kern w:val="0"/>
          <w:szCs w:val="21"/>
        </w:rPr>
        <w:t>，</w:t>
      </w:r>
      <w:r>
        <w:rPr>
          <w:rFonts w:hAnsiTheme="minorEastAsia" w:eastAsiaTheme="minorEastAsia"/>
          <w:snapToGrid w:val="0"/>
          <w:color w:val="000000"/>
          <w:kern w:val="0"/>
          <w:szCs w:val="21"/>
        </w:rPr>
        <w:t>其余项为一般项。</w:t>
      </w:r>
    </w:p>
    <w:p w14:paraId="6570F2AA">
      <w:pPr>
        <w:widowControl/>
        <w:jc w:val="lef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注2：对于允许按照GB 7588-1995及更早期标准生产的电梯，如果本附件A1.2.4.7条第(4)项中的电气安全装置和A1.3.7条未按照《电梯监督检验和定期检验规则--曳引与强制驱动电梯》(TSG T7001-2009)进行过检验，并且未按照《电梯监督检验和定期检验规则》进行过监督检验，自行检测时可以不检测。</w:t>
      </w:r>
    </w:p>
    <w:p w14:paraId="33CD95AF">
      <w:pPr>
        <w:widowControl/>
        <w:jc w:val="lef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注3：如果本附件A1.2.3.4条、A1.2.3.5条、A1.2.3.6条、A1.3.8条未按照《电梯监督检验和定期检验规则--曳引与强制驱动电梯》等4个安全技术规范(TSG T7001~TSG T7004，含第2、第3号修改单)或者《电梯监督检验和定期检验规则》进行过监督检验，自行检测时可以不检测。</w:t>
      </w:r>
    </w:p>
    <w:p w14:paraId="3838624F">
      <w:pPr>
        <w:widowControl/>
        <w:jc w:val="lef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注4：如果本附件A1.2.4.3条第(1)项、A1.2.5.2条第(2)和第(3)项、A1.2.6.6条、A1.2.7.4条第(3)项、A1.2.7.6条第(2)项未按照《电梯监督检验和定期检验规则》进行过监督检验，自行检测时可以不检测。</w:t>
      </w:r>
    </w:p>
    <w:p w14:paraId="12738E1A">
      <w:pPr>
        <w:widowControl/>
        <w:jc w:val="lef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注5：A1.3.14条仅适用于曳引驱动乘客电梯和曳引驱动消防员电梯。</w:t>
      </w:r>
    </w:p>
    <w:p w14:paraId="1CE2074D">
      <w:pPr>
        <w:widowControl/>
        <w:jc w:val="left"/>
        <w:rPr>
          <w:szCs w:val="21"/>
          <w:lang w:val="zh-CN"/>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F8A5734-A765-4566-92BB-F31A774467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80999FA4-02DA-4423-97AE-DAD8A3E9EC7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5"/>
      <w:docPartObj>
        <w:docPartGallery w:val="autotext"/>
      </w:docPartObj>
    </w:sdtPr>
    <w:sdtContent>
      <w:p w14:paraId="32B0CC5A">
        <w:pPr>
          <w:pStyle w:val="7"/>
          <w:wordWrap w:val="0"/>
          <w:ind w:firstLine="360"/>
          <w:jc w:val="right"/>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1</w:t>
        </w:r>
        <w:r>
          <w:rPr>
            <w:rFonts w:ascii="Times New Roman"/>
            <w:sz w:val="28"/>
            <w:szCs w:val="28"/>
          </w:rPr>
          <w:fldChar w:fldCharType="end"/>
        </w:r>
        <w:r>
          <w:rPr>
            <w:rFonts w:hint="eastAsia"/>
            <w:sz w:val="28"/>
            <w:szCs w:val="28"/>
          </w:rPr>
          <w:t xml:space="preserve"> —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4"/>
    </w:sdtPr>
    <w:sdtEndPr>
      <w:rPr>
        <w:sz w:val="28"/>
        <w:szCs w:val="28"/>
      </w:rPr>
    </w:sdtEndPr>
    <w:sdtContent>
      <w:p w14:paraId="5B5CAA46">
        <w:pPr>
          <w:pStyle w:val="7"/>
          <w:ind w:firstLine="360"/>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4</w:t>
        </w:r>
        <w:r>
          <w:rPr>
            <w:rFonts w:ascii="Times New Roman"/>
            <w:sz w:val="28"/>
            <w:szCs w:val="28"/>
          </w:rPr>
          <w:fldChar w:fldCharType="end"/>
        </w:r>
        <w:r>
          <w:rPr>
            <w:rFonts w:hint="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F2468">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0E341">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6AC14">
    <w:pPr>
      <w:pStyle w:val="8"/>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45E0B">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2D382C"/>
    <w:multiLevelType w:val="singleLevel"/>
    <w:tmpl w:val="C92D382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hideSpellingError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MWZhOWM3MTgyYmU3NGE5NWE2MTMyMTc4NThiOTAifQ=="/>
  </w:docVars>
  <w:rsids>
    <w:rsidRoot w:val="002F1DFD"/>
    <w:rsid w:val="0009255A"/>
    <w:rsid w:val="00094B3B"/>
    <w:rsid w:val="000D0719"/>
    <w:rsid w:val="000D4A22"/>
    <w:rsid w:val="000F3FAB"/>
    <w:rsid w:val="00140019"/>
    <w:rsid w:val="00143A88"/>
    <w:rsid w:val="0018065F"/>
    <w:rsid w:val="00187944"/>
    <w:rsid w:val="001B4A4B"/>
    <w:rsid w:val="00231BFF"/>
    <w:rsid w:val="0023388C"/>
    <w:rsid w:val="002754EB"/>
    <w:rsid w:val="00276955"/>
    <w:rsid w:val="002A16CF"/>
    <w:rsid w:val="002D5415"/>
    <w:rsid w:val="002F1DFD"/>
    <w:rsid w:val="00335710"/>
    <w:rsid w:val="00373A77"/>
    <w:rsid w:val="003D682B"/>
    <w:rsid w:val="003E44F3"/>
    <w:rsid w:val="0040742A"/>
    <w:rsid w:val="00424F81"/>
    <w:rsid w:val="0047595C"/>
    <w:rsid w:val="00485DBE"/>
    <w:rsid w:val="00491ADB"/>
    <w:rsid w:val="00492DC7"/>
    <w:rsid w:val="004F4A6E"/>
    <w:rsid w:val="00501D03"/>
    <w:rsid w:val="00554186"/>
    <w:rsid w:val="005657A1"/>
    <w:rsid w:val="005677C3"/>
    <w:rsid w:val="0063788E"/>
    <w:rsid w:val="0064728F"/>
    <w:rsid w:val="006564D0"/>
    <w:rsid w:val="00660751"/>
    <w:rsid w:val="006B40BA"/>
    <w:rsid w:val="006D07C5"/>
    <w:rsid w:val="007423D5"/>
    <w:rsid w:val="007A6442"/>
    <w:rsid w:val="007C3193"/>
    <w:rsid w:val="007D576F"/>
    <w:rsid w:val="007D77F8"/>
    <w:rsid w:val="0081792B"/>
    <w:rsid w:val="008A3F0C"/>
    <w:rsid w:val="008B4BB9"/>
    <w:rsid w:val="008D20CC"/>
    <w:rsid w:val="008E58D0"/>
    <w:rsid w:val="00927E35"/>
    <w:rsid w:val="0095622B"/>
    <w:rsid w:val="009D7CED"/>
    <w:rsid w:val="009F01DC"/>
    <w:rsid w:val="00A255F4"/>
    <w:rsid w:val="00A76FC3"/>
    <w:rsid w:val="00A960C8"/>
    <w:rsid w:val="00AB4F8E"/>
    <w:rsid w:val="00AD5479"/>
    <w:rsid w:val="00B1265B"/>
    <w:rsid w:val="00B345F1"/>
    <w:rsid w:val="00B90794"/>
    <w:rsid w:val="00BA6B5B"/>
    <w:rsid w:val="00C375FF"/>
    <w:rsid w:val="00CC206A"/>
    <w:rsid w:val="00D201C4"/>
    <w:rsid w:val="00D25174"/>
    <w:rsid w:val="00DB5DFA"/>
    <w:rsid w:val="00E33559"/>
    <w:rsid w:val="00E86519"/>
    <w:rsid w:val="00E923F1"/>
    <w:rsid w:val="00EC71E2"/>
    <w:rsid w:val="00F02413"/>
    <w:rsid w:val="00FA5A59"/>
    <w:rsid w:val="06C278B5"/>
    <w:rsid w:val="06D62EC4"/>
    <w:rsid w:val="08893733"/>
    <w:rsid w:val="0B49706A"/>
    <w:rsid w:val="0E731911"/>
    <w:rsid w:val="103764A9"/>
    <w:rsid w:val="125961DD"/>
    <w:rsid w:val="189964EA"/>
    <w:rsid w:val="19A454D9"/>
    <w:rsid w:val="1A694281"/>
    <w:rsid w:val="1AD532A6"/>
    <w:rsid w:val="1C915908"/>
    <w:rsid w:val="211C215D"/>
    <w:rsid w:val="212451FF"/>
    <w:rsid w:val="22090BF9"/>
    <w:rsid w:val="23447230"/>
    <w:rsid w:val="2B216FF5"/>
    <w:rsid w:val="2B457803"/>
    <w:rsid w:val="2E586AAF"/>
    <w:rsid w:val="30872E52"/>
    <w:rsid w:val="35D501BC"/>
    <w:rsid w:val="36435E6F"/>
    <w:rsid w:val="3670588D"/>
    <w:rsid w:val="372314D5"/>
    <w:rsid w:val="37AE73A3"/>
    <w:rsid w:val="3C933FD2"/>
    <w:rsid w:val="3E9052B0"/>
    <w:rsid w:val="4151103E"/>
    <w:rsid w:val="41FB544E"/>
    <w:rsid w:val="44A645E7"/>
    <w:rsid w:val="4B632585"/>
    <w:rsid w:val="4BB42BF9"/>
    <w:rsid w:val="4F0771E0"/>
    <w:rsid w:val="50162CA5"/>
    <w:rsid w:val="52232583"/>
    <w:rsid w:val="53051C89"/>
    <w:rsid w:val="546926EB"/>
    <w:rsid w:val="54BD068F"/>
    <w:rsid w:val="54E53DB6"/>
    <w:rsid w:val="5C5D3B6B"/>
    <w:rsid w:val="5E3D2C1E"/>
    <w:rsid w:val="640D2AD4"/>
    <w:rsid w:val="68DE4AD8"/>
    <w:rsid w:val="6A0107AA"/>
    <w:rsid w:val="6A5D04B6"/>
    <w:rsid w:val="6A6B466F"/>
    <w:rsid w:val="6AAB7FF6"/>
    <w:rsid w:val="71F2621E"/>
    <w:rsid w:val="722D5172"/>
    <w:rsid w:val="74021033"/>
    <w:rsid w:val="7B826EBB"/>
    <w:rsid w:val="7C125825"/>
    <w:rsid w:val="7D3C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5"/>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3"/>
    <w:basedOn w:val="1"/>
    <w:next w:val="1"/>
    <w:link w:val="16"/>
    <w:autoRedefine/>
    <w:qFormat/>
    <w:uiPriority w:val="0"/>
    <w:pPr>
      <w:keepNext/>
      <w:keepLines/>
      <w:spacing w:line="540" w:lineRule="exact"/>
      <w:outlineLvl w:val="2"/>
    </w:pPr>
    <w:rPr>
      <w:rFonts w:eastAsia="楷体"/>
      <w:kern w:val="0"/>
      <w:sz w:val="20"/>
      <w:szCs w:val="20"/>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Title"/>
    <w:basedOn w:val="1"/>
    <w:autoRedefine/>
    <w:qFormat/>
    <w:uiPriority w:val="10"/>
    <w:pPr>
      <w:spacing w:before="240" w:after="60"/>
      <w:jc w:val="center"/>
      <w:outlineLvl w:val="0"/>
    </w:pPr>
    <w:rPr>
      <w:rFonts w:ascii="Arial" w:hAnsi="Arial"/>
      <w:b/>
      <w:sz w:val="32"/>
    </w:rPr>
  </w:style>
  <w:style w:type="paragraph" w:styleId="5">
    <w:name w:val="Body Text Indent"/>
    <w:basedOn w:val="1"/>
    <w:autoRedefine/>
    <w:qFormat/>
    <w:uiPriority w:val="0"/>
    <w:pPr>
      <w:spacing w:after="120"/>
      <w:ind w:left="420" w:leftChars="200"/>
    </w:pPr>
  </w:style>
  <w:style w:type="paragraph" w:styleId="6">
    <w:name w:val="Balloon Text"/>
    <w:basedOn w:val="1"/>
    <w:link w:val="17"/>
    <w:autoRedefine/>
    <w:qFormat/>
    <w:uiPriority w:val="0"/>
    <w:rPr>
      <w:sz w:val="18"/>
      <w:szCs w:val="18"/>
    </w:rPr>
  </w:style>
  <w:style w:type="paragraph" w:styleId="7">
    <w:name w:val="footer"/>
    <w:basedOn w:val="1"/>
    <w:link w:val="18"/>
    <w:autoRedefine/>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9">
    <w:name w:val="Body Text Indent 3"/>
    <w:basedOn w:val="1"/>
    <w:autoRedefine/>
    <w:qFormat/>
    <w:uiPriority w:val="0"/>
    <w:pPr>
      <w:spacing w:line="360" w:lineRule="auto"/>
      <w:ind w:firstLine="482" w:firstLineChars="200"/>
    </w:pPr>
    <w:rPr>
      <w:rFonts w:ascii="宋体"/>
      <w:b/>
      <w:bCs/>
      <w:sz w:val="24"/>
    </w:rPr>
  </w:style>
  <w:style w:type="paragraph" w:styleId="10">
    <w:name w:val="Body Text First Indent 2"/>
    <w:basedOn w:val="5"/>
    <w:autoRedefine/>
    <w:qFormat/>
    <w:uiPriority w:val="0"/>
    <w:pPr>
      <w:ind w:firstLine="420" w:firstLineChars="200"/>
    </w:pPr>
    <w:rPr>
      <w:szCs w:val="22"/>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autoRedefine/>
    <w:qFormat/>
    <w:uiPriority w:val="0"/>
  </w:style>
  <w:style w:type="character" w:customStyle="1" w:styleId="15">
    <w:name w:val="标题 1 Char"/>
    <w:link w:val="2"/>
    <w:autoRedefine/>
    <w:qFormat/>
    <w:uiPriority w:val="0"/>
    <w:rPr>
      <w:rFonts w:eastAsia="方正小标宋简体"/>
      <w:kern w:val="44"/>
      <w:sz w:val="44"/>
      <w:szCs w:val="20"/>
    </w:rPr>
  </w:style>
  <w:style w:type="character" w:customStyle="1" w:styleId="16">
    <w:name w:val="标题 3 Char"/>
    <w:link w:val="4"/>
    <w:autoRedefine/>
    <w:qFormat/>
    <w:uiPriority w:val="0"/>
    <w:rPr>
      <w:rFonts w:eastAsia="楷体"/>
      <w:kern w:val="0"/>
      <w:sz w:val="20"/>
      <w:szCs w:val="20"/>
    </w:rPr>
  </w:style>
  <w:style w:type="character" w:customStyle="1" w:styleId="17">
    <w:name w:val="批注框文本 Char"/>
    <w:link w:val="6"/>
    <w:autoRedefine/>
    <w:qFormat/>
    <w:uiPriority w:val="0"/>
    <w:rPr>
      <w:kern w:val="2"/>
      <w:sz w:val="18"/>
      <w:szCs w:val="18"/>
    </w:rPr>
  </w:style>
  <w:style w:type="character" w:customStyle="1" w:styleId="18">
    <w:name w:val="页脚 Char"/>
    <w:link w:val="7"/>
    <w:autoRedefine/>
    <w:qFormat/>
    <w:uiPriority w:val="99"/>
    <w:rPr>
      <w:rFonts w:ascii="宋体"/>
      <w:color w:val="000000"/>
      <w:sz w:val="18"/>
      <w:szCs w:val="18"/>
    </w:rPr>
  </w:style>
  <w:style w:type="paragraph" w:customStyle="1" w:styleId="19">
    <w:name w:val="Table Paragraph"/>
    <w:basedOn w:val="1"/>
    <w:autoRedefine/>
    <w:qFormat/>
    <w:uiPriority w:val="1"/>
    <w:pPr>
      <w:autoSpaceDE w:val="0"/>
      <w:autoSpaceDN w:val="0"/>
      <w:adjustRightInd w:val="0"/>
      <w:spacing w:line="312" w:lineRule="atLeast"/>
      <w:jc w:val="left"/>
      <w:textAlignment w:val="baseline"/>
    </w:pPr>
    <w:rPr>
      <w:kern w:val="0"/>
      <w:sz w:val="24"/>
      <w:szCs w:val="20"/>
    </w:rPr>
  </w:style>
  <w:style w:type="paragraph" w:customStyle="1" w:styleId="20">
    <w:name w:val="首行缩进"/>
    <w:autoRedefine/>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customStyle="1" w:styleId="21">
    <w:name w:val="列表段落1"/>
    <w:basedOn w:val="1"/>
    <w:autoRedefine/>
    <w:qFormat/>
    <w:uiPriority w:val="34"/>
    <w:pPr>
      <w:autoSpaceDE w:val="0"/>
      <w:autoSpaceDN w:val="0"/>
      <w:ind w:firstLine="420" w:firstLineChars="200"/>
      <w:jc w:val="left"/>
    </w:pPr>
    <w:rPr>
      <w:rFonts w:ascii="宋体" w:hAnsi="宋体" w:cs="宋体"/>
      <w:kern w:val="0"/>
      <w:sz w:val="22"/>
      <w:szCs w:val="22"/>
      <w:lang w:eastAsia="en-US"/>
    </w:rPr>
  </w:style>
  <w:style w:type="paragraph" w:customStyle="1" w:styleId="22">
    <w:name w:val="样式 Table Paragraph + (中文) +中文正文 (符号) +中文正文 五号 文字 1 两端对齐 左侧:..."/>
    <w:basedOn w:val="19"/>
    <w:qFormat/>
    <w:uiPriority w:val="0"/>
    <w:pPr>
      <w:spacing w:line="280" w:lineRule="exact"/>
      <w:ind w:left="-57" w:right="-57"/>
      <w:jc w:val="both"/>
    </w:pPr>
    <w:rPr>
      <w:rFonts w:cs="宋体" w:hAnsiTheme="minorEastAsia" w:eastAsiaTheme="minorEastAsia"/>
      <w:color w:val="000000" w:themeColor="text1"/>
      <w:sz w:val="21"/>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23</Pages>
  <Words>8903</Words>
  <Characters>9228</Characters>
  <Lines>554</Lines>
  <Paragraphs>156</Paragraphs>
  <TotalTime>135</TotalTime>
  <ScaleCrop>false</ScaleCrop>
  <LinksUpToDate>false</LinksUpToDate>
  <CharactersWithSpaces>9416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2022-04-28T03:27:00Z</dcterms:created>
  <dc:creator>千航网络</dc:creator>
  <cp:lastModifiedBy>Ellen  章小璐</cp:lastModifiedBy>
  <cp:lastPrinted>2025-08-29T03:36:00Z</cp:lastPrinted>
  <dcterms:modified xsi:type="dcterms:W3CDTF">2025-09-03T07:58:55Z</dcterms:modified>
  <dc:title>【NTKO Office文档控件缺省模板】</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96EC7B9243B94914B5CC9A72772B8418_13</vt:lpwstr>
  </property>
  <property fmtid="{D5CDD505-2E9C-101B-9397-08002B2CF9AE}" pid="4" name="KSOTemplateDocerSaveRecord">
    <vt:lpwstr>eyJoZGlkIjoiZTM2MWEyNWZmMTg5NjZhZDRhNWYxNTIxODIwYTZkYzMiLCJ1c2VySWQiOiIyNzE5Mjg3NDUifQ==</vt:lpwstr>
  </property>
</Properties>
</file>