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2B0835">
      <w:pPr>
        <w:overflowPunct w:val="0"/>
        <w:autoSpaceDE w:val="0"/>
        <w:autoSpaceDN w:val="0"/>
        <w:adjustRightInd w:val="0"/>
        <w:snapToGrid w:val="0"/>
        <w:spacing w:line="580" w:lineRule="exact"/>
        <w:jc w:val="left"/>
        <w:rPr>
          <w:rFonts w:eastAsia="黑体"/>
          <w:sz w:val="32"/>
          <w:szCs w:val="32"/>
        </w:rPr>
      </w:pPr>
      <w:r>
        <w:rPr>
          <w:rFonts w:hAnsi="黑体" w:eastAsia="黑体"/>
          <w:sz w:val="32"/>
          <w:szCs w:val="32"/>
        </w:rPr>
        <w:t>附件</w:t>
      </w:r>
      <w:r>
        <w:rPr>
          <w:rFonts w:eastAsia="黑体"/>
          <w:sz w:val="32"/>
          <w:szCs w:val="32"/>
        </w:rPr>
        <w:t>5</w:t>
      </w:r>
    </w:p>
    <w:p w14:paraId="0261460D">
      <w:pPr>
        <w:overflowPunct w:val="0"/>
        <w:autoSpaceDE w:val="0"/>
        <w:autoSpaceDN w:val="0"/>
        <w:adjustRightInd w:val="0"/>
        <w:snapToGrid w:val="0"/>
        <w:spacing w:before="240" w:line="580" w:lineRule="exact"/>
        <w:jc w:val="center"/>
        <w:rPr>
          <w:rFonts w:eastAsia="方正小标宋简体"/>
          <w:sz w:val="44"/>
          <w:szCs w:val="44"/>
        </w:rPr>
      </w:pPr>
      <w:r>
        <w:rPr>
          <w:rFonts w:hint="eastAsia" w:eastAsia="方正小标宋简体"/>
          <w:sz w:val="44"/>
          <w:szCs w:val="44"/>
        </w:rPr>
        <w:t>自动扶梯与自动人行道自行检测质量</w:t>
      </w:r>
    </w:p>
    <w:p w14:paraId="0E372319">
      <w:pPr>
        <w:overflowPunct w:val="0"/>
        <w:autoSpaceDE w:val="0"/>
        <w:autoSpaceDN w:val="0"/>
        <w:adjustRightInd w:val="0"/>
        <w:snapToGrid w:val="0"/>
        <w:spacing w:before="120" w:after="240" w:line="580" w:lineRule="exact"/>
        <w:jc w:val="center"/>
        <w:rPr>
          <w:rFonts w:eastAsia="方正小标宋简体"/>
          <w:sz w:val="44"/>
          <w:szCs w:val="44"/>
        </w:rPr>
      </w:pPr>
      <w:r>
        <w:rPr>
          <w:rFonts w:hint="eastAsia" w:eastAsia="方正小标宋简体"/>
          <w:sz w:val="44"/>
          <w:szCs w:val="44"/>
        </w:rPr>
        <w:t>监督抽查项目内容、要求与方法</w:t>
      </w:r>
    </w:p>
    <w:tbl>
      <w:tblPr>
        <w:tblStyle w:val="11"/>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70"/>
        <w:gridCol w:w="625"/>
        <w:gridCol w:w="918"/>
        <w:gridCol w:w="4690"/>
        <w:gridCol w:w="2197"/>
      </w:tblGrid>
      <w:tr w14:paraId="2A2C02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tblHeader/>
          <w:jc w:val="center"/>
        </w:trPr>
        <w:tc>
          <w:tcPr>
            <w:tcW w:w="2013" w:type="dxa"/>
            <w:gridSpan w:val="3"/>
            <w:tcMar>
              <w:top w:w="0" w:type="dxa"/>
              <w:left w:w="28" w:type="dxa"/>
              <w:bottom w:w="0" w:type="dxa"/>
              <w:right w:w="28" w:type="dxa"/>
            </w:tcMar>
            <w:vAlign w:val="center"/>
          </w:tcPr>
          <w:p w14:paraId="14440BE8">
            <w:pPr>
              <w:pStyle w:val="19"/>
              <w:snapToGrid w:val="0"/>
              <w:spacing w:line="300" w:lineRule="exact"/>
              <w:jc w:val="center"/>
              <w:textAlignment w:val="auto"/>
              <w:rPr>
                <w:rFonts w:eastAsia="黑体"/>
                <w:bCs/>
                <w:snapToGrid w:val="0"/>
                <w:color w:val="000000" w:themeColor="text1"/>
                <w:sz w:val="21"/>
                <w:szCs w:val="21"/>
                <w14:textFill>
                  <w14:solidFill>
                    <w14:schemeClr w14:val="tx1"/>
                  </w14:solidFill>
                </w14:textFill>
              </w:rPr>
            </w:pPr>
            <w:r>
              <w:rPr>
                <w:rFonts w:hAnsi="黑体" w:eastAsia="黑体"/>
                <w:bCs/>
                <w:snapToGrid w:val="0"/>
                <w:color w:val="000000" w:themeColor="text1"/>
                <w:sz w:val="21"/>
                <w:szCs w:val="21"/>
                <w14:textFill>
                  <w14:solidFill>
                    <w14:schemeClr w14:val="tx1"/>
                  </w14:solidFill>
                </w14:textFill>
              </w:rPr>
              <w:t>项类及项目编号</w:t>
            </w:r>
          </w:p>
        </w:tc>
        <w:tc>
          <w:tcPr>
            <w:tcW w:w="4690" w:type="dxa"/>
            <w:tcMar>
              <w:top w:w="0" w:type="dxa"/>
              <w:left w:w="28" w:type="dxa"/>
              <w:bottom w:w="0" w:type="dxa"/>
              <w:right w:w="28" w:type="dxa"/>
            </w:tcMar>
            <w:vAlign w:val="center"/>
          </w:tcPr>
          <w:p w14:paraId="6EAE0C59">
            <w:pPr>
              <w:pStyle w:val="19"/>
              <w:snapToGrid w:val="0"/>
              <w:spacing w:line="300" w:lineRule="exact"/>
              <w:jc w:val="center"/>
              <w:textAlignment w:val="auto"/>
              <w:rPr>
                <w:rFonts w:eastAsia="黑体"/>
                <w:bCs/>
                <w:snapToGrid w:val="0"/>
                <w:color w:val="000000" w:themeColor="text1"/>
                <w:sz w:val="21"/>
                <w:szCs w:val="21"/>
                <w14:textFill>
                  <w14:solidFill>
                    <w14:schemeClr w14:val="tx1"/>
                  </w14:solidFill>
                </w14:textFill>
              </w:rPr>
            </w:pPr>
            <w:r>
              <w:rPr>
                <w:rFonts w:hAnsi="黑体" w:eastAsia="黑体"/>
                <w:bCs/>
                <w:snapToGrid w:val="0"/>
                <w:color w:val="000000" w:themeColor="text1"/>
                <w:sz w:val="21"/>
                <w:szCs w:val="21"/>
                <w14:textFill>
                  <w14:solidFill>
                    <w14:schemeClr w14:val="tx1"/>
                  </w14:solidFill>
                </w14:textFill>
              </w:rPr>
              <w:t>抽查基本内容与要求</w:t>
            </w:r>
          </w:p>
        </w:tc>
        <w:tc>
          <w:tcPr>
            <w:tcW w:w="2197" w:type="dxa"/>
            <w:tcMar>
              <w:top w:w="0" w:type="dxa"/>
              <w:left w:w="28" w:type="dxa"/>
              <w:bottom w:w="0" w:type="dxa"/>
              <w:right w:w="28" w:type="dxa"/>
            </w:tcMar>
            <w:vAlign w:val="center"/>
          </w:tcPr>
          <w:p w14:paraId="00326BB9">
            <w:pPr>
              <w:pStyle w:val="19"/>
              <w:snapToGrid w:val="0"/>
              <w:spacing w:line="300" w:lineRule="exact"/>
              <w:jc w:val="center"/>
              <w:textAlignment w:val="auto"/>
              <w:rPr>
                <w:rFonts w:eastAsia="黑体"/>
                <w:bCs/>
                <w:snapToGrid w:val="0"/>
                <w:color w:val="000000" w:themeColor="text1"/>
                <w:sz w:val="21"/>
                <w:szCs w:val="21"/>
                <w14:textFill>
                  <w14:solidFill>
                    <w14:schemeClr w14:val="tx1"/>
                  </w14:solidFill>
                </w14:textFill>
              </w:rPr>
            </w:pPr>
            <w:r>
              <w:rPr>
                <w:rFonts w:hAnsi="黑体" w:eastAsia="黑体"/>
                <w:bCs/>
                <w:snapToGrid w:val="0"/>
                <w:color w:val="000000" w:themeColor="text1"/>
                <w:sz w:val="21"/>
                <w:szCs w:val="21"/>
                <w14:textFill>
                  <w14:solidFill>
                    <w14:schemeClr w14:val="tx1"/>
                  </w14:solidFill>
                </w14:textFill>
              </w:rPr>
              <w:t>抽查方法</w:t>
            </w:r>
          </w:p>
        </w:tc>
      </w:tr>
      <w:tr w14:paraId="687948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tcMar>
              <w:top w:w="0" w:type="dxa"/>
              <w:left w:w="28" w:type="dxa"/>
              <w:bottom w:w="0" w:type="dxa"/>
              <w:right w:w="28" w:type="dxa"/>
            </w:tcMar>
            <w:vAlign w:val="center"/>
          </w:tcPr>
          <w:p w14:paraId="4368A3D0">
            <w:pPr>
              <w:adjustRightInd w:val="0"/>
              <w:snapToGrid w:val="0"/>
              <w:spacing w:line="280" w:lineRule="exact"/>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A2.1</w:t>
            </w:r>
          </w:p>
          <w:p w14:paraId="69025842">
            <w:pPr>
              <w:adjustRightInd w:val="0"/>
              <w:snapToGrid w:val="0"/>
              <w:spacing w:line="280" w:lineRule="exact"/>
              <w:jc w:val="center"/>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技术资料审查</w:t>
            </w:r>
          </w:p>
        </w:tc>
        <w:tc>
          <w:tcPr>
            <w:tcW w:w="1543" w:type="dxa"/>
            <w:gridSpan w:val="2"/>
            <w:tcMar>
              <w:top w:w="0" w:type="dxa"/>
              <w:left w:w="28" w:type="dxa"/>
              <w:bottom w:w="0" w:type="dxa"/>
              <w:right w:w="28" w:type="dxa"/>
            </w:tcMar>
            <w:vAlign w:val="center"/>
          </w:tcPr>
          <w:p w14:paraId="02B235E2">
            <w:pPr>
              <w:adjustRightInd w:val="0"/>
              <w:snapToGrid w:val="0"/>
              <w:spacing w:line="300" w:lineRule="exact"/>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A2.1.1</w:t>
            </w:r>
          </w:p>
          <w:p w14:paraId="6E5B60DF">
            <w:pPr>
              <w:adjustRightInd w:val="0"/>
              <w:snapToGrid w:val="0"/>
              <w:spacing w:line="300" w:lineRule="exact"/>
              <w:jc w:val="center"/>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使用资料</w:t>
            </w:r>
          </w:p>
        </w:tc>
        <w:tc>
          <w:tcPr>
            <w:tcW w:w="4690" w:type="dxa"/>
            <w:tcMar>
              <w:top w:w="0" w:type="dxa"/>
              <w:left w:w="28" w:type="dxa"/>
              <w:bottom w:w="0" w:type="dxa"/>
              <w:right w:w="28" w:type="dxa"/>
            </w:tcMar>
            <w:vAlign w:val="center"/>
          </w:tcPr>
          <w:p w14:paraId="275259B8">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审查使用单位是否提供以下适用于受检设备的资料：</w:t>
            </w:r>
          </w:p>
          <w:p w14:paraId="071BB6DB">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）电气原理图、安装使用维护保养说明书、检测和检测报告；</w:t>
            </w:r>
          </w:p>
          <w:p w14:paraId="6E1D34BF">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2</w:t>
            </w:r>
            <w:r>
              <w:rPr>
                <w:rFonts w:hAnsiTheme="minorEastAsia" w:eastAsiaTheme="minorEastAsia"/>
                <w:bCs/>
                <w:snapToGrid w:val="0"/>
                <w:color w:val="000000" w:themeColor="text1"/>
                <w:kern w:val="0"/>
                <w:szCs w:val="21"/>
                <w14:textFill>
                  <w14:solidFill>
                    <w14:schemeClr w14:val="tx1"/>
                  </w14:solidFill>
                </w14:textFill>
              </w:rPr>
              <w:t>）日常使用状况记录、维护保养记录、运行故障和事故记录。</w:t>
            </w:r>
          </w:p>
        </w:tc>
        <w:tc>
          <w:tcPr>
            <w:tcW w:w="2197" w:type="dxa"/>
            <w:tcMar>
              <w:top w:w="0" w:type="dxa"/>
              <w:left w:w="28" w:type="dxa"/>
              <w:bottom w:w="0" w:type="dxa"/>
              <w:right w:w="28" w:type="dxa"/>
            </w:tcMar>
            <w:vAlign w:val="center"/>
          </w:tcPr>
          <w:p w14:paraId="7ED2083D">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审查相应资料。</w:t>
            </w:r>
          </w:p>
        </w:tc>
      </w:tr>
      <w:tr w14:paraId="7B175B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restart"/>
            <w:tcMar>
              <w:top w:w="0" w:type="dxa"/>
              <w:left w:w="28" w:type="dxa"/>
              <w:bottom w:w="0" w:type="dxa"/>
              <w:right w:w="28" w:type="dxa"/>
            </w:tcMar>
            <w:vAlign w:val="center"/>
          </w:tcPr>
          <w:p w14:paraId="0447CB65">
            <w:pPr>
              <w:adjustRightInd w:val="0"/>
              <w:snapToGrid w:val="0"/>
              <w:spacing w:line="300" w:lineRule="exact"/>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w:t>
            </w:r>
          </w:p>
          <w:p w14:paraId="38DA4B24">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实物检查</w:t>
            </w:r>
          </w:p>
        </w:tc>
        <w:tc>
          <w:tcPr>
            <w:tcW w:w="625" w:type="dxa"/>
            <w:vMerge w:val="restart"/>
            <w:tcMar>
              <w:top w:w="0" w:type="dxa"/>
              <w:left w:w="28" w:type="dxa"/>
              <w:bottom w:w="0" w:type="dxa"/>
              <w:right w:w="28" w:type="dxa"/>
            </w:tcMar>
            <w:vAlign w:val="center"/>
          </w:tcPr>
          <w:p w14:paraId="016D88C7">
            <w:pPr>
              <w:adjustRightInd w:val="0"/>
              <w:snapToGrid w:val="0"/>
              <w:spacing w:line="30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A2.2.1</w:t>
            </w:r>
          </w:p>
          <w:p w14:paraId="16AB1ABF">
            <w:pPr>
              <w:adjustRightInd w:val="0"/>
              <w:snapToGrid w:val="0"/>
              <w:spacing w:line="300" w:lineRule="exact"/>
              <w:jc w:val="center"/>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机房、驱动站和转向站</w:t>
            </w:r>
          </w:p>
        </w:tc>
        <w:tc>
          <w:tcPr>
            <w:tcW w:w="918" w:type="dxa"/>
            <w:tcMar>
              <w:top w:w="0" w:type="dxa"/>
              <w:left w:w="28" w:type="dxa"/>
              <w:bottom w:w="0" w:type="dxa"/>
              <w:right w:w="28" w:type="dxa"/>
            </w:tcMar>
            <w:vAlign w:val="center"/>
          </w:tcPr>
          <w:p w14:paraId="5C721B39">
            <w:pPr>
              <w:adjustRightInd w:val="0"/>
              <w:snapToGrid w:val="0"/>
              <w:spacing w:line="300" w:lineRule="exact"/>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A2.2.1.1</w:t>
            </w:r>
            <w:r>
              <w:rPr>
                <w:rFonts w:hAnsiTheme="minorEastAsia" w:eastAsiaTheme="minorEastAsia"/>
                <w:bCs/>
                <w:snapToGrid w:val="0"/>
                <w:color w:val="000000" w:themeColor="text1"/>
                <w:kern w:val="0"/>
                <w:szCs w:val="21"/>
                <w14:textFill>
                  <w14:solidFill>
                    <w14:schemeClr w14:val="tx1"/>
                  </w14:solidFill>
                </w14:textFill>
              </w:rPr>
              <w:t>照明</w:t>
            </w:r>
          </w:p>
        </w:tc>
        <w:tc>
          <w:tcPr>
            <w:tcW w:w="4690" w:type="dxa"/>
            <w:tcMar>
              <w:top w:w="0" w:type="dxa"/>
              <w:left w:w="28" w:type="dxa"/>
              <w:bottom w:w="0" w:type="dxa"/>
              <w:right w:w="28" w:type="dxa"/>
            </w:tcMar>
            <w:vAlign w:val="center"/>
          </w:tcPr>
          <w:p w14:paraId="6A509A4A">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检查桁架内的驱动站、转向站以及机房中是否设有电气照明，分离机房是否设有永久性电气照明。</w:t>
            </w:r>
          </w:p>
        </w:tc>
        <w:tc>
          <w:tcPr>
            <w:tcW w:w="2197" w:type="dxa"/>
            <w:tcMar>
              <w:top w:w="0" w:type="dxa"/>
              <w:left w:w="28" w:type="dxa"/>
              <w:bottom w:w="0" w:type="dxa"/>
              <w:right w:w="28" w:type="dxa"/>
            </w:tcMar>
            <w:vAlign w:val="center"/>
          </w:tcPr>
          <w:p w14:paraId="379BF678">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目测。</w:t>
            </w:r>
          </w:p>
        </w:tc>
      </w:tr>
      <w:tr w14:paraId="64724F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top w:w="0" w:type="dxa"/>
              <w:left w:w="28" w:type="dxa"/>
              <w:bottom w:w="0" w:type="dxa"/>
              <w:right w:w="28" w:type="dxa"/>
            </w:tcMar>
            <w:vAlign w:val="center"/>
          </w:tcPr>
          <w:p w14:paraId="5BA0C1CD">
            <w:pPr>
              <w:adjustRightInd w:val="0"/>
              <w:snapToGrid w:val="0"/>
              <w:spacing w:line="300" w:lineRule="exact"/>
              <w:jc w:val="center"/>
              <w:rPr>
                <w:rFonts w:eastAsiaTheme="minorEastAsia"/>
                <w:bCs/>
                <w:snapToGrid w:val="0"/>
                <w:color w:val="000000" w:themeColor="text1"/>
                <w:kern w:val="0"/>
                <w:szCs w:val="21"/>
                <w14:textFill>
                  <w14:solidFill>
                    <w14:schemeClr w14:val="tx1"/>
                  </w14:solidFill>
                </w14:textFill>
              </w:rPr>
            </w:pPr>
          </w:p>
        </w:tc>
        <w:tc>
          <w:tcPr>
            <w:tcW w:w="625" w:type="dxa"/>
            <w:vMerge w:val="continue"/>
            <w:tcMar>
              <w:top w:w="0" w:type="dxa"/>
              <w:left w:w="28" w:type="dxa"/>
              <w:bottom w:w="0" w:type="dxa"/>
              <w:right w:w="28" w:type="dxa"/>
            </w:tcMar>
            <w:vAlign w:val="center"/>
          </w:tcPr>
          <w:p w14:paraId="18ABEC0A">
            <w:pPr>
              <w:adjustRightInd w:val="0"/>
              <w:snapToGrid w:val="0"/>
              <w:spacing w:line="300" w:lineRule="exact"/>
              <w:jc w:val="center"/>
              <w:rPr>
                <w:rFonts w:eastAsiaTheme="minorEastAsia"/>
                <w:bCs/>
                <w:snapToGrid w:val="0"/>
                <w:color w:val="000000" w:themeColor="text1"/>
                <w:kern w:val="0"/>
                <w:szCs w:val="21"/>
                <w14:textFill>
                  <w14:solidFill>
                    <w14:schemeClr w14:val="tx1"/>
                  </w14:solidFill>
                </w14:textFill>
              </w:rPr>
            </w:pPr>
          </w:p>
        </w:tc>
        <w:tc>
          <w:tcPr>
            <w:tcW w:w="918" w:type="dxa"/>
            <w:tcMar>
              <w:top w:w="0" w:type="dxa"/>
              <w:left w:w="28" w:type="dxa"/>
              <w:bottom w:w="0" w:type="dxa"/>
              <w:right w:w="28" w:type="dxa"/>
            </w:tcMar>
            <w:vAlign w:val="center"/>
          </w:tcPr>
          <w:p w14:paraId="588F4763">
            <w:pPr>
              <w:adjustRightInd w:val="0"/>
              <w:snapToGrid w:val="0"/>
              <w:spacing w:line="300" w:lineRule="exact"/>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A2.2.1.2</w:t>
            </w:r>
            <w:r>
              <w:rPr>
                <w:rFonts w:hAnsiTheme="minorEastAsia" w:eastAsiaTheme="minorEastAsia"/>
                <w:bCs/>
                <w:snapToGrid w:val="0"/>
                <w:color w:val="000000" w:themeColor="text1"/>
                <w:kern w:val="0"/>
                <w:szCs w:val="21"/>
                <w14:textFill>
                  <w14:solidFill>
                    <w14:schemeClr w14:val="tx1"/>
                  </w14:solidFill>
                </w14:textFill>
              </w:rPr>
              <w:t>接地</w:t>
            </w:r>
          </w:p>
          <w:p w14:paraId="7DC414D7">
            <w:pPr>
              <w:adjustRightInd w:val="0"/>
              <w:snapToGrid w:val="0"/>
              <w:spacing w:line="300" w:lineRule="exact"/>
              <w:jc w:val="center"/>
              <w:rPr>
                <w:rFonts w:hAnsiTheme="minorEastAsia"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保护</w:t>
            </w:r>
          </w:p>
          <w:p w14:paraId="3E3F2708">
            <w:pPr>
              <w:adjustRightInd w:val="0"/>
              <w:snapToGrid w:val="0"/>
              <w:spacing w:line="300" w:lineRule="exact"/>
              <w:jc w:val="center"/>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措施</w:t>
            </w:r>
          </w:p>
        </w:tc>
        <w:tc>
          <w:tcPr>
            <w:tcW w:w="4690" w:type="dxa"/>
            <w:tcMar>
              <w:top w:w="0" w:type="dxa"/>
              <w:left w:w="28" w:type="dxa"/>
              <w:bottom w:w="0" w:type="dxa"/>
              <w:right w:w="28" w:type="dxa"/>
            </w:tcMar>
            <w:vAlign w:val="center"/>
          </w:tcPr>
          <w:p w14:paraId="48AF8D17">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）电气设备及线管、线槽的外露可导电部分与保护导体（</w:t>
            </w:r>
            <w:r>
              <w:rPr>
                <w:rFonts w:eastAsiaTheme="minorEastAsia"/>
                <w:bCs/>
                <w:snapToGrid w:val="0"/>
                <w:color w:val="000000" w:themeColor="text1"/>
                <w:kern w:val="0"/>
                <w:szCs w:val="21"/>
                <w14:textFill>
                  <w14:solidFill>
                    <w14:schemeClr w14:val="tx1"/>
                  </w14:solidFill>
                </w14:textFill>
              </w:rPr>
              <w:t>PE</w:t>
            </w:r>
            <w:r>
              <w:rPr>
                <w:rFonts w:hAnsiTheme="minorEastAsia" w:eastAsiaTheme="minorEastAsia"/>
                <w:bCs/>
                <w:snapToGrid w:val="0"/>
                <w:color w:val="000000" w:themeColor="text1"/>
                <w:kern w:val="0"/>
                <w:szCs w:val="21"/>
                <w14:textFill>
                  <w14:solidFill>
                    <w14:schemeClr w14:val="tx1"/>
                  </w14:solidFill>
                </w14:textFill>
              </w:rPr>
              <w:t>，地线）可靠连接；</w:t>
            </w:r>
          </w:p>
          <w:p w14:paraId="7C1DA8F2">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2</w:t>
            </w:r>
            <w:r>
              <w:rPr>
                <w:rFonts w:hAnsiTheme="minorEastAsia" w:eastAsiaTheme="minorEastAsia"/>
                <w:bCs/>
                <w:snapToGrid w:val="0"/>
                <w:color w:val="000000" w:themeColor="text1"/>
                <w:kern w:val="0"/>
                <w:szCs w:val="21"/>
                <w14:textFill>
                  <w14:solidFill>
                    <w14:schemeClr w14:val="tx1"/>
                  </w14:solidFill>
                </w14:textFill>
              </w:rPr>
              <w:t>）含有电气安全装置的电路发生接地故障时，驱动主机立即停止运转。</w:t>
            </w:r>
          </w:p>
        </w:tc>
        <w:tc>
          <w:tcPr>
            <w:tcW w:w="2197" w:type="dxa"/>
            <w:tcMar>
              <w:top w:w="0" w:type="dxa"/>
              <w:left w:w="28" w:type="dxa"/>
              <w:bottom w:w="0" w:type="dxa"/>
              <w:right w:w="28" w:type="dxa"/>
            </w:tcMar>
            <w:vAlign w:val="center"/>
          </w:tcPr>
          <w:p w14:paraId="16D800ED">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）目测电气设备及线管、线槽的外露可导电部分与保护导体的连接情况，必要时测量验证；</w:t>
            </w:r>
          </w:p>
          <w:p w14:paraId="0B5C12E1">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2</w:t>
            </w:r>
            <w:r>
              <w:rPr>
                <w:rFonts w:hAnsiTheme="minorEastAsia" w:eastAsiaTheme="minorEastAsia"/>
                <w:bCs/>
                <w:snapToGrid w:val="0"/>
                <w:color w:val="000000" w:themeColor="text1"/>
                <w:kern w:val="0"/>
                <w:szCs w:val="21"/>
                <w14:textFill>
                  <w14:solidFill>
                    <w14:schemeClr w14:val="tx1"/>
                  </w14:solidFill>
                </w14:textFill>
              </w:rPr>
              <w:t>）模拟电气安全装置的电路发生接地故障时的状况，观察驱动主机是否立即停止运转。</w:t>
            </w:r>
          </w:p>
        </w:tc>
      </w:tr>
      <w:tr w14:paraId="5F1496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top w:w="0" w:type="dxa"/>
              <w:left w:w="28" w:type="dxa"/>
              <w:bottom w:w="0" w:type="dxa"/>
              <w:right w:w="28" w:type="dxa"/>
            </w:tcMar>
            <w:vAlign w:val="center"/>
          </w:tcPr>
          <w:p w14:paraId="0E2F76DD">
            <w:pPr>
              <w:adjustRightInd w:val="0"/>
              <w:snapToGrid w:val="0"/>
              <w:spacing w:line="300" w:lineRule="exact"/>
              <w:jc w:val="center"/>
              <w:rPr>
                <w:rFonts w:eastAsiaTheme="minorEastAsia"/>
                <w:bCs/>
                <w:snapToGrid w:val="0"/>
                <w:color w:val="000000" w:themeColor="text1"/>
                <w:kern w:val="0"/>
                <w:szCs w:val="21"/>
                <w14:textFill>
                  <w14:solidFill>
                    <w14:schemeClr w14:val="tx1"/>
                  </w14:solidFill>
                </w14:textFill>
              </w:rPr>
            </w:pPr>
          </w:p>
        </w:tc>
        <w:tc>
          <w:tcPr>
            <w:tcW w:w="625" w:type="dxa"/>
            <w:vMerge w:val="continue"/>
            <w:tcMar>
              <w:top w:w="0" w:type="dxa"/>
              <w:left w:w="28" w:type="dxa"/>
              <w:bottom w:w="0" w:type="dxa"/>
              <w:right w:w="28" w:type="dxa"/>
            </w:tcMar>
            <w:vAlign w:val="center"/>
          </w:tcPr>
          <w:p w14:paraId="4160E9BC">
            <w:pPr>
              <w:adjustRightInd w:val="0"/>
              <w:snapToGrid w:val="0"/>
              <w:spacing w:line="300" w:lineRule="exact"/>
              <w:jc w:val="center"/>
              <w:rPr>
                <w:rFonts w:eastAsiaTheme="minorEastAsia"/>
                <w:bCs/>
                <w:snapToGrid w:val="0"/>
                <w:color w:val="000000" w:themeColor="text1"/>
                <w:kern w:val="0"/>
                <w:szCs w:val="21"/>
                <w14:textFill>
                  <w14:solidFill>
                    <w14:schemeClr w14:val="tx1"/>
                  </w14:solidFill>
                </w14:textFill>
              </w:rPr>
            </w:pPr>
          </w:p>
        </w:tc>
        <w:tc>
          <w:tcPr>
            <w:tcW w:w="918" w:type="dxa"/>
            <w:tcMar>
              <w:top w:w="0" w:type="dxa"/>
              <w:left w:w="28" w:type="dxa"/>
              <w:bottom w:w="0" w:type="dxa"/>
              <w:right w:w="28" w:type="dxa"/>
            </w:tcMar>
            <w:vAlign w:val="center"/>
          </w:tcPr>
          <w:p w14:paraId="5859F8B8">
            <w:pPr>
              <w:adjustRightInd w:val="0"/>
              <w:snapToGrid w:val="0"/>
              <w:spacing w:line="28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*A2.2.1.3</w:t>
            </w:r>
          </w:p>
          <w:p w14:paraId="6FE7BA73">
            <w:pPr>
              <w:adjustRightInd w:val="0"/>
              <w:snapToGrid w:val="0"/>
              <w:spacing w:line="280" w:lineRule="exact"/>
              <w:jc w:val="center"/>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主开关</w:t>
            </w:r>
          </w:p>
        </w:tc>
        <w:tc>
          <w:tcPr>
            <w:tcW w:w="4690" w:type="dxa"/>
            <w:tcMar>
              <w:top w:w="0" w:type="dxa"/>
              <w:left w:w="28" w:type="dxa"/>
              <w:bottom w:w="0" w:type="dxa"/>
              <w:right w:w="28" w:type="dxa"/>
            </w:tcMar>
            <w:vAlign w:val="center"/>
          </w:tcPr>
          <w:p w14:paraId="5A98F81A">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）能够切断电动机、工作制动器和控制电路的电源，但是不能切断电源插座以及维护和检查所必需的照明电路的电源；</w:t>
            </w:r>
          </w:p>
          <w:p w14:paraId="7A371D0E">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2</w:t>
            </w:r>
            <w:r>
              <w:rPr>
                <w:rFonts w:hAnsiTheme="minorEastAsia" w:eastAsiaTheme="minorEastAsia"/>
                <w:bCs/>
                <w:snapToGrid w:val="0"/>
                <w:color w:val="000000" w:themeColor="text1"/>
                <w:kern w:val="0"/>
                <w:szCs w:val="21"/>
                <w14:textFill>
                  <w14:solidFill>
                    <w14:schemeClr w14:val="tx1"/>
                  </w14:solidFill>
                </w14:textFill>
              </w:rPr>
              <w:t>）在断开位置上能够被锁住或者使其处于</w:t>
            </w:r>
            <w:r>
              <w:rPr>
                <w:rFonts w:eastAsiaTheme="minorEastAsia"/>
                <w:bCs/>
                <w:snapToGrid w:val="0"/>
                <w:color w:val="000000" w:themeColor="text1"/>
                <w:kern w:val="0"/>
                <w:szCs w:val="21"/>
                <w14:textFill>
                  <w14:solidFill>
                    <w14:schemeClr w14:val="tx1"/>
                  </w14:solidFill>
                </w14:textFill>
              </w:rPr>
              <w:t>“</w:t>
            </w:r>
            <w:r>
              <w:rPr>
                <w:rFonts w:hAnsiTheme="minorEastAsia" w:eastAsiaTheme="minorEastAsia"/>
                <w:bCs/>
                <w:snapToGrid w:val="0"/>
                <w:color w:val="000000" w:themeColor="text1"/>
                <w:kern w:val="0"/>
                <w:szCs w:val="21"/>
                <w14:textFill>
                  <w14:solidFill>
                    <w14:schemeClr w14:val="tx1"/>
                  </w14:solidFill>
                </w14:textFill>
              </w:rPr>
              <w:t>隔离</w:t>
            </w:r>
            <w:r>
              <w:rPr>
                <w:rFonts w:eastAsiaTheme="minorEastAsia"/>
                <w:bCs/>
                <w:snapToGrid w:val="0"/>
                <w:color w:val="000000" w:themeColor="text1"/>
                <w:kern w:val="0"/>
                <w:szCs w:val="21"/>
                <w14:textFill>
                  <w14:solidFill>
                    <w14:schemeClr w14:val="tx1"/>
                  </w14:solidFill>
                </w14:textFill>
              </w:rPr>
              <w:t>”</w:t>
            </w:r>
            <w:r>
              <w:rPr>
                <w:rFonts w:hAnsiTheme="minorEastAsia" w:eastAsiaTheme="minorEastAsia"/>
                <w:bCs/>
                <w:snapToGrid w:val="0"/>
                <w:color w:val="000000" w:themeColor="text1"/>
                <w:kern w:val="0"/>
                <w:szCs w:val="21"/>
                <w14:textFill>
                  <w14:solidFill>
                    <w14:schemeClr w14:val="tx1"/>
                  </w14:solidFill>
                </w14:textFill>
              </w:rPr>
              <w:t>装置；</w:t>
            </w:r>
          </w:p>
          <w:p w14:paraId="15BFCA4C">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3</w:t>
            </w:r>
            <w:r>
              <w:rPr>
                <w:rFonts w:hAnsiTheme="minorEastAsia" w:eastAsiaTheme="minorEastAsia"/>
                <w:bCs/>
                <w:snapToGrid w:val="0"/>
                <w:color w:val="000000" w:themeColor="text1"/>
                <w:kern w:val="0"/>
                <w:szCs w:val="21"/>
                <w14:textFill>
                  <w14:solidFill>
                    <w14:schemeClr w14:val="tx1"/>
                  </w14:solidFill>
                </w14:textFill>
              </w:rPr>
              <w:t>）多台设备的主开关设置在同一个机器空间内时，各主开关的操作机构易于识别。</w:t>
            </w:r>
          </w:p>
        </w:tc>
        <w:tc>
          <w:tcPr>
            <w:tcW w:w="2197" w:type="dxa"/>
            <w:tcMar>
              <w:top w:w="0" w:type="dxa"/>
              <w:left w:w="28" w:type="dxa"/>
              <w:bottom w:w="0" w:type="dxa"/>
              <w:right w:w="28" w:type="dxa"/>
            </w:tcMar>
            <w:vAlign w:val="center"/>
          </w:tcPr>
          <w:p w14:paraId="2E0C19B1">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目测；断开主开关，检查插座、照明电路的电源是否被切断。</w:t>
            </w:r>
          </w:p>
        </w:tc>
      </w:tr>
      <w:tr w14:paraId="703C6D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top w:w="0" w:type="dxa"/>
              <w:left w:w="28" w:type="dxa"/>
              <w:bottom w:w="0" w:type="dxa"/>
              <w:right w:w="28" w:type="dxa"/>
            </w:tcMar>
            <w:vAlign w:val="center"/>
          </w:tcPr>
          <w:p w14:paraId="347CAB81">
            <w:pPr>
              <w:autoSpaceDE w:val="0"/>
              <w:autoSpaceDN w:val="0"/>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625" w:type="dxa"/>
            <w:vMerge w:val="continue"/>
            <w:tcMar>
              <w:top w:w="0" w:type="dxa"/>
              <w:left w:w="28" w:type="dxa"/>
              <w:bottom w:w="0" w:type="dxa"/>
              <w:right w:w="28" w:type="dxa"/>
            </w:tcMar>
            <w:vAlign w:val="center"/>
          </w:tcPr>
          <w:p w14:paraId="131C4998">
            <w:pPr>
              <w:autoSpaceDE w:val="0"/>
              <w:autoSpaceDN w:val="0"/>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top w:w="0" w:type="dxa"/>
              <w:left w:w="28" w:type="dxa"/>
              <w:bottom w:w="0" w:type="dxa"/>
              <w:right w:w="28" w:type="dxa"/>
            </w:tcMar>
            <w:vAlign w:val="center"/>
          </w:tcPr>
          <w:p w14:paraId="298741BD">
            <w:pPr>
              <w:adjustRightInd w:val="0"/>
              <w:snapToGrid w:val="0"/>
              <w:spacing w:line="28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*A2.2.1.4</w:t>
            </w:r>
          </w:p>
          <w:p w14:paraId="275E8799">
            <w:pPr>
              <w:adjustRightInd w:val="0"/>
              <w:snapToGrid w:val="0"/>
              <w:spacing w:line="280" w:lineRule="exact"/>
              <w:jc w:val="center"/>
              <w:rPr>
                <w:rFonts w:hAnsiTheme="minorEastAsia"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停止</w:t>
            </w:r>
          </w:p>
          <w:p w14:paraId="34BEFAB8">
            <w:pPr>
              <w:adjustRightInd w:val="0"/>
              <w:snapToGrid w:val="0"/>
              <w:spacing w:line="280" w:lineRule="exact"/>
              <w:jc w:val="center"/>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开关</w:t>
            </w:r>
          </w:p>
        </w:tc>
        <w:tc>
          <w:tcPr>
            <w:tcW w:w="4690" w:type="dxa"/>
            <w:tcMar>
              <w:top w:w="0" w:type="dxa"/>
              <w:left w:w="28" w:type="dxa"/>
              <w:bottom w:w="0" w:type="dxa"/>
              <w:right w:w="28" w:type="dxa"/>
            </w:tcMar>
            <w:vAlign w:val="center"/>
          </w:tcPr>
          <w:p w14:paraId="3005FF21">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检查驱动站和转向站是否均设有停止开关（已经设置了主开关的驱动站除外）。</w:t>
            </w:r>
          </w:p>
          <w:p w14:paraId="0472BF99">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驱动装置安装在梯级、踏板或者胶带的载客分支和返回分支之间或者设置在转向站外部的，检查驱动装置附件是否另设有停止开关。</w:t>
            </w:r>
          </w:p>
        </w:tc>
        <w:tc>
          <w:tcPr>
            <w:tcW w:w="2197" w:type="dxa"/>
            <w:tcMar>
              <w:top w:w="0" w:type="dxa"/>
              <w:left w:w="28" w:type="dxa"/>
              <w:bottom w:w="0" w:type="dxa"/>
              <w:right w:w="28" w:type="dxa"/>
            </w:tcMar>
            <w:vAlign w:val="center"/>
          </w:tcPr>
          <w:p w14:paraId="7144135B">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目测；操作试验。</w:t>
            </w:r>
          </w:p>
        </w:tc>
      </w:tr>
      <w:tr w14:paraId="2CCF98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top w:w="0" w:type="dxa"/>
              <w:left w:w="28" w:type="dxa"/>
              <w:bottom w:w="0" w:type="dxa"/>
              <w:right w:w="28" w:type="dxa"/>
            </w:tcMar>
            <w:vAlign w:val="center"/>
          </w:tcPr>
          <w:p w14:paraId="49443CED">
            <w:pPr>
              <w:autoSpaceDE w:val="0"/>
              <w:autoSpaceDN w:val="0"/>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625" w:type="dxa"/>
            <w:vMerge w:val="continue"/>
            <w:tcMar>
              <w:top w:w="0" w:type="dxa"/>
              <w:left w:w="28" w:type="dxa"/>
              <w:bottom w:w="0" w:type="dxa"/>
              <w:right w:w="28" w:type="dxa"/>
            </w:tcMar>
            <w:vAlign w:val="center"/>
          </w:tcPr>
          <w:p w14:paraId="67B299BA">
            <w:pPr>
              <w:autoSpaceDE w:val="0"/>
              <w:autoSpaceDN w:val="0"/>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top w:w="0" w:type="dxa"/>
              <w:left w:w="28" w:type="dxa"/>
              <w:bottom w:w="0" w:type="dxa"/>
              <w:right w:w="28" w:type="dxa"/>
            </w:tcMar>
            <w:vAlign w:val="center"/>
          </w:tcPr>
          <w:p w14:paraId="55263B15">
            <w:pPr>
              <w:adjustRightInd w:val="0"/>
              <w:snapToGrid w:val="0"/>
              <w:spacing w:line="280" w:lineRule="exact"/>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A2.2.1.5</w:t>
            </w:r>
            <w:r>
              <w:rPr>
                <w:rFonts w:hAnsiTheme="minorEastAsia" w:eastAsiaTheme="minorEastAsia"/>
                <w:bCs/>
                <w:snapToGrid w:val="0"/>
                <w:color w:val="000000" w:themeColor="text1"/>
                <w:kern w:val="0"/>
                <w:szCs w:val="21"/>
                <w14:textFill>
                  <w14:solidFill>
                    <w14:schemeClr w14:val="tx1"/>
                  </w14:solidFill>
                </w14:textFill>
              </w:rPr>
              <w:t>旋转部件防护措施</w:t>
            </w:r>
          </w:p>
        </w:tc>
        <w:tc>
          <w:tcPr>
            <w:tcW w:w="4690" w:type="dxa"/>
            <w:tcMar>
              <w:top w:w="0" w:type="dxa"/>
              <w:left w:w="28" w:type="dxa"/>
              <w:bottom w:w="0" w:type="dxa"/>
              <w:right w:w="28" w:type="dxa"/>
            </w:tcMar>
            <w:vAlign w:val="center"/>
          </w:tcPr>
          <w:p w14:paraId="159AEF11">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检查驱动主机的旋转部件、驱动站和转向站的梯级或者踏板转向部分是否设有防护装置和警示标志，以防止人员受到伤害。</w:t>
            </w:r>
          </w:p>
        </w:tc>
        <w:tc>
          <w:tcPr>
            <w:tcW w:w="2197" w:type="dxa"/>
            <w:tcMar>
              <w:top w:w="0" w:type="dxa"/>
              <w:left w:w="28" w:type="dxa"/>
              <w:bottom w:w="0" w:type="dxa"/>
              <w:right w:w="28" w:type="dxa"/>
            </w:tcMar>
            <w:vAlign w:val="center"/>
          </w:tcPr>
          <w:p w14:paraId="6C976894">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目测。</w:t>
            </w:r>
          </w:p>
        </w:tc>
      </w:tr>
      <w:tr w14:paraId="524E05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restart"/>
            <w:tcMar>
              <w:top w:w="0" w:type="dxa"/>
              <w:left w:w="28" w:type="dxa"/>
              <w:bottom w:w="0" w:type="dxa"/>
              <w:right w:w="28" w:type="dxa"/>
            </w:tcMar>
            <w:vAlign w:val="center"/>
          </w:tcPr>
          <w:p w14:paraId="78DA2FEF">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w:t>
            </w:r>
          </w:p>
          <w:p w14:paraId="1562E541">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实物检查</w:t>
            </w:r>
          </w:p>
        </w:tc>
        <w:tc>
          <w:tcPr>
            <w:tcW w:w="625" w:type="dxa"/>
            <w:vMerge w:val="restart"/>
            <w:tcMar>
              <w:top w:w="0" w:type="dxa"/>
              <w:left w:w="28" w:type="dxa"/>
              <w:bottom w:w="0" w:type="dxa"/>
              <w:right w:w="28" w:type="dxa"/>
            </w:tcMar>
            <w:vAlign w:val="center"/>
          </w:tcPr>
          <w:p w14:paraId="18E3DB82">
            <w:pPr>
              <w:adjustRightInd w:val="0"/>
              <w:snapToGrid w:val="0"/>
              <w:spacing w:line="30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A2.2.1</w:t>
            </w:r>
          </w:p>
          <w:p w14:paraId="14894260">
            <w:pPr>
              <w:adjustRightInd w:val="0"/>
              <w:snapToGrid w:val="0"/>
              <w:spacing w:line="300" w:lineRule="exact"/>
              <w:jc w:val="center"/>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机房、驱动站和转向站</w:t>
            </w:r>
          </w:p>
        </w:tc>
        <w:tc>
          <w:tcPr>
            <w:tcW w:w="918" w:type="dxa"/>
            <w:tcMar>
              <w:top w:w="0" w:type="dxa"/>
              <w:left w:w="28" w:type="dxa"/>
              <w:bottom w:w="0" w:type="dxa"/>
              <w:right w:w="28" w:type="dxa"/>
            </w:tcMar>
            <w:vAlign w:val="center"/>
          </w:tcPr>
          <w:p w14:paraId="167E824C">
            <w:pPr>
              <w:adjustRightInd w:val="0"/>
              <w:snapToGrid w:val="0"/>
              <w:spacing w:line="280" w:lineRule="exact"/>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A2.2.1.6</w:t>
            </w:r>
            <w:r>
              <w:rPr>
                <w:rFonts w:hAnsiTheme="minorEastAsia" w:eastAsiaTheme="minorEastAsia"/>
                <w:bCs/>
                <w:snapToGrid w:val="0"/>
                <w:color w:val="000000" w:themeColor="text1"/>
                <w:kern w:val="0"/>
                <w:szCs w:val="21"/>
                <w14:textFill>
                  <w14:solidFill>
                    <w14:schemeClr w14:val="tx1"/>
                  </w14:solidFill>
                </w14:textFill>
              </w:rPr>
              <w:t>工作制动器状态监测功能</w:t>
            </w:r>
          </w:p>
        </w:tc>
        <w:tc>
          <w:tcPr>
            <w:tcW w:w="4690" w:type="dxa"/>
            <w:tcMar>
              <w:top w:w="0" w:type="dxa"/>
              <w:left w:w="28" w:type="dxa"/>
              <w:bottom w:w="0" w:type="dxa"/>
              <w:right w:w="28" w:type="dxa"/>
            </w:tcMar>
            <w:vAlign w:val="center"/>
          </w:tcPr>
          <w:p w14:paraId="7233A1A0">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检查受检设备启动后而工作制动器没有松开时，电气安全装置是否能够使驱动主机立即停止运行；故障锁定功能是否保持有效。</w:t>
            </w:r>
          </w:p>
        </w:tc>
        <w:tc>
          <w:tcPr>
            <w:tcW w:w="2197" w:type="dxa"/>
            <w:tcMar>
              <w:top w:w="0" w:type="dxa"/>
              <w:left w:w="28" w:type="dxa"/>
              <w:bottom w:w="0" w:type="dxa"/>
              <w:right w:w="28" w:type="dxa"/>
            </w:tcMar>
            <w:vAlign w:val="center"/>
          </w:tcPr>
          <w:p w14:paraId="59F3F0D8">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通过模拟操作检查工作制动器状态监测功能（或者按照制造单位提供的方法进行试验）；检查故障锁定功能是否保持有效。</w:t>
            </w:r>
          </w:p>
        </w:tc>
      </w:tr>
      <w:tr w14:paraId="3BFC02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top w:w="0" w:type="dxa"/>
              <w:left w:w="28" w:type="dxa"/>
              <w:bottom w:w="0" w:type="dxa"/>
              <w:right w:w="28" w:type="dxa"/>
            </w:tcMar>
            <w:vAlign w:val="center"/>
          </w:tcPr>
          <w:p w14:paraId="39ADD8C1">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p>
        </w:tc>
        <w:tc>
          <w:tcPr>
            <w:tcW w:w="625" w:type="dxa"/>
            <w:vMerge w:val="continue"/>
            <w:tcMar>
              <w:top w:w="0" w:type="dxa"/>
              <w:left w:w="28" w:type="dxa"/>
              <w:bottom w:w="0" w:type="dxa"/>
              <w:right w:w="28" w:type="dxa"/>
            </w:tcMar>
            <w:vAlign w:val="center"/>
          </w:tcPr>
          <w:p w14:paraId="2C59490C">
            <w:pPr>
              <w:adjustRightInd w:val="0"/>
              <w:snapToGrid w:val="0"/>
              <w:spacing w:line="300" w:lineRule="exact"/>
              <w:jc w:val="center"/>
              <w:rPr>
                <w:rFonts w:eastAsiaTheme="minorEastAsia"/>
                <w:bCs/>
                <w:snapToGrid w:val="0"/>
                <w:color w:val="000000" w:themeColor="text1"/>
                <w:kern w:val="0"/>
                <w:szCs w:val="21"/>
                <w14:textFill>
                  <w14:solidFill>
                    <w14:schemeClr w14:val="tx1"/>
                  </w14:solidFill>
                </w14:textFill>
              </w:rPr>
            </w:pPr>
          </w:p>
        </w:tc>
        <w:tc>
          <w:tcPr>
            <w:tcW w:w="918" w:type="dxa"/>
            <w:tcMar>
              <w:top w:w="0" w:type="dxa"/>
              <w:left w:w="28" w:type="dxa"/>
              <w:bottom w:w="0" w:type="dxa"/>
              <w:right w:w="28" w:type="dxa"/>
            </w:tcMar>
            <w:vAlign w:val="center"/>
          </w:tcPr>
          <w:p w14:paraId="4D36C55B">
            <w:pPr>
              <w:adjustRightInd w:val="0"/>
              <w:snapToGrid w:val="0"/>
              <w:spacing w:line="280" w:lineRule="exact"/>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A2.2.1.7</w:t>
            </w:r>
            <w:r>
              <w:rPr>
                <w:rFonts w:hAnsiTheme="minorEastAsia" w:eastAsiaTheme="minorEastAsia"/>
                <w:bCs/>
                <w:snapToGrid w:val="0"/>
                <w:color w:val="000000" w:themeColor="text1"/>
                <w:kern w:val="0"/>
                <w:szCs w:val="21"/>
                <w14:textFill>
                  <w14:solidFill>
                    <w14:schemeClr w14:val="tx1"/>
                  </w14:solidFill>
                </w14:textFill>
              </w:rPr>
              <w:t>手动</w:t>
            </w:r>
          </w:p>
          <w:p w14:paraId="3EC9E10E">
            <w:pPr>
              <w:adjustRightInd w:val="0"/>
              <w:snapToGrid w:val="0"/>
              <w:spacing w:line="280" w:lineRule="exact"/>
              <w:jc w:val="center"/>
              <w:rPr>
                <w:rFonts w:hAnsiTheme="minorEastAsia"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盘车</w:t>
            </w:r>
          </w:p>
          <w:p w14:paraId="2A5E5C33">
            <w:pPr>
              <w:adjustRightInd w:val="0"/>
              <w:snapToGrid w:val="0"/>
              <w:spacing w:line="280" w:lineRule="exact"/>
              <w:jc w:val="center"/>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装置</w:t>
            </w:r>
          </w:p>
        </w:tc>
        <w:tc>
          <w:tcPr>
            <w:tcW w:w="4690" w:type="dxa"/>
            <w:tcMar>
              <w:top w:w="0" w:type="dxa"/>
              <w:left w:w="28" w:type="dxa"/>
              <w:bottom w:w="0" w:type="dxa"/>
              <w:right w:w="28" w:type="dxa"/>
            </w:tcMar>
            <w:vAlign w:val="center"/>
          </w:tcPr>
          <w:p w14:paraId="547E28BE">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设有手动盘车装置的，检查其是否符合以下要求：</w:t>
            </w:r>
          </w:p>
          <w:p w14:paraId="6BBE9546">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）盘车手轮是平滑和无辐条的，并且在其上或者附近清晰地标出操作说明和运行方向；</w:t>
            </w:r>
          </w:p>
          <w:p w14:paraId="56ACF852">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2</w:t>
            </w:r>
            <w:r>
              <w:rPr>
                <w:rFonts w:hAnsiTheme="minorEastAsia" w:eastAsiaTheme="minorEastAsia"/>
                <w:bCs/>
                <w:snapToGrid w:val="0"/>
                <w:color w:val="000000" w:themeColor="text1"/>
                <w:kern w:val="0"/>
                <w:szCs w:val="21"/>
                <w14:textFill>
                  <w14:solidFill>
                    <w14:schemeClr w14:val="tx1"/>
                  </w14:solidFill>
                </w14:textFill>
              </w:rPr>
              <w:t>）对于可拆卸式手动盘车装置，设有最迟在该装置连接到驱动主机时起作用的电气安全装置。</w:t>
            </w:r>
          </w:p>
        </w:tc>
        <w:tc>
          <w:tcPr>
            <w:tcW w:w="2197" w:type="dxa"/>
            <w:tcMar>
              <w:top w:w="0" w:type="dxa"/>
              <w:left w:w="28" w:type="dxa"/>
              <w:bottom w:w="0" w:type="dxa"/>
              <w:right w:w="28" w:type="dxa"/>
            </w:tcMar>
            <w:vAlign w:val="center"/>
          </w:tcPr>
          <w:p w14:paraId="2A35B168">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目测；操作试验。</w:t>
            </w:r>
          </w:p>
        </w:tc>
      </w:tr>
      <w:tr w14:paraId="76BA39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top w:w="0" w:type="dxa"/>
              <w:left w:w="28" w:type="dxa"/>
              <w:bottom w:w="0" w:type="dxa"/>
              <w:right w:w="28" w:type="dxa"/>
            </w:tcMar>
            <w:vAlign w:val="center"/>
          </w:tcPr>
          <w:p w14:paraId="6FF23D6C">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p>
        </w:tc>
        <w:tc>
          <w:tcPr>
            <w:tcW w:w="625" w:type="dxa"/>
            <w:vMerge w:val="continue"/>
            <w:tcMar>
              <w:top w:w="0" w:type="dxa"/>
              <w:left w:w="28" w:type="dxa"/>
              <w:bottom w:w="0" w:type="dxa"/>
              <w:right w:w="28" w:type="dxa"/>
            </w:tcMar>
            <w:vAlign w:val="center"/>
          </w:tcPr>
          <w:p w14:paraId="4CD6B209">
            <w:pPr>
              <w:adjustRightInd w:val="0"/>
              <w:snapToGrid w:val="0"/>
              <w:spacing w:line="300" w:lineRule="exact"/>
              <w:jc w:val="center"/>
              <w:rPr>
                <w:rFonts w:eastAsiaTheme="minorEastAsia"/>
                <w:bCs/>
                <w:snapToGrid w:val="0"/>
                <w:color w:val="000000" w:themeColor="text1"/>
                <w:kern w:val="0"/>
                <w:szCs w:val="21"/>
                <w14:textFill>
                  <w14:solidFill>
                    <w14:schemeClr w14:val="tx1"/>
                  </w14:solidFill>
                </w14:textFill>
              </w:rPr>
            </w:pPr>
          </w:p>
        </w:tc>
        <w:tc>
          <w:tcPr>
            <w:tcW w:w="918" w:type="dxa"/>
            <w:tcMar>
              <w:top w:w="0" w:type="dxa"/>
              <w:left w:w="28" w:type="dxa"/>
              <w:bottom w:w="0" w:type="dxa"/>
              <w:right w:w="28" w:type="dxa"/>
            </w:tcMar>
            <w:vAlign w:val="center"/>
          </w:tcPr>
          <w:p w14:paraId="6D1D54E8">
            <w:pPr>
              <w:adjustRightInd w:val="0"/>
              <w:snapToGrid w:val="0"/>
              <w:spacing w:line="28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*A2.2.1.8</w:t>
            </w:r>
          </w:p>
          <w:p w14:paraId="43384181">
            <w:pPr>
              <w:adjustRightInd w:val="0"/>
              <w:snapToGrid w:val="0"/>
              <w:spacing w:line="280" w:lineRule="exact"/>
              <w:jc w:val="center"/>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驱动链电气安全装置</w:t>
            </w:r>
          </w:p>
        </w:tc>
        <w:tc>
          <w:tcPr>
            <w:tcW w:w="4690" w:type="dxa"/>
            <w:tcMar>
              <w:top w:w="0" w:type="dxa"/>
              <w:left w:w="28" w:type="dxa"/>
              <w:bottom w:w="0" w:type="dxa"/>
              <w:right w:w="28" w:type="dxa"/>
            </w:tcMar>
            <w:vAlign w:val="center"/>
          </w:tcPr>
          <w:p w14:paraId="052ECED8">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检查当驱动主机驱动链过度松弛和断裂时，电气安全装置是否能够使受检设备自动停止运行，并且能够触发附加制动器动作（设有附加制动器时）</w:t>
            </w:r>
            <w:r>
              <w:rPr>
                <w:rFonts w:hint="eastAsia" w:hAnsiTheme="minorEastAsia" w:eastAsiaTheme="minorEastAsia"/>
                <w:bCs/>
                <w:snapToGrid w:val="0"/>
                <w:color w:val="000000" w:themeColor="text1"/>
                <w:kern w:val="0"/>
                <w:szCs w:val="21"/>
                <w14:textFill>
                  <w14:solidFill>
                    <w14:schemeClr w14:val="tx1"/>
                  </w14:solidFill>
                </w14:textFill>
              </w:rPr>
              <w:t>。</w:t>
            </w:r>
          </w:p>
        </w:tc>
        <w:tc>
          <w:tcPr>
            <w:tcW w:w="2197" w:type="dxa"/>
            <w:tcMar>
              <w:top w:w="0" w:type="dxa"/>
              <w:left w:w="28" w:type="dxa"/>
              <w:bottom w:w="0" w:type="dxa"/>
              <w:right w:w="28" w:type="dxa"/>
            </w:tcMar>
            <w:vAlign w:val="center"/>
          </w:tcPr>
          <w:p w14:paraId="1233A87F">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目测；通过模拟驱动主机驱动链过度松弛和断裂时的状况，检查电气安全装置的功能。</w:t>
            </w:r>
          </w:p>
        </w:tc>
      </w:tr>
      <w:tr w14:paraId="5409B7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top w:w="0" w:type="dxa"/>
              <w:left w:w="28" w:type="dxa"/>
              <w:bottom w:w="0" w:type="dxa"/>
              <w:right w:w="28" w:type="dxa"/>
            </w:tcMar>
            <w:vAlign w:val="center"/>
          </w:tcPr>
          <w:p w14:paraId="31EC044C">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625" w:type="dxa"/>
            <w:vMerge w:val="continue"/>
            <w:tcMar>
              <w:top w:w="0" w:type="dxa"/>
              <w:left w:w="28" w:type="dxa"/>
              <w:bottom w:w="0" w:type="dxa"/>
              <w:right w:w="28" w:type="dxa"/>
            </w:tcMar>
            <w:vAlign w:val="center"/>
          </w:tcPr>
          <w:p w14:paraId="33C23013">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top w:w="0" w:type="dxa"/>
              <w:left w:w="28" w:type="dxa"/>
              <w:bottom w:w="0" w:type="dxa"/>
              <w:right w:w="28" w:type="dxa"/>
            </w:tcMar>
            <w:vAlign w:val="center"/>
          </w:tcPr>
          <w:p w14:paraId="1479D072">
            <w:pPr>
              <w:adjustRightInd w:val="0"/>
              <w:snapToGrid w:val="0"/>
              <w:spacing w:line="28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*A2.2.1.9</w:t>
            </w:r>
          </w:p>
          <w:p w14:paraId="32705D2B">
            <w:pPr>
              <w:pStyle w:val="19"/>
              <w:snapToGrid w:val="0"/>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检修</w:t>
            </w:r>
          </w:p>
          <w:p w14:paraId="349096AF">
            <w:pPr>
              <w:pStyle w:val="19"/>
              <w:snapToGrid w:val="0"/>
              <w:spacing w:line="28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控制</w:t>
            </w:r>
          </w:p>
          <w:p w14:paraId="6B763ED9">
            <w:pPr>
              <w:pStyle w:val="19"/>
              <w:snapToGrid w:val="0"/>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装置</w:t>
            </w:r>
          </w:p>
        </w:tc>
        <w:tc>
          <w:tcPr>
            <w:tcW w:w="4690" w:type="dxa"/>
            <w:tcMar>
              <w:top w:w="0" w:type="dxa"/>
              <w:left w:w="28" w:type="dxa"/>
              <w:bottom w:w="0" w:type="dxa"/>
              <w:right w:w="28" w:type="dxa"/>
            </w:tcMar>
            <w:vAlign w:val="center"/>
          </w:tcPr>
          <w:p w14:paraId="09E491B1">
            <w:pPr>
              <w:pStyle w:val="19"/>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）在驱动站和转向站内至少提供一个用于便携式检修控制装置连接的检修插座，该插座的设置能够使检修控制装置到达受检设备的任何位置；</w:t>
            </w:r>
          </w:p>
          <w:p w14:paraId="4227F53A">
            <w:pPr>
              <w:pStyle w:val="19"/>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）检修控制装置上的停止开关功能有效；</w:t>
            </w:r>
          </w:p>
          <w:p w14:paraId="734E5FE4">
            <w:pPr>
              <w:pStyle w:val="19"/>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）检修控制装置上的运行方向标识清晰、正确；</w:t>
            </w:r>
          </w:p>
          <w:p w14:paraId="1061277B">
            <w:pPr>
              <w:pStyle w:val="19"/>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）操作检修控制装置时，其他所有启动开关均不起作用，电气安全装置</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本附加</w:t>
            </w:r>
            <w:r>
              <w:rPr>
                <w:rFonts w:eastAsiaTheme="minorEastAsia"/>
                <w:snapToGrid w:val="0"/>
                <w:color w:val="000000" w:themeColor="text1"/>
                <w:sz w:val="21"/>
                <w:szCs w:val="21"/>
                <w14:textFill>
                  <w14:solidFill>
                    <w14:schemeClr w14:val="tx1"/>
                  </w14:solidFill>
                </w14:textFill>
              </w:rPr>
              <w:t>A2.2.1.6</w:t>
            </w:r>
            <w:r>
              <w:rPr>
                <w:rFonts w:hAnsiTheme="minorEastAsia" w:eastAsiaTheme="minorEastAsia"/>
                <w:snapToGrid w:val="0"/>
                <w:color w:val="000000" w:themeColor="text1"/>
                <w:sz w:val="21"/>
                <w:szCs w:val="21"/>
                <w14:textFill>
                  <w14:solidFill>
                    <w14:schemeClr w14:val="tx1"/>
                  </w14:solidFill>
                </w14:textFill>
              </w:rPr>
              <w:t>条、</w:t>
            </w:r>
            <w:r>
              <w:rPr>
                <w:rFonts w:eastAsiaTheme="minorEastAsia"/>
                <w:snapToGrid w:val="0"/>
                <w:color w:val="000000" w:themeColor="text1"/>
                <w:sz w:val="21"/>
                <w:szCs w:val="21"/>
                <w14:textFill>
                  <w14:solidFill>
                    <w14:schemeClr w14:val="tx1"/>
                  </w14:solidFill>
                </w14:textFill>
              </w:rPr>
              <w:t>A2.2.2.6</w:t>
            </w:r>
            <w:r>
              <w:rPr>
                <w:rFonts w:hAnsiTheme="minorEastAsia" w:eastAsiaTheme="minorEastAsia"/>
                <w:snapToGrid w:val="0"/>
                <w:color w:val="000000" w:themeColor="text1"/>
                <w:sz w:val="21"/>
                <w:szCs w:val="21"/>
                <w14:textFill>
                  <w14:solidFill>
                    <w14:schemeClr w14:val="tx1"/>
                  </w14:solidFill>
                </w14:textFill>
              </w:rPr>
              <w:t>条第（</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）项、</w:t>
            </w:r>
            <w:r>
              <w:rPr>
                <w:rFonts w:eastAsiaTheme="minorEastAsia"/>
                <w:snapToGrid w:val="0"/>
                <w:color w:val="000000" w:themeColor="text1"/>
                <w:sz w:val="21"/>
                <w:szCs w:val="21"/>
                <w14:textFill>
                  <w14:solidFill>
                    <w14:schemeClr w14:val="tx1"/>
                  </w14:solidFill>
                </w14:textFill>
              </w:rPr>
              <w:t>A2.2.2.7</w:t>
            </w:r>
            <w:r>
              <w:rPr>
                <w:rFonts w:hAnsiTheme="minorEastAsia" w:eastAsiaTheme="minorEastAsia"/>
                <w:snapToGrid w:val="0"/>
                <w:color w:val="000000" w:themeColor="text1"/>
                <w:sz w:val="21"/>
                <w:szCs w:val="21"/>
                <w14:textFill>
                  <w14:solidFill>
                    <w14:schemeClr w14:val="tx1"/>
                  </w14:solidFill>
                </w14:textFill>
              </w:rPr>
              <w:t>条第（</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）项、</w:t>
            </w:r>
            <w:r>
              <w:rPr>
                <w:rFonts w:eastAsiaTheme="minorEastAsia"/>
                <w:snapToGrid w:val="0"/>
                <w:color w:val="000000" w:themeColor="text1"/>
                <w:sz w:val="21"/>
                <w:szCs w:val="21"/>
                <w14:textFill>
                  <w14:solidFill>
                    <w14:schemeClr w14:val="tx1"/>
                  </w14:solidFill>
                </w14:textFill>
              </w:rPr>
              <w:t>A2.2.3.2</w:t>
            </w:r>
            <w:r>
              <w:rPr>
                <w:rFonts w:hAnsiTheme="minorEastAsia" w:eastAsiaTheme="minorEastAsia"/>
                <w:snapToGrid w:val="0"/>
                <w:color w:val="000000" w:themeColor="text1"/>
                <w:sz w:val="21"/>
                <w:szCs w:val="21"/>
                <w14:textFill>
                  <w14:solidFill>
                    <w14:schemeClr w14:val="tx1"/>
                  </w14:solidFill>
                </w14:textFill>
              </w:rPr>
              <w:t>条、</w:t>
            </w:r>
            <w:r>
              <w:rPr>
                <w:rFonts w:eastAsiaTheme="minorEastAsia"/>
                <w:snapToGrid w:val="0"/>
                <w:color w:val="000000" w:themeColor="text1"/>
                <w:sz w:val="21"/>
                <w:szCs w:val="21"/>
                <w14:textFill>
                  <w14:solidFill>
                    <w14:schemeClr w14:val="tx1"/>
                  </w14:solidFill>
                </w14:textFill>
              </w:rPr>
              <w:t>A2.2.4.2</w:t>
            </w:r>
            <w:r>
              <w:rPr>
                <w:rFonts w:hAnsiTheme="minorEastAsia" w:eastAsiaTheme="minorEastAsia"/>
                <w:snapToGrid w:val="0"/>
                <w:color w:val="000000" w:themeColor="text1"/>
                <w:sz w:val="21"/>
                <w:szCs w:val="21"/>
                <w14:textFill>
                  <w14:solidFill>
                    <w14:schemeClr w14:val="tx1"/>
                  </w14:solidFill>
                </w14:textFill>
              </w:rPr>
              <w:t>条、</w:t>
            </w:r>
            <w:r>
              <w:rPr>
                <w:rFonts w:eastAsiaTheme="minorEastAsia"/>
                <w:snapToGrid w:val="0"/>
                <w:color w:val="000000" w:themeColor="text1"/>
                <w:sz w:val="21"/>
                <w:szCs w:val="21"/>
                <w14:textFill>
                  <w14:solidFill>
                    <w14:schemeClr w14:val="tx1"/>
                  </w14:solidFill>
                </w14:textFill>
              </w:rPr>
              <w:t>A2.2.4.3</w:t>
            </w:r>
            <w:r>
              <w:rPr>
                <w:rFonts w:hAnsiTheme="minorEastAsia" w:eastAsiaTheme="minorEastAsia"/>
                <w:snapToGrid w:val="0"/>
                <w:color w:val="000000" w:themeColor="text1"/>
                <w:sz w:val="21"/>
                <w:szCs w:val="21"/>
                <w14:textFill>
                  <w14:solidFill>
                    <w14:schemeClr w14:val="tx1"/>
                  </w14:solidFill>
                </w14:textFill>
              </w:rPr>
              <w:t>条所述可以除外</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有效；</w:t>
            </w:r>
          </w:p>
          <w:p w14:paraId="0EEE1D44">
            <w:pPr>
              <w:pStyle w:val="19"/>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5</w:t>
            </w:r>
            <w:r>
              <w:rPr>
                <w:rFonts w:hAnsiTheme="minorEastAsia" w:eastAsiaTheme="minorEastAsia"/>
                <w:snapToGrid w:val="0"/>
                <w:color w:val="000000" w:themeColor="text1"/>
                <w:sz w:val="21"/>
                <w:szCs w:val="21"/>
                <w14:textFill>
                  <w14:solidFill>
                    <w14:schemeClr w14:val="tx1"/>
                  </w14:solidFill>
                </w14:textFill>
              </w:rPr>
              <w:t>）当连接一个以上的检修控制装置时，所有检修控制装置均不起作用。对于允许按照</w:t>
            </w:r>
            <w:r>
              <w:rPr>
                <w:rFonts w:hint="eastAsia" w:eastAsiaTheme="minorEastAsia"/>
                <w:snapToGrid w:val="0"/>
                <w:color w:val="000000" w:themeColor="text1"/>
                <w:sz w:val="21"/>
                <w:szCs w:val="21"/>
                <w14:textFill>
                  <w14:solidFill>
                    <w14:schemeClr w14:val="tx1"/>
                  </w14:solidFill>
                </w14:textFill>
              </w:rPr>
              <w:t xml:space="preserve">GB </w:t>
            </w:r>
            <w:r>
              <w:rPr>
                <w:rFonts w:eastAsiaTheme="minorEastAsia"/>
                <w:snapToGrid w:val="0"/>
                <w:color w:val="000000" w:themeColor="text1"/>
                <w:sz w:val="21"/>
                <w:szCs w:val="21"/>
                <w14:textFill>
                  <w14:solidFill>
                    <w14:schemeClr w14:val="tx1"/>
                  </w14:solidFill>
                </w14:textFill>
              </w:rPr>
              <w:t>16899—1997</w:t>
            </w:r>
            <w:r>
              <w:rPr>
                <w:rFonts w:hAnsiTheme="minorEastAsia" w:eastAsiaTheme="minorEastAsia"/>
                <w:snapToGrid w:val="0"/>
                <w:color w:val="000000" w:themeColor="text1"/>
                <w:sz w:val="21"/>
                <w:szCs w:val="21"/>
                <w14:textFill>
                  <w14:solidFill>
                    <w14:schemeClr w14:val="tx1"/>
                  </w14:solidFill>
                </w14:textFill>
              </w:rPr>
              <w:t>《自动扶梯和自动人行道的制造与安装安全规范》及更早期标准生产的受检设备，检查其是否符合本条（</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）项以及以下要求：操作检修控制装置时，其他所有启动开关均不起作用，安全开关和安全电路仍起作用；当连接多个检修控制装置时，或者均不起作用，或者需要同时启动才能起作用。</w:t>
            </w:r>
          </w:p>
        </w:tc>
        <w:tc>
          <w:tcPr>
            <w:tcW w:w="2197" w:type="dxa"/>
            <w:tcMar>
              <w:top w:w="0" w:type="dxa"/>
              <w:left w:w="28" w:type="dxa"/>
              <w:bottom w:w="0" w:type="dxa"/>
              <w:right w:w="28" w:type="dxa"/>
            </w:tcMar>
            <w:vAlign w:val="center"/>
          </w:tcPr>
          <w:p w14:paraId="1F56A54E">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目测检查；手动试验。</w:t>
            </w:r>
          </w:p>
        </w:tc>
      </w:tr>
      <w:tr w14:paraId="3BCF8C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33694709">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625" w:type="dxa"/>
            <w:vMerge w:val="restart"/>
            <w:tcMar>
              <w:left w:w="28" w:type="dxa"/>
              <w:right w:w="28" w:type="dxa"/>
            </w:tcMar>
            <w:vAlign w:val="center"/>
          </w:tcPr>
          <w:p w14:paraId="139FC138">
            <w:pPr>
              <w:adjustRightInd w:val="0"/>
              <w:snapToGrid w:val="0"/>
              <w:spacing w:line="30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A2.2.2</w:t>
            </w:r>
          </w:p>
          <w:p w14:paraId="2A10D33A">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相邻区域</w:t>
            </w:r>
          </w:p>
        </w:tc>
        <w:tc>
          <w:tcPr>
            <w:tcW w:w="918" w:type="dxa"/>
            <w:tcMar>
              <w:left w:w="28" w:type="dxa"/>
              <w:right w:w="28" w:type="dxa"/>
            </w:tcMar>
            <w:vAlign w:val="center"/>
          </w:tcPr>
          <w:p w14:paraId="2541BD30">
            <w:pPr>
              <w:pStyle w:val="19"/>
              <w:snapToGrid w:val="0"/>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A2.2.2.1</w:t>
            </w:r>
          </w:p>
          <w:p w14:paraId="7229B60E">
            <w:pPr>
              <w:pStyle w:val="19"/>
              <w:snapToGrid w:val="0"/>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梳齿与踏面相交线处的照度</w:t>
            </w:r>
          </w:p>
        </w:tc>
        <w:tc>
          <w:tcPr>
            <w:tcW w:w="4690" w:type="dxa"/>
            <w:tcMar>
              <w:left w:w="28" w:type="dxa"/>
              <w:right w:w="28" w:type="dxa"/>
            </w:tcMar>
            <w:vAlign w:val="center"/>
          </w:tcPr>
          <w:p w14:paraId="655A62E0">
            <w:pPr>
              <w:pStyle w:val="19"/>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测量在楼层板平面的梳齿与踏面相交线位置的照度是否至少为</w:t>
            </w:r>
            <w:r>
              <w:rPr>
                <w:rFonts w:eastAsiaTheme="minorEastAsia"/>
                <w:snapToGrid w:val="0"/>
                <w:color w:val="000000" w:themeColor="text1"/>
                <w:sz w:val="21"/>
                <w:szCs w:val="21"/>
                <w14:textFill>
                  <w14:solidFill>
                    <w14:schemeClr w14:val="tx1"/>
                  </w14:solidFill>
                </w14:textFill>
              </w:rPr>
              <w:t>50lx</w:t>
            </w:r>
            <w:r>
              <w:rPr>
                <w:rFonts w:hAnsiTheme="minorEastAsia" w:eastAsiaTheme="minorEastAsia"/>
                <w:snapToGrid w:val="0"/>
                <w:color w:val="000000" w:themeColor="text1"/>
                <w:sz w:val="21"/>
                <w:szCs w:val="21"/>
                <w14:textFill>
                  <w14:solidFill>
                    <w14:schemeClr w14:val="tx1"/>
                  </w14:solidFill>
                </w14:textFill>
              </w:rPr>
              <w:t>。</w:t>
            </w:r>
          </w:p>
        </w:tc>
        <w:tc>
          <w:tcPr>
            <w:tcW w:w="2197" w:type="dxa"/>
            <w:tcMar>
              <w:left w:w="28" w:type="dxa"/>
              <w:right w:w="28" w:type="dxa"/>
            </w:tcMar>
            <w:vAlign w:val="center"/>
          </w:tcPr>
          <w:p w14:paraId="731C47AA">
            <w:pPr>
              <w:pStyle w:val="19"/>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在出、入口分别测量在楼层板平面的梳齿与踏面相交线位置的照度是否至少为</w:t>
            </w:r>
            <w:r>
              <w:rPr>
                <w:rFonts w:eastAsiaTheme="minorEastAsia"/>
                <w:snapToGrid w:val="0"/>
                <w:color w:val="000000" w:themeColor="text1"/>
                <w:sz w:val="21"/>
                <w:szCs w:val="21"/>
                <w14:textFill>
                  <w14:solidFill>
                    <w14:schemeClr w14:val="tx1"/>
                  </w14:solidFill>
                </w14:textFill>
              </w:rPr>
              <w:t>50lx</w:t>
            </w:r>
            <w:r>
              <w:rPr>
                <w:rFonts w:hAnsiTheme="minorEastAsia" w:eastAsiaTheme="minorEastAsia"/>
                <w:snapToGrid w:val="0"/>
                <w:color w:val="000000" w:themeColor="text1"/>
                <w:sz w:val="21"/>
                <w:szCs w:val="21"/>
                <w14:textFill>
                  <w14:solidFill>
                    <w14:schemeClr w14:val="tx1"/>
                  </w14:solidFill>
                </w14:textFill>
              </w:rPr>
              <w:t>。</w:t>
            </w:r>
          </w:p>
        </w:tc>
      </w:tr>
      <w:tr w14:paraId="29C7CF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37E77336">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625" w:type="dxa"/>
            <w:vMerge w:val="continue"/>
            <w:tcMar>
              <w:left w:w="28" w:type="dxa"/>
              <w:right w:w="28" w:type="dxa"/>
            </w:tcMar>
            <w:vAlign w:val="center"/>
          </w:tcPr>
          <w:p w14:paraId="4FEA9F5A">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5F294191">
            <w:pPr>
              <w:pStyle w:val="19"/>
              <w:snapToGrid w:val="0"/>
              <w:spacing w:line="280" w:lineRule="exact"/>
              <w:jc w:val="center"/>
              <w:textAlignment w:val="auto"/>
              <w:rPr>
                <w:rFonts w:hint="eastAsia" w:hAnsiTheme="minorEastAsia"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A2.2.2.2</w:t>
            </w:r>
            <w:r>
              <w:rPr>
                <w:rFonts w:hAnsiTheme="minorEastAsia" w:eastAsiaTheme="minorEastAsia"/>
                <w:snapToGrid w:val="0"/>
                <w:color w:val="000000" w:themeColor="text1"/>
                <w:sz w:val="21"/>
                <w:szCs w:val="21"/>
                <w14:textFill>
                  <w14:solidFill>
                    <w14:schemeClr w14:val="tx1"/>
                  </w14:solidFill>
                </w14:textFill>
              </w:rPr>
              <w:t>出入口</w:t>
            </w:r>
          </w:p>
          <w:p w14:paraId="72AC2FDC">
            <w:pPr>
              <w:pStyle w:val="19"/>
              <w:snapToGrid w:val="0"/>
              <w:spacing w:line="28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区域</w:t>
            </w:r>
          </w:p>
        </w:tc>
        <w:tc>
          <w:tcPr>
            <w:tcW w:w="4690" w:type="dxa"/>
            <w:tcMar>
              <w:left w:w="28" w:type="dxa"/>
              <w:right w:w="28" w:type="dxa"/>
            </w:tcMar>
            <w:vAlign w:val="center"/>
          </w:tcPr>
          <w:p w14:paraId="56869F22">
            <w:pPr>
              <w:pStyle w:val="19"/>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检查出入口区域是否充分畅通，其宽度至少等于扶手带外缘距离加上每边各</w:t>
            </w:r>
            <w:r>
              <w:rPr>
                <w:rFonts w:eastAsiaTheme="minorEastAsia"/>
                <w:snapToGrid w:val="0"/>
                <w:color w:val="000000" w:themeColor="text1"/>
                <w:sz w:val="21"/>
                <w:szCs w:val="21"/>
                <w14:textFill>
                  <w14:solidFill>
                    <w14:schemeClr w14:val="tx1"/>
                  </w14:solidFill>
                </w14:textFill>
              </w:rPr>
              <w:t>80mm</w:t>
            </w:r>
            <w:r>
              <w:rPr>
                <w:rFonts w:hAnsiTheme="minorEastAsia" w:eastAsiaTheme="minorEastAsia"/>
                <w:snapToGrid w:val="0"/>
                <w:color w:val="000000" w:themeColor="text1"/>
                <w:sz w:val="21"/>
                <w:szCs w:val="21"/>
                <w14:textFill>
                  <w14:solidFill>
                    <w14:schemeClr w14:val="tx1"/>
                  </w14:solidFill>
                </w14:textFill>
              </w:rPr>
              <w:t>，纵深尺寸从扶手装置端部算起至少为</w:t>
            </w:r>
            <w:r>
              <w:rPr>
                <w:rFonts w:eastAsiaTheme="minorEastAsia"/>
                <w:snapToGrid w:val="0"/>
                <w:color w:val="000000" w:themeColor="text1"/>
                <w:sz w:val="21"/>
                <w:szCs w:val="21"/>
                <w14:textFill>
                  <w14:solidFill>
                    <w14:schemeClr w14:val="tx1"/>
                  </w14:solidFill>
                </w14:textFill>
              </w:rPr>
              <w:t>2.50m</w:t>
            </w:r>
            <w:r>
              <w:rPr>
                <w:rFonts w:hAnsiTheme="minorEastAsia" w:eastAsiaTheme="minorEastAsia"/>
                <w:snapToGrid w:val="0"/>
                <w:color w:val="000000" w:themeColor="text1"/>
                <w:sz w:val="21"/>
                <w:szCs w:val="21"/>
                <w14:textFill>
                  <w14:solidFill>
                    <w14:schemeClr w14:val="tx1"/>
                  </w14:solidFill>
                </w14:textFill>
              </w:rPr>
              <w:t>；该区域的宽度不小于扶手带外缘之间距离的</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倍加上每边各</w:t>
            </w:r>
            <w:r>
              <w:rPr>
                <w:rFonts w:eastAsiaTheme="minorEastAsia"/>
                <w:snapToGrid w:val="0"/>
                <w:color w:val="000000" w:themeColor="text1"/>
                <w:sz w:val="21"/>
                <w:szCs w:val="21"/>
                <w14:textFill>
                  <w14:solidFill>
                    <w14:schemeClr w14:val="tx1"/>
                  </w14:solidFill>
                </w14:textFill>
              </w:rPr>
              <w:t>80mm</w:t>
            </w:r>
            <w:r>
              <w:rPr>
                <w:rFonts w:hAnsiTheme="minorEastAsia" w:eastAsiaTheme="minorEastAsia"/>
                <w:snapToGrid w:val="0"/>
                <w:color w:val="000000" w:themeColor="text1"/>
                <w:sz w:val="21"/>
                <w:szCs w:val="21"/>
                <w14:textFill>
                  <w14:solidFill>
                    <w14:schemeClr w14:val="tx1"/>
                  </w14:solidFill>
                </w14:textFill>
              </w:rPr>
              <w:t>时，其纵深尺寸允许减少至</w:t>
            </w:r>
            <w:r>
              <w:rPr>
                <w:rFonts w:eastAsiaTheme="minorEastAsia"/>
                <w:snapToGrid w:val="0"/>
                <w:color w:val="000000" w:themeColor="text1"/>
                <w:sz w:val="21"/>
                <w:szCs w:val="21"/>
                <w14:textFill>
                  <w14:solidFill>
                    <w14:schemeClr w14:val="tx1"/>
                  </w14:solidFill>
                </w14:textFill>
              </w:rPr>
              <w:t>2.00m</w:t>
            </w:r>
            <w:r>
              <w:rPr>
                <w:rFonts w:hAnsiTheme="minorEastAsia" w:eastAsiaTheme="minorEastAsia"/>
                <w:snapToGrid w:val="0"/>
                <w:color w:val="000000" w:themeColor="text1"/>
                <w:sz w:val="21"/>
                <w:szCs w:val="21"/>
                <w14:textFill>
                  <w14:solidFill>
                    <w14:schemeClr w14:val="tx1"/>
                  </w14:solidFill>
                </w14:textFill>
              </w:rPr>
              <w:t>。</w:t>
            </w:r>
          </w:p>
        </w:tc>
        <w:tc>
          <w:tcPr>
            <w:tcW w:w="2197" w:type="dxa"/>
            <w:tcMar>
              <w:left w:w="28" w:type="dxa"/>
              <w:right w:w="28" w:type="dxa"/>
            </w:tcMar>
            <w:vAlign w:val="center"/>
          </w:tcPr>
          <w:p w14:paraId="07D4A441">
            <w:pPr>
              <w:pStyle w:val="19"/>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目测；必要时测量。</w:t>
            </w:r>
          </w:p>
        </w:tc>
      </w:tr>
      <w:tr w14:paraId="5077B8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restart"/>
            <w:tcMar>
              <w:left w:w="28" w:type="dxa"/>
              <w:right w:w="28" w:type="dxa"/>
            </w:tcMar>
            <w:vAlign w:val="center"/>
          </w:tcPr>
          <w:p w14:paraId="49688B59">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w:t>
            </w:r>
          </w:p>
          <w:p w14:paraId="6A9A5E6C">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实物检查</w:t>
            </w:r>
          </w:p>
        </w:tc>
        <w:tc>
          <w:tcPr>
            <w:tcW w:w="625" w:type="dxa"/>
            <w:vMerge w:val="restart"/>
            <w:tcMar>
              <w:left w:w="28" w:type="dxa"/>
              <w:right w:w="28" w:type="dxa"/>
            </w:tcMar>
            <w:vAlign w:val="center"/>
          </w:tcPr>
          <w:p w14:paraId="7E9C330D">
            <w:pPr>
              <w:adjustRightInd w:val="0"/>
              <w:snapToGrid w:val="0"/>
              <w:spacing w:line="30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A2.2.2</w:t>
            </w:r>
          </w:p>
          <w:p w14:paraId="5722947D">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相邻</w:t>
            </w:r>
          </w:p>
          <w:p w14:paraId="66BAFE06">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区域</w:t>
            </w:r>
          </w:p>
        </w:tc>
        <w:tc>
          <w:tcPr>
            <w:tcW w:w="918" w:type="dxa"/>
            <w:tcMar>
              <w:left w:w="28" w:type="dxa"/>
              <w:right w:w="28" w:type="dxa"/>
            </w:tcMar>
            <w:vAlign w:val="center"/>
          </w:tcPr>
          <w:p w14:paraId="273DFCCC">
            <w:pPr>
              <w:adjustRightInd w:val="0"/>
              <w:snapToGrid w:val="0"/>
              <w:spacing w:line="30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*A2.2.2.3</w:t>
            </w:r>
          </w:p>
          <w:p w14:paraId="46F2858A">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出入口防护</w:t>
            </w:r>
          </w:p>
          <w:p w14:paraId="550FD2FA">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装置</w:t>
            </w:r>
          </w:p>
        </w:tc>
        <w:tc>
          <w:tcPr>
            <w:tcW w:w="4690" w:type="dxa"/>
            <w:tcMar>
              <w:left w:w="28" w:type="dxa"/>
              <w:right w:w="28" w:type="dxa"/>
            </w:tcMar>
            <w:vAlign w:val="center"/>
          </w:tcPr>
          <w:p w14:paraId="57479075">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对于人员在出入口可能接触到扶手带的外缘并且引起危险的区域，检查是否设置能够阻止乘客进入该区域的永久固定的防护装置，或者符合以下要求的永久固定的防护装置</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对于未按照《电梯监督检测和定期检测规则》对出入口防护装置进行过监督检测的，允许只满足下列第（</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）项要求</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w:t>
            </w:r>
          </w:p>
          <w:p w14:paraId="7BC2F6BF">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）至少高出扶手带</w:t>
            </w:r>
            <w:r>
              <w:rPr>
                <w:rFonts w:eastAsiaTheme="minorEastAsia"/>
                <w:snapToGrid w:val="0"/>
                <w:color w:val="000000" w:themeColor="text1"/>
                <w:sz w:val="21"/>
                <w:szCs w:val="21"/>
                <w14:textFill>
                  <w14:solidFill>
                    <w14:schemeClr w14:val="tx1"/>
                  </w14:solidFill>
                </w14:textFill>
              </w:rPr>
              <w:t>100mm</w:t>
            </w:r>
            <w:r>
              <w:rPr>
                <w:rFonts w:hAnsiTheme="minorEastAsia" w:eastAsiaTheme="minorEastAsia"/>
                <w:snapToGrid w:val="0"/>
                <w:color w:val="000000" w:themeColor="text1"/>
                <w:sz w:val="21"/>
                <w:szCs w:val="21"/>
                <w14:textFill>
                  <w14:solidFill>
                    <w14:schemeClr w14:val="tx1"/>
                  </w14:solidFill>
                </w14:textFill>
              </w:rPr>
              <w:t>，位于扶手带外缘</w:t>
            </w:r>
            <w:r>
              <w:rPr>
                <w:rFonts w:eastAsiaTheme="minorEastAsia"/>
                <w:snapToGrid w:val="0"/>
                <w:color w:val="000000" w:themeColor="text1"/>
                <w:sz w:val="21"/>
                <w:szCs w:val="21"/>
                <w14:textFill>
                  <w14:solidFill>
                    <w14:schemeClr w14:val="tx1"/>
                  </w14:solidFill>
                </w14:textFill>
              </w:rPr>
              <w:t>80mm</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120mm</w:t>
            </w:r>
            <w:r>
              <w:rPr>
                <w:rFonts w:hAnsiTheme="minorEastAsia" w:eastAsiaTheme="minorEastAsia"/>
                <w:snapToGrid w:val="0"/>
                <w:color w:val="000000" w:themeColor="text1"/>
                <w:sz w:val="21"/>
                <w:szCs w:val="21"/>
                <w14:textFill>
                  <w14:solidFill>
                    <w14:schemeClr w14:val="tx1"/>
                  </w14:solidFill>
                </w14:textFill>
              </w:rPr>
              <w:t>处；</w:t>
            </w:r>
          </w:p>
          <w:p w14:paraId="403C0C9C">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）从楼层板起高度不小于</w:t>
            </w:r>
            <w:r>
              <w:rPr>
                <w:rFonts w:eastAsiaTheme="minorEastAsia"/>
                <w:snapToGrid w:val="0"/>
                <w:color w:val="000000" w:themeColor="text1"/>
                <w:sz w:val="21"/>
                <w:szCs w:val="21"/>
                <w14:textFill>
                  <w14:solidFill>
                    <w14:schemeClr w14:val="tx1"/>
                  </w14:solidFill>
                </w14:textFill>
              </w:rPr>
              <w:t>1100mm</w:t>
            </w:r>
            <w:r>
              <w:rPr>
                <w:rFonts w:hAnsiTheme="minorEastAsia" w:eastAsiaTheme="minorEastAsia"/>
                <w:snapToGrid w:val="0"/>
                <w:color w:val="000000" w:themeColor="text1"/>
                <w:sz w:val="21"/>
                <w:szCs w:val="21"/>
                <w14:textFill>
                  <w14:solidFill>
                    <w14:schemeClr w14:val="tx1"/>
                  </w14:solidFill>
                </w14:textFill>
              </w:rPr>
              <w:t>。</w:t>
            </w:r>
          </w:p>
        </w:tc>
        <w:tc>
          <w:tcPr>
            <w:tcW w:w="2197" w:type="dxa"/>
            <w:tcMar>
              <w:left w:w="28" w:type="dxa"/>
              <w:right w:w="28" w:type="dxa"/>
            </w:tcMar>
            <w:vAlign w:val="center"/>
          </w:tcPr>
          <w:p w14:paraId="649F25EB">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目测；测量相关数据。</w:t>
            </w:r>
          </w:p>
        </w:tc>
      </w:tr>
      <w:tr w14:paraId="0E71BE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3F5AA7A8">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p>
        </w:tc>
        <w:tc>
          <w:tcPr>
            <w:tcW w:w="625" w:type="dxa"/>
            <w:vMerge w:val="continue"/>
            <w:tcMar>
              <w:left w:w="28" w:type="dxa"/>
              <w:right w:w="28" w:type="dxa"/>
            </w:tcMar>
            <w:vAlign w:val="center"/>
          </w:tcPr>
          <w:p w14:paraId="1C34F8BD">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4DD21F23">
            <w:pPr>
              <w:adjustRightInd w:val="0"/>
              <w:snapToGrid w:val="0"/>
              <w:spacing w:line="30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*A2.2.2.4</w:t>
            </w:r>
          </w:p>
          <w:p w14:paraId="5E49938F">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防护</w:t>
            </w:r>
          </w:p>
          <w:p w14:paraId="430156B2">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挡板</w:t>
            </w:r>
          </w:p>
        </w:tc>
        <w:tc>
          <w:tcPr>
            <w:tcW w:w="4690" w:type="dxa"/>
            <w:tcMar>
              <w:left w:w="28" w:type="dxa"/>
              <w:right w:w="28" w:type="dxa"/>
            </w:tcMar>
            <w:vAlign w:val="center"/>
          </w:tcPr>
          <w:p w14:paraId="7A7BC42C">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建筑障碍物会引起人员伤害的，检查是否采取了预防措施。受检设备与楼板有交叉或者受检设备之间有交叉的，检查交叉处是否设有垂直固定、无锐利边缘的封闭防护挡板，其位于扶手带上方的防护高度不小于</w:t>
            </w:r>
            <w:r>
              <w:rPr>
                <w:rFonts w:eastAsiaTheme="minorEastAsia"/>
                <w:snapToGrid w:val="0"/>
                <w:color w:val="000000" w:themeColor="text1"/>
                <w:sz w:val="21"/>
                <w:szCs w:val="21"/>
                <w14:textFill>
                  <w14:solidFill>
                    <w14:schemeClr w14:val="tx1"/>
                  </w14:solidFill>
                </w14:textFill>
              </w:rPr>
              <w:t>0.30m</w:t>
            </w:r>
            <w:r>
              <w:rPr>
                <w:rFonts w:hAnsiTheme="minorEastAsia" w:eastAsiaTheme="minorEastAsia"/>
                <w:snapToGrid w:val="0"/>
                <w:color w:val="000000" w:themeColor="text1"/>
                <w:sz w:val="21"/>
                <w:szCs w:val="21"/>
                <w14:textFill>
                  <w14:solidFill>
                    <w14:schemeClr w14:val="tx1"/>
                  </w14:solidFill>
                </w14:textFill>
              </w:rPr>
              <w:t>，并且延伸至扶手带外缘以下至少</w:t>
            </w:r>
            <w:r>
              <w:rPr>
                <w:rFonts w:eastAsiaTheme="minorEastAsia"/>
                <w:snapToGrid w:val="0"/>
                <w:color w:val="000000" w:themeColor="text1"/>
                <w:sz w:val="21"/>
                <w:szCs w:val="21"/>
                <w14:textFill>
                  <w14:solidFill>
                    <w14:schemeClr w14:val="tx1"/>
                  </w14:solidFill>
                </w14:textFill>
              </w:rPr>
              <w:t>25mm</w:t>
            </w:r>
            <w:r>
              <w:rPr>
                <w:rFonts w:hAnsiTheme="minorEastAsia" w:eastAsiaTheme="minorEastAsia"/>
                <w:snapToGrid w:val="0"/>
                <w:color w:val="000000" w:themeColor="text1"/>
                <w:sz w:val="21"/>
                <w:szCs w:val="21"/>
                <w14:textFill>
                  <w14:solidFill>
                    <w14:schemeClr w14:val="tx1"/>
                  </w14:solidFill>
                </w14:textFill>
              </w:rPr>
              <w:t>。扶手带外缘与任何障碍物之间的距离不小于</w:t>
            </w:r>
            <w:r>
              <w:rPr>
                <w:rFonts w:eastAsiaTheme="minorEastAsia"/>
                <w:snapToGrid w:val="0"/>
                <w:color w:val="000000" w:themeColor="text1"/>
                <w:sz w:val="21"/>
                <w:szCs w:val="21"/>
                <w14:textFill>
                  <w14:solidFill>
                    <w14:schemeClr w14:val="tx1"/>
                  </w14:solidFill>
                </w14:textFill>
              </w:rPr>
              <w:t>400mm</w:t>
            </w:r>
            <w:r>
              <w:rPr>
                <w:rFonts w:hAnsiTheme="minorEastAsia" w:eastAsiaTheme="minorEastAsia"/>
                <w:snapToGrid w:val="0"/>
                <w:color w:val="000000" w:themeColor="text1"/>
                <w:sz w:val="21"/>
                <w:szCs w:val="21"/>
                <w14:textFill>
                  <w14:solidFill>
                    <w14:schemeClr w14:val="tx1"/>
                  </w14:solidFill>
                </w14:textFill>
              </w:rPr>
              <w:t>的，可以不设置防护挡板。</w:t>
            </w:r>
          </w:p>
        </w:tc>
        <w:tc>
          <w:tcPr>
            <w:tcW w:w="2197" w:type="dxa"/>
            <w:tcMar>
              <w:left w:w="28" w:type="dxa"/>
              <w:right w:w="28" w:type="dxa"/>
            </w:tcMar>
            <w:vAlign w:val="center"/>
          </w:tcPr>
          <w:p w14:paraId="480722EF">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目测；测量相关数据。</w:t>
            </w:r>
          </w:p>
        </w:tc>
      </w:tr>
      <w:tr w14:paraId="260A86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52E764F5">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p>
        </w:tc>
        <w:tc>
          <w:tcPr>
            <w:tcW w:w="625" w:type="dxa"/>
            <w:vMerge w:val="continue"/>
            <w:tcMar>
              <w:left w:w="28" w:type="dxa"/>
              <w:right w:w="28" w:type="dxa"/>
            </w:tcMar>
            <w:vAlign w:val="center"/>
          </w:tcPr>
          <w:p w14:paraId="0E18B467">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1ECDADEF">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A2.2.2.5</w:t>
            </w:r>
          </w:p>
          <w:p w14:paraId="48E2EDCC">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扶手</w:t>
            </w:r>
          </w:p>
          <w:p w14:paraId="534A9CE9">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带距离</w:t>
            </w:r>
          </w:p>
        </w:tc>
        <w:tc>
          <w:tcPr>
            <w:tcW w:w="4690" w:type="dxa"/>
            <w:tcMar>
              <w:left w:w="28" w:type="dxa"/>
              <w:right w:w="28" w:type="dxa"/>
            </w:tcMar>
            <w:vAlign w:val="center"/>
          </w:tcPr>
          <w:p w14:paraId="5D3111C8">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）墙壁或者障碍物与扶手带外缘之间的水平距离不小于</w:t>
            </w:r>
            <w:r>
              <w:rPr>
                <w:rFonts w:eastAsiaTheme="minorEastAsia"/>
                <w:snapToGrid w:val="0"/>
                <w:color w:val="000000" w:themeColor="text1"/>
                <w:sz w:val="21"/>
                <w:szCs w:val="21"/>
                <w14:textFill>
                  <w14:solidFill>
                    <w14:schemeClr w14:val="tx1"/>
                  </w14:solidFill>
                </w14:textFill>
              </w:rPr>
              <w:t>80mm</w:t>
            </w:r>
            <w:r>
              <w:rPr>
                <w:rFonts w:hAnsiTheme="minorEastAsia" w:eastAsiaTheme="minorEastAsia"/>
                <w:snapToGrid w:val="0"/>
                <w:color w:val="000000" w:themeColor="text1"/>
                <w:sz w:val="21"/>
                <w:szCs w:val="21"/>
                <w14:textFill>
                  <w14:solidFill>
                    <w14:schemeClr w14:val="tx1"/>
                  </w14:solidFill>
                </w14:textFill>
              </w:rPr>
              <w:t>，与扶手带下缘的垂直距离不小于</w:t>
            </w:r>
            <w:r>
              <w:rPr>
                <w:rFonts w:eastAsiaTheme="minorEastAsia"/>
                <w:snapToGrid w:val="0"/>
                <w:color w:val="000000" w:themeColor="text1"/>
                <w:sz w:val="21"/>
                <w:szCs w:val="21"/>
                <w14:textFill>
                  <w14:solidFill>
                    <w14:schemeClr w14:val="tx1"/>
                  </w14:solidFill>
                </w14:textFill>
              </w:rPr>
              <w:t>25mm</w:t>
            </w:r>
            <w:r>
              <w:rPr>
                <w:rFonts w:hAnsiTheme="minorEastAsia" w:eastAsiaTheme="minorEastAsia"/>
                <w:snapToGrid w:val="0"/>
                <w:color w:val="000000" w:themeColor="text1"/>
                <w:sz w:val="21"/>
                <w:szCs w:val="21"/>
                <w14:textFill>
                  <w14:solidFill>
                    <w14:schemeClr w14:val="tx1"/>
                  </w14:solidFill>
                </w14:textFill>
              </w:rPr>
              <w:t>；</w:t>
            </w:r>
          </w:p>
          <w:p w14:paraId="795FA930">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）对于邻近布置的受检设备，其扶手带外缘之间的距离不小于</w:t>
            </w:r>
            <w:r>
              <w:rPr>
                <w:rFonts w:eastAsiaTheme="minorEastAsia"/>
                <w:snapToGrid w:val="0"/>
                <w:color w:val="000000" w:themeColor="text1"/>
                <w:sz w:val="21"/>
                <w:szCs w:val="21"/>
                <w14:textFill>
                  <w14:solidFill>
                    <w14:schemeClr w14:val="tx1"/>
                  </w14:solidFill>
                </w14:textFill>
              </w:rPr>
              <w:t>160mm</w:t>
            </w:r>
            <w:r>
              <w:rPr>
                <w:rFonts w:hAnsiTheme="minorEastAsia" w:eastAsiaTheme="minorEastAsia"/>
                <w:snapToGrid w:val="0"/>
                <w:color w:val="000000" w:themeColor="text1"/>
                <w:sz w:val="21"/>
                <w:szCs w:val="21"/>
                <w14:textFill>
                  <w14:solidFill>
                    <w14:schemeClr w14:val="tx1"/>
                  </w14:solidFill>
                </w14:textFill>
              </w:rPr>
              <w:t>。</w:t>
            </w:r>
          </w:p>
        </w:tc>
        <w:tc>
          <w:tcPr>
            <w:tcW w:w="2197" w:type="dxa"/>
            <w:tcMar>
              <w:left w:w="28" w:type="dxa"/>
              <w:right w:w="28" w:type="dxa"/>
            </w:tcMar>
            <w:vAlign w:val="center"/>
          </w:tcPr>
          <w:p w14:paraId="2F3AD0DE">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p>
          <w:p w14:paraId="7FCE2059">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目测；必要时测量。</w:t>
            </w:r>
          </w:p>
        </w:tc>
      </w:tr>
      <w:tr w14:paraId="25D2C4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3E7B79BF">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625" w:type="dxa"/>
            <w:vMerge w:val="continue"/>
            <w:tcMar>
              <w:left w:w="28" w:type="dxa"/>
              <w:right w:w="28" w:type="dxa"/>
            </w:tcMar>
            <w:vAlign w:val="center"/>
          </w:tcPr>
          <w:p w14:paraId="5F454EDA">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1C831886">
            <w:pPr>
              <w:adjustRightInd w:val="0"/>
              <w:snapToGrid w:val="0"/>
              <w:spacing w:line="30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*A2.2.2.6</w:t>
            </w:r>
          </w:p>
          <w:p w14:paraId="5DFBF0A8">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连续</w:t>
            </w:r>
          </w:p>
          <w:p w14:paraId="3A922196">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输送</w:t>
            </w:r>
          </w:p>
          <w:p w14:paraId="49FA95D6">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保护</w:t>
            </w:r>
          </w:p>
        </w:tc>
        <w:tc>
          <w:tcPr>
            <w:tcW w:w="4690" w:type="dxa"/>
            <w:tcMar>
              <w:left w:w="28" w:type="dxa"/>
              <w:right w:w="28" w:type="dxa"/>
            </w:tcMar>
            <w:vAlign w:val="center"/>
          </w:tcPr>
          <w:p w14:paraId="4A25182B">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对于多台连续并且无中间出口的受检设备，检查其是否符合以下要求：</w:t>
            </w:r>
          </w:p>
          <w:p w14:paraId="57B1B403">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）具有相同的输送能力并且同方向运行；</w:t>
            </w:r>
          </w:p>
          <w:p w14:paraId="434BB3D0">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）在梯级、踏板或者胶带到达梳齿与踏面相交线之前</w:t>
            </w:r>
            <w:r>
              <w:rPr>
                <w:rFonts w:eastAsiaTheme="minorEastAsia"/>
                <w:snapToGrid w:val="0"/>
                <w:color w:val="000000" w:themeColor="text1"/>
                <w:sz w:val="21"/>
                <w:szCs w:val="21"/>
                <w14:textFill>
                  <w14:solidFill>
                    <w14:schemeClr w14:val="tx1"/>
                  </w14:solidFill>
                </w14:textFill>
              </w:rPr>
              <w:t>2.00m</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3.00m</w:t>
            </w:r>
            <w:r>
              <w:rPr>
                <w:rFonts w:hAnsiTheme="minorEastAsia" w:eastAsiaTheme="minorEastAsia"/>
                <w:snapToGrid w:val="0"/>
                <w:color w:val="000000" w:themeColor="text1"/>
                <w:sz w:val="21"/>
                <w:szCs w:val="21"/>
                <w14:textFill>
                  <w14:solidFill>
                    <w14:schemeClr w14:val="tx1"/>
                  </w14:solidFill>
                </w14:textFill>
              </w:rPr>
              <w:t>处，设有乘客易于触及的附加紧急停止开关；</w:t>
            </w:r>
          </w:p>
          <w:p w14:paraId="03BDD5C9">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）当其中一台受检设备停止运行时，其他继续运行可能造成人流拥堵的设备也停止运行。</w:t>
            </w:r>
          </w:p>
        </w:tc>
        <w:tc>
          <w:tcPr>
            <w:tcW w:w="2197" w:type="dxa"/>
            <w:tcMar>
              <w:left w:w="28" w:type="dxa"/>
              <w:right w:w="28" w:type="dxa"/>
            </w:tcMar>
            <w:vAlign w:val="center"/>
          </w:tcPr>
          <w:p w14:paraId="110BF1A7">
            <w:pPr>
              <w:pStyle w:val="19"/>
              <w:snapToGrid w:val="0"/>
              <w:spacing w:line="300" w:lineRule="exact"/>
              <w:jc w:val="both"/>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hint="eastAsia" w:hAnsiTheme="minorEastAsia"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）目测检查多台连续并且无中间出口的受检设备的输送能力和运行方向是否相同；</w:t>
            </w:r>
          </w:p>
          <w:p w14:paraId="648A42E5">
            <w:pPr>
              <w:pStyle w:val="19"/>
              <w:snapToGrid w:val="0"/>
              <w:spacing w:line="300" w:lineRule="exact"/>
              <w:jc w:val="both"/>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hint="eastAsia" w:hAnsiTheme="minorEastAsia"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w:t>
            </w:r>
            <w:r>
              <w:rPr>
                <w:rFonts w:hint="eastAsia" w:hAnsiTheme="minorEastAsia" w:eastAsiaTheme="minorEastAsia"/>
                <w:snapToGrid w:val="0"/>
                <w:color w:val="000000" w:themeColor="text1"/>
                <w:sz w:val="21"/>
                <w:szCs w:val="21"/>
                <w14:textFill>
                  <w14:solidFill>
                    <w14:schemeClr w14:val="tx1"/>
                  </w14:solidFill>
                </w14:textFill>
              </w:rPr>
              <w:t>0</w:t>
            </w:r>
            <w:r>
              <w:rPr>
                <w:rFonts w:hAnsiTheme="minorEastAsia" w:eastAsiaTheme="minorEastAsia"/>
                <w:snapToGrid w:val="0"/>
                <w:color w:val="000000" w:themeColor="text1"/>
                <w:sz w:val="21"/>
                <w:szCs w:val="21"/>
                <w14:textFill>
                  <w14:solidFill>
                    <w14:schemeClr w14:val="tx1"/>
                  </w14:solidFill>
                </w14:textFill>
              </w:rPr>
              <w:t>目测附加紧急停止开关的位置，必要时测量手动试验附加紧急停止开关功能；</w:t>
            </w:r>
          </w:p>
          <w:p w14:paraId="32EC041B">
            <w:pPr>
              <w:pStyle w:val="19"/>
              <w:snapToGrid w:val="0"/>
              <w:spacing w:line="300" w:lineRule="exact"/>
              <w:jc w:val="both"/>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hint="eastAsia" w:hAnsiTheme="minorEastAsia"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）停止其中一台受检设备，其他继续运行可能造成人流拥堵的设备也应停止运行。</w:t>
            </w:r>
          </w:p>
        </w:tc>
      </w:tr>
      <w:tr w14:paraId="13E838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08C889C1">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625" w:type="dxa"/>
            <w:vMerge w:val="continue"/>
            <w:tcMar>
              <w:left w:w="28" w:type="dxa"/>
              <w:right w:w="28" w:type="dxa"/>
            </w:tcMar>
            <w:vAlign w:val="center"/>
          </w:tcPr>
          <w:p w14:paraId="7176DCB5">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918" w:type="dxa"/>
            <w:tcMar>
              <w:left w:w="28" w:type="dxa"/>
              <w:right w:w="28" w:type="dxa"/>
            </w:tcMar>
            <w:vAlign w:val="center"/>
          </w:tcPr>
          <w:p w14:paraId="225F6778">
            <w:pPr>
              <w:adjustRightInd w:val="0"/>
              <w:snapToGrid w:val="0"/>
              <w:spacing w:line="30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*A2.2.2.7</w:t>
            </w:r>
          </w:p>
          <w:p w14:paraId="4CD5ADA4">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检修</w:t>
            </w:r>
          </w:p>
          <w:p w14:paraId="3617E7D3">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盖板与楼层板</w:t>
            </w:r>
          </w:p>
        </w:tc>
        <w:tc>
          <w:tcPr>
            <w:tcW w:w="4690" w:type="dxa"/>
            <w:tcMar>
              <w:left w:w="28" w:type="dxa"/>
              <w:right w:w="28" w:type="dxa"/>
            </w:tcMar>
            <w:vAlign w:val="center"/>
          </w:tcPr>
          <w:p w14:paraId="51B8FDED">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）检修盖板与楼层板的安装和固定能够防止因人员踩踏或者自重作用而导致倾覆、翻转</w:t>
            </w:r>
            <w:r>
              <w:rPr>
                <w:rFonts w:hint="eastAsia" w:hAnsiTheme="minorEastAsia" w:eastAsiaTheme="minorEastAsia"/>
                <w:snapToGrid w:val="0"/>
                <w:color w:val="000000" w:themeColor="text1"/>
                <w:sz w:val="21"/>
                <w:szCs w:val="21"/>
                <w14:textFill>
                  <w14:solidFill>
                    <w14:schemeClr w14:val="tx1"/>
                  </w14:solidFill>
                </w14:textFill>
              </w:rPr>
              <w:t>；</w:t>
            </w:r>
          </w:p>
          <w:p w14:paraId="4AE669ED">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）监测检修盖板和楼层板的电气安全装置能够在移除任何一块检修盖板或者楼层板时动作，机械结构能够保证只能先移除某块检修盖板或者楼层板的，至少在移除该块检修盖板或者楼层板时电气安全装置动作。</w:t>
            </w:r>
          </w:p>
        </w:tc>
        <w:tc>
          <w:tcPr>
            <w:tcW w:w="2197" w:type="dxa"/>
            <w:tcMar>
              <w:left w:w="28" w:type="dxa"/>
              <w:right w:w="28" w:type="dxa"/>
            </w:tcMar>
            <w:vAlign w:val="center"/>
          </w:tcPr>
          <w:p w14:paraId="161463AB">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目测；开启检修盖板、楼层板，观察驱动主机能否启动。</w:t>
            </w:r>
          </w:p>
        </w:tc>
      </w:tr>
      <w:tr w14:paraId="38C80A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2C5E69EE">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625" w:type="dxa"/>
            <w:vMerge w:val="continue"/>
            <w:tcMar>
              <w:left w:w="28" w:type="dxa"/>
              <w:right w:w="28" w:type="dxa"/>
            </w:tcMar>
            <w:vAlign w:val="center"/>
          </w:tcPr>
          <w:p w14:paraId="36D8B232">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443D6F35">
            <w:pPr>
              <w:adjustRightInd w:val="0"/>
              <w:snapToGrid w:val="0"/>
              <w:spacing w:line="30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*A2.2.2.8</w:t>
            </w:r>
          </w:p>
          <w:p w14:paraId="386832AA">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梳齿与梳齿板</w:t>
            </w:r>
          </w:p>
        </w:tc>
        <w:tc>
          <w:tcPr>
            <w:tcW w:w="4690" w:type="dxa"/>
            <w:tcMar>
              <w:left w:w="28" w:type="dxa"/>
              <w:right w:w="28" w:type="dxa"/>
            </w:tcMar>
            <w:vAlign w:val="center"/>
          </w:tcPr>
          <w:p w14:paraId="34027E83">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）梳齿板梳齿完好，无缺损。</w:t>
            </w:r>
          </w:p>
          <w:p w14:paraId="6F6ED883">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）梳齿板梳齿与踏面齿槽的啮合深度至少为</w:t>
            </w:r>
            <w:r>
              <w:rPr>
                <w:rFonts w:eastAsiaTheme="minorEastAsia"/>
                <w:snapToGrid w:val="0"/>
                <w:color w:val="000000" w:themeColor="text1"/>
                <w:sz w:val="21"/>
                <w:szCs w:val="21"/>
                <w14:textFill>
                  <w14:solidFill>
                    <w14:schemeClr w14:val="tx1"/>
                  </w14:solidFill>
                </w14:textFill>
              </w:rPr>
              <w:t>4mm</w:t>
            </w:r>
            <w:r>
              <w:rPr>
                <w:rFonts w:hAnsiTheme="minorEastAsia" w:eastAsiaTheme="minorEastAsia"/>
                <w:snapToGrid w:val="0"/>
                <w:color w:val="000000" w:themeColor="text1"/>
                <w:sz w:val="21"/>
                <w:szCs w:val="21"/>
                <w14:textFill>
                  <w14:solidFill>
                    <w14:schemeClr w14:val="tx1"/>
                  </w14:solidFill>
                </w14:textFill>
              </w:rPr>
              <w:t>，梳齿槽根部与踏面的间隙不超过</w:t>
            </w:r>
            <w:r>
              <w:rPr>
                <w:rFonts w:eastAsiaTheme="minorEastAsia"/>
                <w:snapToGrid w:val="0"/>
                <w:color w:val="000000" w:themeColor="text1"/>
                <w:sz w:val="21"/>
                <w:szCs w:val="21"/>
                <w14:textFill>
                  <w14:solidFill>
                    <w14:schemeClr w14:val="tx1"/>
                  </w14:solidFill>
                </w14:textFill>
              </w:rPr>
              <w:t>4mm</w:t>
            </w:r>
            <w:r>
              <w:rPr>
                <w:rFonts w:hAnsiTheme="minorEastAsia" w:eastAsiaTheme="minorEastAsia"/>
                <w:snapToGrid w:val="0"/>
                <w:color w:val="000000" w:themeColor="text1"/>
                <w:sz w:val="21"/>
                <w:szCs w:val="21"/>
                <w14:textFill>
                  <w14:solidFill>
                    <w14:schemeClr w14:val="tx1"/>
                  </w14:solidFill>
                </w14:textFill>
              </w:rPr>
              <w:t>；</w:t>
            </w:r>
          </w:p>
          <w:p w14:paraId="2CBD97E2">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）梯级或者踏板进入梳齿板处有异物卡入，并且梳齿与梯级或者踏板不能正常啮合而导致梳齿板与梯级或者踏板发生碰撞时，受检设备自动停止运行。</w:t>
            </w:r>
          </w:p>
        </w:tc>
        <w:tc>
          <w:tcPr>
            <w:tcW w:w="2197" w:type="dxa"/>
            <w:tcMar>
              <w:left w:w="28" w:type="dxa"/>
              <w:right w:w="28" w:type="dxa"/>
            </w:tcMar>
            <w:vAlign w:val="center"/>
          </w:tcPr>
          <w:p w14:paraId="35F5955C">
            <w:pPr>
              <w:pStyle w:val="19"/>
              <w:tabs>
                <w:tab w:val="left" w:pos="641"/>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w:t>
            </w:r>
          </w:p>
          <w:p w14:paraId="1CEE1339">
            <w:pPr>
              <w:pStyle w:val="19"/>
              <w:tabs>
                <w:tab w:val="left" w:pos="641"/>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）目测，测量相关数据</w:t>
            </w:r>
            <w:r>
              <w:rPr>
                <w:rFonts w:hint="eastAsia" w:hAnsiTheme="minorEastAsia" w:eastAsiaTheme="minorEastAsia"/>
                <w:snapToGrid w:val="0"/>
                <w:color w:val="000000" w:themeColor="text1"/>
                <w:sz w:val="21"/>
                <w:szCs w:val="21"/>
                <w14:textFill>
                  <w14:solidFill>
                    <w14:schemeClr w14:val="tx1"/>
                  </w14:solidFill>
                </w14:textFill>
              </w:rPr>
              <w:t>；</w:t>
            </w:r>
          </w:p>
          <w:p w14:paraId="3B4B7224">
            <w:pPr>
              <w:pStyle w:val="19"/>
              <w:tabs>
                <w:tab w:val="left" w:pos="641"/>
                <w:tab w:val="left" w:pos="7700"/>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（3）拆下中间部位的梳齿板，用工具使梳齿板向后或者向上移动（或者前后、上下），检查安全保护装置是否动作，受检设备能否启动。</w:t>
            </w:r>
          </w:p>
        </w:tc>
      </w:tr>
      <w:tr w14:paraId="617BF5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restart"/>
            <w:tcMar>
              <w:left w:w="28" w:type="dxa"/>
              <w:right w:w="28" w:type="dxa"/>
            </w:tcMar>
            <w:vAlign w:val="center"/>
          </w:tcPr>
          <w:p w14:paraId="6C13E26D">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w:t>
            </w:r>
          </w:p>
          <w:p w14:paraId="38B00E2A">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实物检查</w:t>
            </w:r>
          </w:p>
        </w:tc>
        <w:tc>
          <w:tcPr>
            <w:tcW w:w="625" w:type="dxa"/>
            <w:vMerge w:val="restart"/>
            <w:tcMar>
              <w:left w:w="28" w:type="dxa"/>
              <w:right w:w="28" w:type="dxa"/>
            </w:tcMar>
            <w:vAlign w:val="center"/>
          </w:tcPr>
          <w:p w14:paraId="53945AD9">
            <w:pPr>
              <w:adjustRightInd w:val="0"/>
              <w:snapToGrid w:val="0"/>
              <w:spacing w:line="30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A2.2.2</w:t>
            </w:r>
          </w:p>
          <w:p w14:paraId="2961A681">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相邻</w:t>
            </w:r>
          </w:p>
          <w:p w14:paraId="5318E21F">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r>
              <w:rPr>
                <w:rFonts w:hAnsiTheme="minorEastAsia" w:eastAsiaTheme="minorEastAsia"/>
                <w:snapToGrid w:val="0"/>
                <w:color w:val="000000" w:themeColor="text1"/>
                <w:kern w:val="0"/>
                <w:szCs w:val="21"/>
                <w14:textFill>
                  <w14:solidFill>
                    <w14:schemeClr w14:val="tx1"/>
                  </w14:solidFill>
                </w14:textFill>
              </w:rPr>
              <w:t>区域</w:t>
            </w:r>
          </w:p>
        </w:tc>
        <w:tc>
          <w:tcPr>
            <w:tcW w:w="918" w:type="dxa"/>
            <w:tcMar>
              <w:left w:w="28" w:type="dxa"/>
              <w:right w:w="28" w:type="dxa"/>
            </w:tcMar>
            <w:vAlign w:val="center"/>
          </w:tcPr>
          <w:p w14:paraId="7CFFA6E9">
            <w:pPr>
              <w:pStyle w:val="19"/>
              <w:snapToGrid w:val="0"/>
              <w:spacing w:line="30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*A2.2.2.9</w:t>
            </w:r>
          </w:p>
          <w:p w14:paraId="69B2DADC">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紧急</w:t>
            </w:r>
          </w:p>
          <w:p w14:paraId="7E110506">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停止</w:t>
            </w:r>
          </w:p>
          <w:p w14:paraId="3E7B68E9">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开关</w:t>
            </w:r>
          </w:p>
        </w:tc>
        <w:tc>
          <w:tcPr>
            <w:tcW w:w="4690" w:type="dxa"/>
            <w:tcMar>
              <w:left w:w="28" w:type="dxa"/>
              <w:right w:w="28" w:type="dxa"/>
            </w:tcMar>
            <w:vAlign w:val="center"/>
          </w:tcPr>
          <w:p w14:paraId="56874752">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）受检设备出入口附近设有紧急停止开关，必要时增设附加紧急停止开关，以使紧急停止开关之间的距离不超过</w:t>
            </w:r>
            <w:r>
              <w:rPr>
                <w:rFonts w:eastAsiaTheme="minorEastAsia"/>
                <w:snapToGrid w:val="0"/>
                <w:color w:val="000000" w:themeColor="text1"/>
                <w:sz w:val="21"/>
                <w:szCs w:val="21"/>
                <w14:textFill>
                  <w14:solidFill>
                    <w14:schemeClr w14:val="tx1"/>
                  </w14:solidFill>
                </w14:textFill>
              </w:rPr>
              <w:t>30m</w:t>
            </w:r>
            <w:r>
              <w:rPr>
                <w:rFonts w:hAnsiTheme="minorEastAsia" w:eastAsiaTheme="minorEastAsia"/>
                <w:snapToGrid w:val="0"/>
                <w:color w:val="000000" w:themeColor="text1"/>
                <w:sz w:val="21"/>
                <w:szCs w:val="21"/>
                <w14:textFill>
                  <w14:solidFill>
                    <w14:schemeClr w14:val="tx1"/>
                  </w14:solidFill>
                </w14:textFill>
              </w:rPr>
              <w:t>（适用于自动扶梯）或者</w:t>
            </w:r>
            <w:r>
              <w:rPr>
                <w:rFonts w:eastAsiaTheme="minorEastAsia"/>
                <w:snapToGrid w:val="0"/>
                <w:color w:val="000000" w:themeColor="text1"/>
                <w:sz w:val="21"/>
                <w:szCs w:val="21"/>
                <w14:textFill>
                  <w14:solidFill>
                    <w14:schemeClr w14:val="tx1"/>
                  </w14:solidFill>
                </w14:textFill>
              </w:rPr>
              <w:t>40m</w:t>
            </w:r>
            <w:r>
              <w:rPr>
                <w:rFonts w:hAnsiTheme="minorEastAsia" w:eastAsiaTheme="minorEastAsia"/>
                <w:snapToGrid w:val="0"/>
                <w:color w:val="000000" w:themeColor="text1"/>
                <w:sz w:val="21"/>
                <w:szCs w:val="21"/>
                <w14:textFill>
                  <w14:solidFill>
                    <w14:schemeClr w14:val="tx1"/>
                  </w14:solidFill>
                </w14:textFill>
              </w:rPr>
              <w:t>（适用于自动人行道）；</w:t>
            </w:r>
          </w:p>
          <w:p w14:paraId="261C2806">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）各紧急停止开关标识清晰，对于位于扶手装置高度</w:t>
            </w:r>
            <w:r>
              <w:rPr>
                <w:rFonts w:eastAsiaTheme="minorEastAsia"/>
                <w:snapToGrid w:val="0"/>
                <w:color w:val="000000" w:themeColor="text1"/>
                <w:sz w:val="21"/>
                <w:szCs w:val="21"/>
                <w14:textFill>
                  <w14:solidFill>
                    <w14:schemeClr w14:val="tx1"/>
                  </w14:solidFill>
                </w14:textFill>
              </w:rPr>
              <w:t>1/2</w:t>
            </w:r>
            <w:r>
              <w:rPr>
                <w:rFonts w:hAnsiTheme="minorEastAsia" w:eastAsiaTheme="minorEastAsia"/>
                <w:snapToGrid w:val="0"/>
                <w:color w:val="000000" w:themeColor="text1"/>
                <w:sz w:val="21"/>
                <w:szCs w:val="21"/>
                <w14:textFill>
                  <w14:solidFill>
                    <w14:schemeClr w14:val="tx1"/>
                  </w14:solidFill>
                </w14:textFill>
              </w:rPr>
              <w:t>以下的紧急停止开关，在扶手装置</w:t>
            </w:r>
            <w:r>
              <w:rPr>
                <w:rFonts w:eastAsiaTheme="minorEastAsia"/>
                <w:snapToGrid w:val="0"/>
                <w:color w:val="000000" w:themeColor="text1"/>
                <w:sz w:val="21"/>
                <w:szCs w:val="21"/>
                <w14:textFill>
                  <w14:solidFill>
                    <w14:schemeClr w14:val="tx1"/>
                  </w14:solidFill>
                </w14:textFill>
              </w:rPr>
              <w:t>1/2</w:t>
            </w:r>
            <w:r>
              <w:rPr>
                <w:rFonts w:hAnsiTheme="minorEastAsia" w:eastAsiaTheme="minorEastAsia"/>
                <w:snapToGrid w:val="0"/>
                <w:color w:val="000000" w:themeColor="text1"/>
                <w:sz w:val="21"/>
                <w:szCs w:val="21"/>
                <w14:textFill>
                  <w14:solidFill>
                    <w14:schemeClr w14:val="tx1"/>
                  </w14:solidFill>
                </w14:textFill>
              </w:rPr>
              <w:t>以上的醒目位置还设有直径至少为</w:t>
            </w:r>
            <w:r>
              <w:rPr>
                <w:rFonts w:eastAsiaTheme="minorEastAsia"/>
                <w:snapToGrid w:val="0"/>
                <w:color w:val="000000" w:themeColor="text1"/>
                <w:sz w:val="21"/>
                <w:szCs w:val="21"/>
                <w14:textFill>
                  <w14:solidFill>
                    <w14:schemeClr w14:val="tx1"/>
                  </w14:solidFill>
                </w14:textFill>
              </w:rPr>
              <w:t>80mm</w:t>
            </w:r>
            <w:r>
              <w:rPr>
                <w:rFonts w:hAnsiTheme="minorEastAsia" w:eastAsiaTheme="minorEastAsia"/>
                <w:snapToGrid w:val="0"/>
                <w:color w:val="000000" w:themeColor="text1"/>
                <w:sz w:val="21"/>
                <w:szCs w:val="21"/>
                <w14:textFill>
                  <w14:solidFill>
                    <w14:schemeClr w14:val="tx1"/>
                  </w14:solidFill>
                </w14:textFill>
              </w:rPr>
              <w:t>的红底白字</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急停</w:t>
            </w: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指示标记，箭头指向该开关。</w:t>
            </w:r>
          </w:p>
        </w:tc>
        <w:tc>
          <w:tcPr>
            <w:tcW w:w="2197" w:type="dxa"/>
            <w:tcMar>
              <w:left w:w="28" w:type="dxa"/>
              <w:right w:w="28" w:type="dxa"/>
            </w:tcMar>
            <w:vAlign w:val="center"/>
          </w:tcPr>
          <w:p w14:paraId="0E20924C">
            <w:pPr>
              <w:pStyle w:val="19"/>
              <w:tabs>
                <w:tab w:val="left" w:pos="641"/>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）目测，必要时测量；</w:t>
            </w:r>
          </w:p>
          <w:p w14:paraId="0262E4FA">
            <w:pPr>
              <w:pStyle w:val="19"/>
              <w:tabs>
                <w:tab w:val="left" w:pos="641"/>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）操作试验紧急停止开关功能。</w:t>
            </w:r>
          </w:p>
        </w:tc>
      </w:tr>
      <w:tr w14:paraId="6F879D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1002A1C5">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p>
        </w:tc>
        <w:tc>
          <w:tcPr>
            <w:tcW w:w="625" w:type="dxa"/>
            <w:vMerge w:val="continue"/>
            <w:tcMar>
              <w:left w:w="28" w:type="dxa"/>
              <w:right w:w="28" w:type="dxa"/>
            </w:tcMar>
            <w:vAlign w:val="center"/>
          </w:tcPr>
          <w:p w14:paraId="4AE96DC1">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67C74FB3">
            <w:pPr>
              <w:pStyle w:val="19"/>
              <w:snapToGrid w:val="0"/>
              <w:spacing w:line="30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A2.2.2.10</w:t>
            </w:r>
          </w:p>
          <w:p w14:paraId="7C5A9052">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铭牌</w:t>
            </w:r>
          </w:p>
          <w:p w14:paraId="11DFBD87">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与标志</w:t>
            </w:r>
          </w:p>
        </w:tc>
        <w:tc>
          <w:tcPr>
            <w:tcW w:w="4690" w:type="dxa"/>
            <w:tcMar>
              <w:left w:w="28" w:type="dxa"/>
              <w:right w:w="28" w:type="dxa"/>
            </w:tcMar>
            <w:vAlign w:val="center"/>
          </w:tcPr>
          <w:p w14:paraId="1C310681">
            <w:pPr>
              <w:pStyle w:val="19"/>
              <w:tabs>
                <w:tab w:val="left" w:pos="429"/>
              </w:tabs>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在受检设备出入口的明显位置设有产品铭牌，至少标明产品名称、型号编号、制造单位名称或者商标、制造日期（对于本规则实施前已经投入使用的受检设备，可以在出入口的明显位置设置标有产品型号、编号、制造年份、制造单位名称或者商标的产品标识）；改造后的受检设备，加贴铭牌上标明主要技术参数、改造单位名称或者商标、改造竣工日期；</w:t>
            </w:r>
          </w:p>
          <w:p w14:paraId="26A4F561">
            <w:pPr>
              <w:pStyle w:val="19"/>
              <w:tabs>
                <w:tab w:val="left" w:pos="429"/>
              </w:tabs>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）在受检设备出入口附近设有包括必须拉住小孩、必须抱着宠物、必须握住</w:t>
            </w:r>
            <w:r>
              <w:rPr>
                <w:rFonts w:hint="eastAsia" w:hAnsiTheme="minorEastAsia" w:eastAsiaTheme="minorEastAsia"/>
                <w:snapToGrid w:val="0"/>
                <w:color w:val="000000" w:themeColor="text1"/>
                <w:sz w:val="21"/>
                <w:szCs w:val="21"/>
                <w14:textFill>
                  <w14:solidFill>
                    <w14:schemeClr w14:val="tx1"/>
                  </w14:solidFill>
                </w14:textFill>
              </w:rPr>
              <w:t>扶手</w:t>
            </w:r>
            <w:r>
              <w:rPr>
                <w:rFonts w:hAnsiTheme="minorEastAsia" w:eastAsiaTheme="minorEastAsia"/>
                <w:snapToGrid w:val="0"/>
                <w:color w:val="000000" w:themeColor="text1"/>
                <w:sz w:val="21"/>
                <w:szCs w:val="21"/>
                <w14:textFill>
                  <w14:solidFill>
                    <w14:schemeClr w14:val="tx1"/>
                  </w14:solidFill>
                </w14:textFill>
              </w:rPr>
              <w:t>和禁止使用非专用手推车等内容的安全乘用图形标志。</w:t>
            </w:r>
          </w:p>
        </w:tc>
        <w:tc>
          <w:tcPr>
            <w:tcW w:w="2197" w:type="dxa"/>
            <w:tcMar>
              <w:left w:w="28" w:type="dxa"/>
              <w:right w:w="28" w:type="dxa"/>
            </w:tcMar>
            <w:vAlign w:val="center"/>
          </w:tcPr>
          <w:p w14:paraId="50C42DBF">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目测检查。</w:t>
            </w:r>
          </w:p>
        </w:tc>
      </w:tr>
      <w:tr w14:paraId="7D652E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4E4F541F">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625" w:type="dxa"/>
            <w:vMerge w:val="restart"/>
            <w:tcMar>
              <w:left w:w="28" w:type="dxa"/>
              <w:right w:w="28" w:type="dxa"/>
            </w:tcMar>
            <w:vAlign w:val="center"/>
          </w:tcPr>
          <w:p w14:paraId="7301F010">
            <w:pPr>
              <w:adjustRightInd w:val="0"/>
              <w:snapToGrid w:val="0"/>
              <w:spacing w:line="30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A2.2.3</w:t>
            </w:r>
          </w:p>
          <w:p w14:paraId="0D26B06A">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扶手装置和围裙板</w:t>
            </w:r>
          </w:p>
        </w:tc>
        <w:tc>
          <w:tcPr>
            <w:tcW w:w="918" w:type="dxa"/>
            <w:tcMar>
              <w:left w:w="28" w:type="dxa"/>
              <w:right w:w="28" w:type="dxa"/>
            </w:tcMar>
            <w:vAlign w:val="center"/>
          </w:tcPr>
          <w:p w14:paraId="26899050">
            <w:pPr>
              <w:pStyle w:val="19"/>
              <w:snapToGrid w:val="0"/>
              <w:spacing w:line="30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*A2.2.3.1</w:t>
            </w:r>
          </w:p>
          <w:p w14:paraId="481A7074">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扶手</w:t>
            </w:r>
          </w:p>
          <w:p w14:paraId="0E04C623">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装置</w:t>
            </w:r>
          </w:p>
        </w:tc>
        <w:tc>
          <w:tcPr>
            <w:tcW w:w="4690" w:type="dxa"/>
            <w:tcMar>
              <w:left w:w="28" w:type="dxa"/>
              <w:right w:w="28" w:type="dxa"/>
            </w:tcMar>
            <w:vAlign w:val="center"/>
          </w:tcPr>
          <w:p w14:paraId="08FF1E87">
            <w:pPr>
              <w:pStyle w:val="19"/>
              <w:tabs>
                <w:tab w:val="left" w:pos="429"/>
              </w:tabs>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）扶手带完好，表面无龟裂、剥离、严重磨损，扶手带单一开裂处最大裂纹宽度不大于</w:t>
            </w:r>
            <w:r>
              <w:rPr>
                <w:rFonts w:eastAsiaTheme="minorEastAsia"/>
                <w:snapToGrid w:val="0"/>
                <w:color w:val="000000" w:themeColor="text1"/>
                <w:sz w:val="21"/>
                <w:szCs w:val="21"/>
                <w14:textFill>
                  <w14:solidFill>
                    <w14:schemeClr w14:val="tx1"/>
                  </w14:solidFill>
                </w14:textFill>
              </w:rPr>
              <w:t>3mm</w:t>
            </w:r>
            <w:r>
              <w:rPr>
                <w:rFonts w:hAnsiTheme="minorEastAsia" w:eastAsiaTheme="minorEastAsia"/>
                <w:snapToGrid w:val="0"/>
                <w:color w:val="000000" w:themeColor="text1"/>
                <w:sz w:val="21"/>
                <w:szCs w:val="21"/>
                <w14:textFill>
                  <w14:solidFill>
                    <w14:schemeClr w14:val="tx1"/>
                  </w14:solidFill>
                </w14:textFill>
              </w:rPr>
              <w:t>；</w:t>
            </w:r>
          </w:p>
          <w:p w14:paraId="5793D5F3">
            <w:pPr>
              <w:pStyle w:val="19"/>
              <w:tabs>
                <w:tab w:val="left" w:pos="429"/>
              </w:tabs>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）扶手转向端入口处的最低点与地板之间的垂直距离不小于</w:t>
            </w:r>
            <w:r>
              <w:rPr>
                <w:rFonts w:eastAsiaTheme="minorEastAsia"/>
                <w:snapToGrid w:val="0"/>
                <w:color w:val="000000" w:themeColor="text1"/>
                <w:sz w:val="21"/>
                <w:szCs w:val="21"/>
                <w14:textFill>
                  <w14:solidFill>
                    <w14:schemeClr w14:val="tx1"/>
                  </w14:solidFill>
                </w14:textFill>
              </w:rPr>
              <w:t>0.10m</w:t>
            </w:r>
            <w:r>
              <w:rPr>
                <w:rFonts w:hAnsiTheme="minorEastAsia" w:eastAsiaTheme="minorEastAsia"/>
                <w:snapToGrid w:val="0"/>
                <w:color w:val="000000" w:themeColor="text1"/>
                <w:sz w:val="21"/>
                <w:szCs w:val="21"/>
                <w14:textFill>
                  <w14:solidFill>
                    <w14:schemeClr w14:val="tx1"/>
                  </w14:solidFill>
                </w14:textFill>
              </w:rPr>
              <w:t>，并且不大于</w:t>
            </w:r>
            <w:r>
              <w:rPr>
                <w:rFonts w:eastAsiaTheme="minorEastAsia"/>
                <w:snapToGrid w:val="0"/>
                <w:color w:val="000000" w:themeColor="text1"/>
                <w:sz w:val="21"/>
                <w:szCs w:val="21"/>
                <w14:textFill>
                  <w14:solidFill>
                    <w14:schemeClr w14:val="tx1"/>
                  </w14:solidFill>
                </w14:textFill>
              </w:rPr>
              <w:t>0.25m</w:t>
            </w:r>
            <w:r>
              <w:rPr>
                <w:rFonts w:hAnsiTheme="minorEastAsia" w:eastAsiaTheme="minorEastAsia"/>
                <w:snapToGrid w:val="0"/>
                <w:color w:val="000000" w:themeColor="text1"/>
                <w:sz w:val="21"/>
                <w:szCs w:val="21"/>
                <w14:textFill>
                  <w14:solidFill>
                    <w14:schemeClr w14:val="tx1"/>
                  </w14:solidFill>
                </w14:textFill>
              </w:rPr>
              <w:t>；</w:t>
            </w:r>
          </w:p>
          <w:p w14:paraId="012C9154">
            <w:pPr>
              <w:pStyle w:val="19"/>
              <w:tabs>
                <w:tab w:val="left" w:pos="429"/>
              </w:tabs>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）朝向梯级、踏板或者胶带一侧的部分光滑、平齐；装设方向与运行方向不一致的压条或者镶条凸出高度不大于</w:t>
            </w:r>
            <w:r>
              <w:rPr>
                <w:rFonts w:eastAsiaTheme="minorEastAsia"/>
                <w:snapToGrid w:val="0"/>
                <w:color w:val="000000" w:themeColor="text1"/>
                <w:sz w:val="21"/>
                <w:szCs w:val="21"/>
                <w14:textFill>
                  <w14:solidFill>
                    <w14:schemeClr w14:val="tx1"/>
                  </w14:solidFill>
                </w14:textFill>
              </w:rPr>
              <w:t>3mm</w:t>
            </w:r>
            <w:r>
              <w:rPr>
                <w:rFonts w:hAnsiTheme="minorEastAsia" w:eastAsiaTheme="minorEastAsia"/>
                <w:snapToGrid w:val="0"/>
                <w:color w:val="000000" w:themeColor="text1"/>
                <w:sz w:val="21"/>
                <w:szCs w:val="21"/>
                <w14:textFill>
                  <w14:solidFill>
                    <w14:schemeClr w14:val="tx1"/>
                  </w14:solidFill>
                </w14:textFill>
              </w:rPr>
              <w:t>，其边缘呈圆角或者倒角状；沿运行方向的盖板连接处结构能够防止勾绊；</w:t>
            </w:r>
          </w:p>
          <w:p w14:paraId="2A29123E">
            <w:pPr>
              <w:pStyle w:val="19"/>
              <w:tabs>
                <w:tab w:val="left" w:pos="429"/>
              </w:tabs>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4</w:t>
            </w:r>
            <w:r>
              <w:rPr>
                <w:rFonts w:hAnsiTheme="minorEastAsia" w:eastAsiaTheme="minorEastAsia"/>
                <w:snapToGrid w:val="0"/>
                <w:color w:val="000000" w:themeColor="text1"/>
                <w:sz w:val="21"/>
                <w:szCs w:val="21"/>
                <w14:textFill>
                  <w14:solidFill>
                    <w14:schemeClr w14:val="tx1"/>
                  </w14:solidFill>
                </w14:textFill>
              </w:rPr>
              <w:t>）扶手带入口保护装置功能有效。</w:t>
            </w:r>
          </w:p>
        </w:tc>
        <w:tc>
          <w:tcPr>
            <w:tcW w:w="2197" w:type="dxa"/>
            <w:tcMar>
              <w:left w:w="28" w:type="dxa"/>
              <w:right w:w="28" w:type="dxa"/>
            </w:tcMar>
            <w:vAlign w:val="center"/>
          </w:tcPr>
          <w:p w14:paraId="3E9B735F">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）目测，必要时测量；</w:t>
            </w:r>
          </w:p>
          <w:p w14:paraId="331AA5DC">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）模拟动作试验扶手带入口保护功能。</w:t>
            </w:r>
          </w:p>
        </w:tc>
      </w:tr>
      <w:tr w14:paraId="4C9539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56EC80B9">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625" w:type="dxa"/>
            <w:vMerge w:val="continue"/>
            <w:tcMar>
              <w:left w:w="28" w:type="dxa"/>
              <w:right w:w="28" w:type="dxa"/>
            </w:tcMar>
            <w:vAlign w:val="center"/>
          </w:tcPr>
          <w:p w14:paraId="21CA9282">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36BB425B">
            <w:pPr>
              <w:pStyle w:val="19"/>
              <w:snapToGrid w:val="0"/>
              <w:spacing w:line="300" w:lineRule="exact"/>
              <w:jc w:val="center"/>
              <w:textAlignment w:val="auto"/>
              <w:rPr>
                <w:rFonts w:hint="eastAsia" w:hAnsiTheme="minorEastAsia"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A2.2.3.2</w:t>
            </w:r>
            <w:r>
              <w:rPr>
                <w:rFonts w:hAnsiTheme="minorEastAsia" w:eastAsiaTheme="minorEastAsia"/>
                <w:snapToGrid w:val="0"/>
                <w:color w:val="000000" w:themeColor="text1"/>
                <w:sz w:val="21"/>
                <w:szCs w:val="21"/>
                <w14:textFill>
                  <w14:solidFill>
                    <w14:schemeClr w14:val="tx1"/>
                  </w14:solidFill>
                </w14:textFill>
              </w:rPr>
              <w:t>扶手带速度监测</w:t>
            </w:r>
          </w:p>
          <w:p w14:paraId="223F7856">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装置</w:t>
            </w:r>
          </w:p>
        </w:tc>
        <w:tc>
          <w:tcPr>
            <w:tcW w:w="4690" w:type="dxa"/>
            <w:tcMar>
              <w:left w:w="28" w:type="dxa"/>
              <w:right w:w="28" w:type="dxa"/>
            </w:tcMar>
            <w:vAlign w:val="center"/>
          </w:tcPr>
          <w:p w14:paraId="0123F2FC">
            <w:pPr>
              <w:pStyle w:val="19"/>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检查当扶手带速度与梯级、踏板或者胶带实际速度偏差最大超过</w:t>
            </w:r>
            <w:r>
              <w:rPr>
                <w:rFonts w:eastAsiaTheme="minorEastAsia"/>
                <w:snapToGrid w:val="0"/>
                <w:color w:val="000000" w:themeColor="text1"/>
                <w:sz w:val="21"/>
                <w:szCs w:val="21"/>
                <w14:textFill>
                  <w14:solidFill>
                    <w14:schemeClr w14:val="tx1"/>
                  </w14:solidFill>
                </w14:textFill>
              </w:rPr>
              <w:t>15%</w:t>
            </w:r>
            <w:r>
              <w:rPr>
                <w:rFonts w:hAnsiTheme="minorEastAsia" w:eastAsiaTheme="minorEastAsia"/>
                <w:snapToGrid w:val="0"/>
                <w:color w:val="000000" w:themeColor="text1"/>
                <w:sz w:val="21"/>
                <w:szCs w:val="21"/>
                <w14:textFill>
                  <w14:solidFill>
                    <w14:schemeClr w14:val="tx1"/>
                  </w14:solidFill>
                </w14:textFill>
              </w:rPr>
              <w:t>，并且持续时间在</w:t>
            </w:r>
            <w:r>
              <w:rPr>
                <w:rFonts w:eastAsiaTheme="minorEastAsia"/>
                <w:snapToGrid w:val="0"/>
                <w:color w:val="000000" w:themeColor="text1"/>
                <w:sz w:val="21"/>
                <w:szCs w:val="21"/>
                <w14:textFill>
                  <w14:solidFill>
                    <w14:schemeClr w14:val="tx1"/>
                  </w14:solidFill>
                </w14:textFill>
              </w:rPr>
              <w:t>5s</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15s</w:t>
            </w:r>
            <w:r>
              <w:rPr>
                <w:rFonts w:hAnsiTheme="minorEastAsia" w:eastAsiaTheme="minorEastAsia"/>
                <w:snapToGrid w:val="0"/>
                <w:color w:val="000000" w:themeColor="text1"/>
                <w:sz w:val="21"/>
                <w:szCs w:val="21"/>
                <w14:textFill>
                  <w14:solidFill>
                    <w14:schemeClr w14:val="tx1"/>
                  </w14:solidFill>
                </w14:textFill>
              </w:rPr>
              <w:t>范围内时，扶手带速度监测装置是否能够使受检设备自动停止运行。</w:t>
            </w:r>
          </w:p>
        </w:tc>
        <w:tc>
          <w:tcPr>
            <w:tcW w:w="2197" w:type="dxa"/>
            <w:tcMar>
              <w:left w:w="28" w:type="dxa"/>
              <w:right w:w="28" w:type="dxa"/>
            </w:tcMar>
            <w:vAlign w:val="center"/>
          </w:tcPr>
          <w:p w14:paraId="14D35DAD">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按照制造单位提供的方法进行试验。</w:t>
            </w:r>
          </w:p>
        </w:tc>
      </w:tr>
      <w:tr w14:paraId="2F7DDA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17" w:hRule="atLeast"/>
          <w:jc w:val="center"/>
        </w:trPr>
        <w:tc>
          <w:tcPr>
            <w:tcW w:w="470" w:type="dxa"/>
            <w:vMerge w:val="continue"/>
            <w:tcMar>
              <w:left w:w="28" w:type="dxa"/>
              <w:right w:w="28" w:type="dxa"/>
            </w:tcMar>
            <w:vAlign w:val="center"/>
          </w:tcPr>
          <w:p w14:paraId="03DA9358">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625" w:type="dxa"/>
            <w:vMerge w:val="continue"/>
            <w:tcMar>
              <w:left w:w="28" w:type="dxa"/>
              <w:right w:w="28" w:type="dxa"/>
            </w:tcMar>
            <w:vAlign w:val="center"/>
          </w:tcPr>
          <w:p w14:paraId="0FA29EDD">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6B9AB1DE">
            <w:pPr>
              <w:pStyle w:val="19"/>
              <w:snapToGrid w:val="0"/>
              <w:spacing w:line="30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*A2.2.3.3</w:t>
            </w:r>
          </w:p>
          <w:p w14:paraId="72EE58E4">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防爬</w:t>
            </w:r>
          </w:p>
          <w:p w14:paraId="787F48E6">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装置</w:t>
            </w:r>
          </w:p>
        </w:tc>
        <w:tc>
          <w:tcPr>
            <w:tcW w:w="4690" w:type="dxa"/>
            <w:tcMar>
              <w:left w:w="28" w:type="dxa"/>
              <w:right w:w="28" w:type="dxa"/>
            </w:tcMar>
            <w:vAlign w:val="center"/>
          </w:tcPr>
          <w:p w14:paraId="3B5C8B0A">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人员能够爬上外盖板并且存在跌落风险的，检查在受检设备的外盖板上是否装设了符合以下要求的防爬装置：</w:t>
            </w:r>
          </w:p>
          <w:p w14:paraId="22208522">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）在位于地平面上方</w:t>
            </w:r>
            <w:r>
              <w:rPr>
                <w:rFonts w:eastAsiaTheme="minorEastAsia"/>
                <w:snapToGrid w:val="0"/>
                <w:color w:val="000000" w:themeColor="text1"/>
                <w:sz w:val="21"/>
                <w:szCs w:val="21"/>
                <w14:textFill>
                  <w14:solidFill>
                    <w14:schemeClr w14:val="tx1"/>
                  </w14:solidFill>
                </w14:textFill>
              </w:rPr>
              <w:t>1000mm±50mm</w:t>
            </w:r>
            <w:r>
              <w:rPr>
                <w:rFonts w:hAnsiTheme="minorEastAsia" w:eastAsiaTheme="minorEastAsia"/>
                <w:snapToGrid w:val="0"/>
                <w:color w:val="000000" w:themeColor="text1"/>
                <w:sz w:val="21"/>
                <w:szCs w:val="21"/>
                <w14:textFill>
                  <w14:solidFill>
                    <w14:schemeClr w14:val="tx1"/>
                  </w14:solidFill>
                </w14:textFill>
              </w:rPr>
              <w:t>处；</w:t>
            </w:r>
          </w:p>
          <w:p w14:paraId="65F49708">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）其高度至少与扶手带表面齐平，下部与外盖板相交，平行于外盖板方向上的延伸长度不小于</w:t>
            </w:r>
            <w:r>
              <w:rPr>
                <w:rFonts w:eastAsiaTheme="minorEastAsia"/>
                <w:snapToGrid w:val="0"/>
                <w:color w:val="000000" w:themeColor="text1"/>
                <w:sz w:val="21"/>
                <w:szCs w:val="21"/>
                <w14:textFill>
                  <w14:solidFill>
                    <w14:schemeClr w14:val="tx1"/>
                  </w14:solidFill>
                </w14:textFill>
              </w:rPr>
              <w:t>1000mm</w:t>
            </w:r>
            <w:r>
              <w:rPr>
                <w:rFonts w:hAnsiTheme="minorEastAsia" w:eastAsiaTheme="minorEastAsia"/>
                <w:snapToGrid w:val="0"/>
                <w:color w:val="000000" w:themeColor="text1"/>
                <w:sz w:val="21"/>
                <w:szCs w:val="21"/>
                <w14:textFill>
                  <w14:solidFill>
                    <w14:schemeClr w14:val="tx1"/>
                  </w14:solidFill>
                </w14:textFill>
              </w:rPr>
              <w:t>，并且在此长度范围内无踩脚处。</w:t>
            </w:r>
          </w:p>
        </w:tc>
        <w:tc>
          <w:tcPr>
            <w:tcW w:w="2197" w:type="dxa"/>
            <w:tcMar>
              <w:left w:w="28" w:type="dxa"/>
              <w:right w:w="28" w:type="dxa"/>
            </w:tcMar>
            <w:vAlign w:val="center"/>
          </w:tcPr>
          <w:p w14:paraId="28711037">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目测，测量相关数据。</w:t>
            </w:r>
          </w:p>
        </w:tc>
      </w:tr>
      <w:tr w14:paraId="298C9A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64" w:hRule="atLeast"/>
          <w:jc w:val="center"/>
        </w:trPr>
        <w:tc>
          <w:tcPr>
            <w:tcW w:w="470" w:type="dxa"/>
            <w:vMerge w:val="continue"/>
            <w:tcMar>
              <w:left w:w="28" w:type="dxa"/>
              <w:right w:w="28" w:type="dxa"/>
            </w:tcMar>
            <w:vAlign w:val="center"/>
          </w:tcPr>
          <w:p w14:paraId="2939CF84">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625" w:type="dxa"/>
            <w:vMerge w:val="continue"/>
            <w:tcMar>
              <w:left w:w="28" w:type="dxa"/>
              <w:right w:w="28" w:type="dxa"/>
            </w:tcMar>
            <w:vAlign w:val="center"/>
          </w:tcPr>
          <w:p w14:paraId="189F22FE">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3C47ACFF">
            <w:pPr>
              <w:pStyle w:val="19"/>
              <w:snapToGrid w:val="0"/>
              <w:spacing w:line="30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*A2.2.3.4</w:t>
            </w:r>
          </w:p>
          <w:p w14:paraId="257FF350">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阻挡</w:t>
            </w:r>
          </w:p>
          <w:p w14:paraId="47E182D4">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装置</w:t>
            </w:r>
          </w:p>
        </w:tc>
        <w:tc>
          <w:tcPr>
            <w:tcW w:w="4690" w:type="dxa"/>
            <w:tcMar>
              <w:left w:w="28" w:type="dxa"/>
              <w:right w:w="28" w:type="dxa"/>
            </w:tcMar>
            <w:vAlign w:val="center"/>
          </w:tcPr>
          <w:p w14:paraId="0AE13202">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对于与墙相邻并且外盖板的宽度大于</w:t>
            </w:r>
            <w:r>
              <w:rPr>
                <w:rFonts w:eastAsiaTheme="minorEastAsia"/>
                <w:snapToGrid w:val="0"/>
                <w:color w:val="000000" w:themeColor="text1"/>
                <w:sz w:val="21"/>
                <w:szCs w:val="21"/>
                <w14:textFill>
                  <w14:solidFill>
                    <w14:schemeClr w14:val="tx1"/>
                  </w14:solidFill>
                </w14:textFill>
              </w:rPr>
              <w:t>125mm</w:t>
            </w:r>
            <w:r>
              <w:rPr>
                <w:rFonts w:hAnsiTheme="minorEastAsia" w:eastAsiaTheme="minorEastAsia"/>
                <w:snapToGrid w:val="0"/>
                <w:color w:val="000000" w:themeColor="text1"/>
                <w:sz w:val="21"/>
                <w:szCs w:val="21"/>
                <w14:textFill>
                  <w14:solidFill>
                    <w14:schemeClr w14:val="tx1"/>
                  </w14:solidFill>
                </w14:textFill>
              </w:rPr>
              <w:t>的受检设备，或者相邻平行布置并且共用外盖板的宽度大于</w:t>
            </w:r>
            <w:r>
              <w:rPr>
                <w:rFonts w:eastAsiaTheme="minorEastAsia"/>
                <w:snapToGrid w:val="0"/>
                <w:color w:val="000000" w:themeColor="text1"/>
                <w:sz w:val="21"/>
                <w:szCs w:val="21"/>
                <w14:textFill>
                  <w14:solidFill>
                    <w14:schemeClr w14:val="tx1"/>
                  </w14:solidFill>
                </w14:textFill>
              </w:rPr>
              <w:t>125mm</w:t>
            </w:r>
            <w:r>
              <w:rPr>
                <w:rFonts w:hAnsiTheme="minorEastAsia" w:eastAsiaTheme="minorEastAsia"/>
                <w:snapToGrid w:val="0"/>
                <w:color w:val="000000" w:themeColor="text1"/>
                <w:sz w:val="21"/>
                <w:szCs w:val="21"/>
                <w14:textFill>
                  <w14:solidFill>
                    <w14:schemeClr w14:val="tx1"/>
                  </w14:solidFill>
                </w14:textFill>
              </w:rPr>
              <w:t>的自动扶梯或者倾斜的自动人行道，检查在上、下端部装设的阻挡装置是否能够防止人员进入外盖板区域，并且延伸到高度距离扶手带下缘</w:t>
            </w:r>
            <w:r>
              <w:rPr>
                <w:rFonts w:eastAsiaTheme="minorEastAsia"/>
                <w:snapToGrid w:val="0"/>
                <w:color w:val="000000" w:themeColor="text1"/>
                <w:sz w:val="21"/>
                <w:szCs w:val="21"/>
                <w14:textFill>
                  <w14:solidFill>
                    <w14:schemeClr w14:val="tx1"/>
                  </w14:solidFill>
                </w14:textFill>
              </w:rPr>
              <w:t>25mm</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150mm</w:t>
            </w:r>
            <w:r>
              <w:rPr>
                <w:rFonts w:hAnsiTheme="minorEastAsia" w:eastAsiaTheme="minorEastAsia"/>
                <w:snapToGrid w:val="0"/>
                <w:color w:val="000000" w:themeColor="text1"/>
                <w:sz w:val="21"/>
                <w:szCs w:val="21"/>
                <w14:textFill>
                  <w14:solidFill>
                    <w14:schemeClr w14:val="tx1"/>
                  </w14:solidFill>
                </w14:textFill>
              </w:rPr>
              <w:t>处。</w:t>
            </w:r>
          </w:p>
        </w:tc>
        <w:tc>
          <w:tcPr>
            <w:tcW w:w="2197" w:type="dxa"/>
            <w:tcMar>
              <w:left w:w="28" w:type="dxa"/>
              <w:right w:w="28" w:type="dxa"/>
            </w:tcMar>
            <w:vAlign w:val="center"/>
          </w:tcPr>
          <w:p w14:paraId="0B19DB3C">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目测，必要时测量。</w:t>
            </w:r>
          </w:p>
        </w:tc>
      </w:tr>
      <w:tr w14:paraId="5F1856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73" w:hRule="atLeast"/>
          <w:jc w:val="center"/>
        </w:trPr>
        <w:tc>
          <w:tcPr>
            <w:tcW w:w="470" w:type="dxa"/>
            <w:vMerge w:val="restart"/>
            <w:tcMar>
              <w:left w:w="28" w:type="dxa"/>
              <w:right w:w="28" w:type="dxa"/>
            </w:tcMar>
            <w:vAlign w:val="center"/>
          </w:tcPr>
          <w:p w14:paraId="04938EB0">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w:t>
            </w:r>
          </w:p>
          <w:p w14:paraId="6293E557">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实物检查</w:t>
            </w:r>
          </w:p>
        </w:tc>
        <w:tc>
          <w:tcPr>
            <w:tcW w:w="625" w:type="dxa"/>
            <w:vMerge w:val="restart"/>
            <w:tcMar>
              <w:left w:w="28" w:type="dxa"/>
              <w:right w:w="28" w:type="dxa"/>
            </w:tcMar>
            <w:vAlign w:val="center"/>
          </w:tcPr>
          <w:p w14:paraId="2FC149B2">
            <w:pPr>
              <w:adjustRightInd w:val="0"/>
              <w:snapToGrid w:val="0"/>
              <w:spacing w:line="30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A2.2.3</w:t>
            </w:r>
          </w:p>
          <w:p w14:paraId="2E3BBE63">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扶手装置和围裙板</w:t>
            </w:r>
          </w:p>
        </w:tc>
        <w:tc>
          <w:tcPr>
            <w:tcW w:w="918" w:type="dxa"/>
            <w:tcMar>
              <w:left w:w="28" w:type="dxa"/>
              <w:right w:w="28" w:type="dxa"/>
            </w:tcMar>
            <w:vAlign w:val="center"/>
          </w:tcPr>
          <w:p w14:paraId="06022B46">
            <w:pPr>
              <w:pStyle w:val="19"/>
              <w:snapToGrid w:val="0"/>
              <w:spacing w:line="30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*A2.2.3.5</w:t>
            </w:r>
          </w:p>
          <w:p w14:paraId="4A9CDF9C">
            <w:pPr>
              <w:pStyle w:val="19"/>
              <w:snapToGrid w:val="0"/>
              <w:spacing w:line="300" w:lineRule="exact"/>
              <w:jc w:val="center"/>
              <w:textAlignment w:val="auto"/>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防滑行</w:t>
            </w:r>
          </w:p>
          <w:p w14:paraId="0D4F6387">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装置</w:t>
            </w:r>
          </w:p>
        </w:tc>
        <w:tc>
          <w:tcPr>
            <w:tcW w:w="4690" w:type="dxa"/>
            <w:tcMar>
              <w:left w:w="28" w:type="dxa"/>
              <w:right w:w="28" w:type="dxa"/>
            </w:tcMar>
            <w:vAlign w:val="center"/>
          </w:tcPr>
          <w:p w14:paraId="271A8D34">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自动扶梯或者倾斜的自动人行道和相邻的墙之间装有接近扶手带高度的扶手盖板，并且建筑物（墙）和扶手带中心线之间的距离大于</w:t>
            </w:r>
            <w:r>
              <w:rPr>
                <w:rFonts w:eastAsiaTheme="minorEastAsia"/>
                <w:snapToGrid w:val="0"/>
                <w:color w:val="000000" w:themeColor="text1"/>
                <w:sz w:val="21"/>
                <w:szCs w:val="21"/>
                <w14:textFill>
                  <w14:solidFill>
                    <w14:schemeClr w14:val="tx1"/>
                  </w14:solidFill>
                </w14:textFill>
              </w:rPr>
              <w:t>300mm</w:t>
            </w:r>
            <w:r>
              <w:rPr>
                <w:rFonts w:hAnsiTheme="minorEastAsia" w:eastAsiaTheme="minorEastAsia"/>
                <w:snapToGrid w:val="0"/>
                <w:color w:val="000000" w:themeColor="text1"/>
                <w:sz w:val="21"/>
                <w:szCs w:val="21"/>
                <w14:textFill>
                  <w14:solidFill>
                    <w14:schemeClr w14:val="tx1"/>
                  </w14:solidFill>
                </w14:textFill>
              </w:rPr>
              <w:t>时，或者相邻自动扶梯或者倾斜的自动人行道的扶手带中心线之间的距离大于</w:t>
            </w:r>
            <w:r>
              <w:rPr>
                <w:rFonts w:eastAsiaTheme="minorEastAsia"/>
                <w:snapToGrid w:val="0"/>
                <w:color w:val="000000" w:themeColor="text1"/>
                <w:sz w:val="21"/>
                <w:szCs w:val="21"/>
                <w14:textFill>
                  <w14:solidFill>
                    <w14:schemeClr w14:val="tx1"/>
                  </w14:solidFill>
                </w14:textFill>
              </w:rPr>
              <w:t>400mm</w:t>
            </w:r>
            <w:r>
              <w:rPr>
                <w:rFonts w:hAnsiTheme="minorEastAsia" w:eastAsiaTheme="minorEastAsia"/>
                <w:snapToGrid w:val="0"/>
                <w:color w:val="000000" w:themeColor="text1"/>
                <w:sz w:val="21"/>
                <w:szCs w:val="21"/>
                <w14:textFill>
                  <w14:solidFill>
                    <w14:schemeClr w14:val="tx1"/>
                  </w14:solidFill>
                </w14:textFill>
              </w:rPr>
              <w:t>时，检查在扶手盖板上装设的防滑行装置是否无锐角或者锐边，与扶手带的距离不小于</w:t>
            </w:r>
            <w:r>
              <w:rPr>
                <w:rFonts w:eastAsiaTheme="minorEastAsia"/>
                <w:snapToGrid w:val="0"/>
                <w:color w:val="000000" w:themeColor="text1"/>
                <w:sz w:val="21"/>
                <w:szCs w:val="21"/>
                <w14:textFill>
                  <w14:solidFill>
                    <w14:schemeClr w14:val="tx1"/>
                  </w14:solidFill>
                </w14:textFill>
              </w:rPr>
              <w:t>100mm</w:t>
            </w:r>
            <w:r>
              <w:rPr>
                <w:rFonts w:hAnsiTheme="minorEastAsia" w:eastAsiaTheme="minorEastAsia"/>
                <w:snapToGrid w:val="0"/>
                <w:color w:val="000000" w:themeColor="text1"/>
                <w:sz w:val="21"/>
                <w:szCs w:val="21"/>
                <w14:textFill>
                  <w14:solidFill>
                    <w14:schemeClr w14:val="tx1"/>
                  </w14:solidFill>
                </w14:textFill>
              </w:rPr>
              <w:t>，并且防滑行装置之间的间隔距离不大于</w:t>
            </w:r>
            <w:r>
              <w:rPr>
                <w:rFonts w:eastAsiaTheme="minorEastAsia"/>
                <w:snapToGrid w:val="0"/>
                <w:color w:val="000000" w:themeColor="text1"/>
                <w:sz w:val="21"/>
                <w:szCs w:val="21"/>
                <w14:textFill>
                  <w14:solidFill>
                    <w14:schemeClr w14:val="tx1"/>
                  </w14:solidFill>
                </w14:textFill>
              </w:rPr>
              <w:t>1800mm</w:t>
            </w:r>
            <w:r>
              <w:rPr>
                <w:rFonts w:hAnsiTheme="minorEastAsia" w:eastAsiaTheme="minorEastAsia"/>
                <w:snapToGrid w:val="0"/>
                <w:color w:val="000000" w:themeColor="text1"/>
                <w:sz w:val="21"/>
                <w:szCs w:val="21"/>
                <w14:textFill>
                  <w14:solidFill>
                    <w14:schemeClr w14:val="tx1"/>
                  </w14:solidFill>
                </w14:textFill>
              </w:rPr>
              <w:t>，高度不小于</w:t>
            </w:r>
            <w:r>
              <w:rPr>
                <w:rFonts w:eastAsiaTheme="minorEastAsia"/>
                <w:snapToGrid w:val="0"/>
                <w:color w:val="000000" w:themeColor="text1"/>
                <w:sz w:val="21"/>
                <w:szCs w:val="21"/>
                <w14:textFill>
                  <w14:solidFill>
                    <w14:schemeClr w14:val="tx1"/>
                  </w14:solidFill>
                </w14:textFill>
              </w:rPr>
              <w:t>20mm</w:t>
            </w:r>
            <w:r>
              <w:rPr>
                <w:rFonts w:hAnsiTheme="minorEastAsia" w:eastAsiaTheme="minorEastAsia"/>
                <w:snapToGrid w:val="0"/>
                <w:color w:val="000000" w:themeColor="text1"/>
                <w:sz w:val="21"/>
                <w:szCs w:val="21"/>
                <w14:textFill>
                  <w14:solidFill>
                    <w14:schemeClr w14:val="tx1"/>
                  </w14:solidFill>
                </w14:textFill>
              </w:rPr>
              <w:t>。</w:t>
            </w:r>
          </w:p>
        </w:tc>
        <w:tc>
          <w:tcPr>
            <w:tcW w:w="2197" w:type="dxa"/>
            <w:tcMar>
              <w:left w:w="28" w:type="dxa"/>
              <w:right w:w="28" w:type="dxa"/>
            </w:tcMar>
            <w:vAlign w:val="center"/>
          </w:tcPr>
          <w:p w14:paraId="1F1C1126">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目测，测量相关数据。</w:t>
            </w:r>
          </w:p>
        </w:tc>
      </w:tr>
      <w:tr w14:paraId="10A1C9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7E4BF04B">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p>
        </w:tc>
        <w:tc>
          <w:tcPr>
            <w:tcW w:w="625" w:type="dxa"/>
            <w:vMerge w:val="continue"/>
            <w:tcMar>
              <w:left w:w="28" w:type="dxa"/>
              <w:right w:w="28" w:type="dxa"/>
            </w:tcMar>
            <w:vAlign w:val="center"/>
          </w:tcPr>
          <w:p w14:paraId="1C21538B">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3F9FE0CA">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A2.2.3.6</w:t>
            </w:r>
          </w:p>
          <w:p w14:paraId="2E50C0F5">
            <w:pPr>
              <w:pStyle w:val="19"/>
              <w:snapToGrid w:val="0"/>
              <w:spacing w:line="300" w:lineRule="exact"/>
              <w:jc w:val="center"/>
              <w:textAlignment w:val="auto"/>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护壁板</w:t>
            </w:r>
          </w:p>
          <w:p w14:paraId="1A4708AA">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间隙</w:t>
            </w:r>
          </w:p>
        </w:tc>
        <w:tc>
          <w:tcPr>
            <w:tcW w:w="4690" w:type="dxa"/>
            <w:tcMar>
              <w:left w:w="28" w:type="dxa"/>
              <w:right w:w="28" w:type="dxa"/>
            </w:tcMar>
            <w:vAlign w:val="center"/>
          </w:tcPr>
          <w:p w14:paraId="54C5508E">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检查护壁板之间的间隙是否不大于</w:t>
            </w:r>
            <w:r>
              <w:rPr>
                <w:rFonts w:eastAsiaTheme="minorEastAsia"/>
                <w:snapToGrid w:val="0"/>
                <w:color w:val="000000" w:themeColor="text1"/>
                <w:sz w:val="21"/>
                <w:szCs w:val="21"/>
                <w14:textFill>
                  <w14:solidFill>
                    <w14:schemeClr w14:val="tx1"/>
                  </w14:solidFill>
                </w14:textFill>
              </w:rPr>
              <w:t>4mm</w:t>
            </w:r>
            <w:r>
              <w:rPr>
                <w:rFonts w:hAnsiTheme="minorEastAsia" w:eastAsiaTheme="minorEastAsia"/>
                <w:snapToGrid w:val="0"/>
                <w:color w:val="000000" w:themeColor="text1"/>
                <w:sz w:val="21"/>
                <w:szCs w:val="21"/>
                <w14:textFill>
                  <w14:solidFill>
                    <w14:schemeClr w14:val="tx1"/>
                  </w14:solidFill>
                </w14:textFill>
              </w:rPr>
              <w:t>，其边缘是否呈圆角或者倒角状。</w:t>
            </w:r>
          </w:p>
        </w:tc>
        <w:tc>
          <w:tcPr>
            <w:tcW w:w="2197" w:type="dxa"/>
            <w:tcMar>
              <w:left w:w="28" w:type="dxa"/>
              <w:right w:w="28" w:type="dxa"/>
            </w:tcMar>
            <w:vAlign w:val="center"/>
          </w:tcPr>
          <w:p w14:paraId="50EB527E">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目测，必要时测量。</w:t>
            </w:r>
          </w:p>
        </w:tc>
      </w:tr>
      <w:tr w14:paraId="44DD1C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57" w:hRule="atLeast"/>
          <w:jc w:val="center"/>
        </w:trPr>
        <w:tc>
          <w:tcPr>
            <w:tcW w:w="470" w:type="dxa"/>
            <w:vMerge w:val="continue"/>
            <w:tcMar>
              <w:left w:w="28" w:type="dxa"/>
              <w:right w:w="28" w:type="dxa"/>
            </w:tcMar>
            <w:vAlign w:val="center"/>
          </w:tcPr>
          <w:p w14:paraId="133192A5">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p>
        </w:tc>
        <w:tc>
          <w:tcPr>
            <w:tcW w:w="625" w:type="dxa"/>
            <w:vMerge w:val="continue"/>
            <w:tcMar>
              <w:left w:w="28" w:type="dxa"/>
              <w:right w:w="28" w:type="dxa"/>
            </w:tcMar>
            <w:vAlign w:val="center"/>
          </w:tcPr>
          <w:p w14:paraId="23020B52">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6580F5E5">
            <w:pPr>
              <w:pStyle w:val="19"/>
              <w:snapToGrid w:val="0"/>
              <w:spacing w:line="30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*A2.2.3.7</w:t>
            </w:r>
          </w:p>
          <w:p w14:paraId="0C1872AC">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围裙板与梯级、踏板间隙</w:t>
            </w:r>
          </w:p>
        </w:tc>
        <w:tc>
          <w:tcPr>
            <w:tcW w:w="4690" w:type="dxa"/>
            <w:tcMar>
              <w:left w:w="28" w:type="dxa"/>
              <w:right w:w="28" w:type="dxa"/>
            </w:tcMar>
            <w:vAlign w:val="center"/>
          </w:tcPr>
          <w:p w14:paraId="5A7FD8F5">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检查其是否符合下列要求之一：</w:t>
            </w:r>
          </w:p>
          <w:p w14:paraId="52BD70F0">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）任何一侧的水平间隙不大于</w:t>
            </w:r>
            <w:r>
              <w:rPr>
                <w:rFonts w:eastAsiaTheme="minorEastAsia"/>
                <w:snapToGrid w:val="0"/>
                <w:color w:val="000000" w:themeColor="text1"/>
                <w:sz w:val="21"/>
                <w:szCs w:val="21"/>
                <w14:textFill>
                  <w14:solidFill>
                    <w14:schemeClr w14:val="tx1"/>
                  </w14:solidFill>
                </w14:textFill>
              </w:rPr>
              <w:t>4mm</w:t>
            </w:r>
            <w:r>
              <w:rPr>
                <w:rFonts w:hAnsiTheme="minorEastAsia" w:eastAsiaTheme="minorEastAsia"/>
                <w:snapToGrid w:val="0"/>
                <w:color w:val="000000" w:themeColor="text1"/>
                <w:sz w:val="21"/>
                <w:szCs w:val="21"/>
                <w14:textFill>
                  <w14:solidFill>
                    <w14:schemeClr w14:val="tx1"/>
                  </w14:solidFill>
                </w14:textFill>
              </w:rPr>
              <w:t>，并且两侧对称位置处的间隙总和不大于</w:t>
            </w:r>
            <w:r>
              <w:rPr>
                <w:rFonts w:eastAsiaTheme="minorEastAsia"/>
                <w:snapToGrid w:val="0"/>
                <w:color w:val="000000" w:themeColor="text1"/>
                <w:sz w:val="21"/>
                <w:szCs w:val="21"/>
                <w14:textFill>
                  <w14:solidFill>
                    <w14:schemeClr w14:val="tx1"/>
                  </w14:solidFill>
                </w14:textFill>
              </w:rPr>
              <w:t>7mm</w:t>
            </w:r>
            <w:r>
              <w:rPr>
                <w:rFonts w:hAnsiTheme="minorEastAsia" w:eastAsiaTheme="minorEastAsia"/>
                <w:snapToGrid w:val="0"/>
                <w:color w:val="000000" w:themeColor="text1"/>
                <w:sz w:val="21"/>
                <w:szCs w:val="21"/>
                <w14:textFill>
                  <w14:solidFill>
                    <w14:schemeClr w14:val="tx1"/>
                  </w14:solidFill>
                </w14:textFill>
              </w:rPr>
              <w:t>；</w:t>
            </w:r>
          </w:p>
          <w:p w14:paraId="65F18911">
            <w:pPr>
              <w:pStyle w:val="19"/>
              <w:tabs>
                <w:tab w:val="left" w:pos="433"/>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）围裙板设置在踏板之上时，踏板表面与围裙板下端的垂直间隙不大于</w:t>
            </w:r>
            <w:r>
              <w:rPr>
                <w:rFonts w:eastAsiaTheme="minorEastAsia"/>
                <w:snapToGrid w:val="0"/>
                <w:color w:val="000000" w:themeColor="text1"/>
                <w:sz w:val="21"/>
                <w:szCs w:val="21"/>
                <w14:textFill>
                  <w14:solidFill>
                    <w14:schemeClr w14:val="tx1"/>
                  </w14:solidFill>
                </w14:textFill>
              </w:rPr>
              <w:t>4mm</w:t>
            </w:r>
            <w:r>
              <w:rPr>
                <w:rFonts w:hAnsiTheme="minorEastAsia" w:eastAsiaTheme="minorEastAsia"/>
                <w:snapToGrid w:val="0"/>
                <w:color w:val="000000" w:themeColor="text1"/>
                <w:sz w:val="21"/>
                <w:szCs w:val="21"/>
                <w14:textFill>
                  <w14:solidFill>
                    <w14:schemeClr w14:val="tx1"/>
                  </w14:solidFill>
                </w14:textFill>
              </w:rPr>
              <w:t>，踏板侧边与围裙板垂直投影间不产生间隙。</w:t>
            </w:r>
          </w:p>
        </w:tc>
        <w:tc>
          <w:tcPr>
            <w:tcW w:w="2197" w:type="dxa"/>
            <w:tcMar>
              <w:left w:w="28" w:type="dxa"/>
              <w:right w:w="28" w:type="dxa"/>
            </w:tcMar>
            <w:vAlign w:val="center"/>
          </w:tcPr>
          <w:p w14:paraId="77056080">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目测，测量相关数据。</w:t>
            </w:r>
          </w:p>
        </w:tc>
      </w:tr>
      <w:tr w14:paraId="57AEB5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4" w:hRule="atLeast"/>
          <w:jc w:val="center"/>
        </w:trPr>
        <w:tc>
          <w:tcPr>
            <w:tcW w:w="470" w:type="dxa"/>
            <w:vMerge w:val="continue"/>
            <w:tcMar>
              <w:left w:w="28" w:type="dxa"/>
              <w:right w:w="28" w:type="dxa"/>
            </w:tcMar>
            <w:vAlign w:val="center"/>
          </w:tcPr>
          <w:p w14:paraId="282710DC">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p>
        </w:tc>
        <w:tc>
          <w:tcPr>
            <w:tcW w:w="625" w:type="dxa"/>
            <w:vMerge w:val="continue"/>
            <w:tcMar>
              <w:left w:w="28" w:type="dxa"/>
              <w:right w:w="28" w:type="dxa"/>
            </w:tcMar>
            <w:vAlign w:val="center"/>
          </w:tcPr>
          <w:p w14:paraId="2EB5C5C4">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46B704F2">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A2.2.3.8</w:t>
            </w:r>
          </w:p>
          <w:p w14:paraId="5A321924">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围裙板防夹装置</w:t>
            </w:r>
          </w:p>
        </w:tc>
        <w:tc>
          <w:tcPr>
            <w:tcW w:w="4690" w:type="dxa"/>
            <w:tcMar>
              <w:left w:w="28" w:type="dxa"/>
              <w:right w:w="28" w:type="dxa"/>
            </w:tcMar>
            <w:vAlign w:val="center"/>
          </w:tcPr>
          <w:p w14:paraId="2C21485D">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）无松动、缺损等现象；</w:t>
            </w:r>
          </w:p>
          <w:p w14:paraId="3394D1C8">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）端点位于梳齿与踏面相交线前（梯级侧）不小于</w:t>
            </w:r>
            <w:r>
              <w:rPr>
                <w:rFonts w:eastAsiaTheme="minorEastAsia"/>
                <w:snapToGrid w:val="0"/>
                <w:color w:val="000000" w:themeColor="text1"/>
                <w:sz w:val="21"/>
                <w:szCs w:val="21"/>
                <w14:textFill>
                  <w14:solidFill>
                    <w14:schemeClr w14:val="tx1"/>
                  </w14:solidFill>
                </w14:textFill>
              </w:rPr>
              <w:t>50mm</w:t>
            </w:r>
            <w:r>
              <w:rPr>
                <w:rFonts w:hAnsiTheme="minorEastAsia" w:eastAsiaTheme="minorEastAsia"/>
                <w:snapToGrid w:val="0"/>
                <w:color w:val="000000" w:themeColor="text1"/>
                <w:sz w:val="21"/>
                <w:szCs w:val="21"/>
                <w14:textFill>
                  <w14:solidFill>
                    <w14:schemeClr w14:val="tx1"/>
                  </w14:solidFill>
                </w14:textFill>
              </w:rPr>
              <w:t>，但不大于</w:t>
            </w:r>
            <w:r>
              <w:rPr>
                <w:rFonts w:eastAsiaTheme="minorEastAsia"/>
                <w:snapToGrid w:val="0"/>
                <w:color w:val="000000" w:themeColor="text1"/>
                <w:sz w:val="21"/>
                <w:szCs w:val="21"/>
                <w14:textFill>
                  <w14:solidFill>
                    <w14:schemeClr w14:val="tx1"/>
                  </w14:solidFill>
                </w14:textFill>
              </w:rPr>
              <w:t>150mm</w:t>
            </w:r>
            <w:r>
              <w:rPr>
                <w:rFonts w:hAnsiTheme="minorEastAsia" w:eastAsiaTheme="minorEastAsia"/>
                <w:snapToGrid w:val="0"/>
                <w:color w:val="000000" w:themeColor="text1"/>
                <w:sz w:val="21"/>
                <w:szCs w:val="21"/>
                <w14:textFill>
                  <w14:solidFill>
                    <w14:schemeClr w14:val="tx1"/>
                  </w14:solidFill>
                </w14:textFill>
              </w:rPr>
              <w:t>的位置。</w:t>
            </w:r>
          </w:p>
        </w:tc>
        <w:tc>
          <w:tcPr>
            <w:tcW w:w="2197" w:type="dxa"/>
            <w:tcMar>
              <w:left w:w="28" w:type="dxa"/>
              <w:right w:w="28" w:type="dxa"/>
            </w:tcMar>
            <w:vAlign w:val="center"/>
          </w:tcPr>
          <w:p w14:paraId="1F7986EB">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p>
          <w:p w14:paraId="4BB9A1F4">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目测，必要时测量。</w:t>
            </w:r>
          </w:p>
        </w:tc>
      </w:tr>
      <w:tr w14:paraId="74D188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61" w:hRule="atLeast"/>
          <w:jc w:val="center"/>
        </w:trPr>
        <w:tc>
          <w:tcPr>
            <w:tcW w:w="470" w:type="dxa"/>
            <w:vMerge w:val="continue"/>
            <w:tcMar>
              <w:left w:w="28" w:type="dxa"/>
              <w:right w:w="28" w:type="dxa"/>
            </w:tcMar>
            <w:vAlign w:val="center"/>
          </w:tcPr>
          <w:p w14:paraId="0044BC71">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p>
        </w:tc>
        <w:tc>
          <w:tcPr>
            <w:tcW w:w="625" w:type="dxa"/>
            <w:vMerge w:val="continue"/>
            <w:tcMar>
              <w:left w:w="28" w:type="dxa"/>
              <w:right w:w="28" w:type="dxa"/>
            </w:tcMar>
            <w:vAlign w:val="center"/>
          </w:tcPr>
          <w:p w14:paraId="352C652D">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39D03599">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A2.2.3.9</w:t>
            </w:r>
          </w:p>
          <w:p w14:paraId="244B9D4D">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围裙板</w:t>
            </w:r>
          </w:p>
          <w:p w14:paraId="6FB103BD">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防夹</w:t>
            </w:r>
          </w:p>
          <w:p w14:paraId="3A986D04">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开关</w:t>
            </w:r>
          </w:p>
        </w:tc>
        <w:tc>
          <w:tcPr>
            <w:tcW w:w="4690" w:type="dxa"/>
            <w:tcMar>
              <w:left w:w="28" w:type="dxa"/>
              <w:right w:w="28" w:type="dxa"/>
            </w:tcMar>
            <w:vAlign w:val="center"/>
          </w:tcPr>
          <w:p w14:paraId="48E65E62">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对于设有围裙板防夹开关的自动扶梯，检查夹入梯级和围裙板之间的异物最迟到达围裙板防夹开关处时，该开关是否能够有效动作，使自动扶梯在该梯级到达梳齿板前自动停止运行。</w:t>
            </w:r>
          </w:p>
        </w:tc>
        <w:tc>
          <w:tcPr>
            <w:tcW w:w="2197" w:type="dxa"/>
            <w:tcMar>
              <w:left w:w="28" w:type="dxa"/>
              <w:right w:w="28" w:type="dxa"/>
            </w:tcMar>
            <w:vAlign w:val="center"/>
          </w:tcPr>
          <w:p w14:paraId="18952669">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模拟动作试验。</w:t>
            </w:r>
          </w:p>
        </w:tc>
      </w:tr>
      <w:tr w14:paraId="7288CE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7794B686">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625" w:type="dxa"/>
            <w:vMerge w:val="restart"/>
            <w:tcMar>
              <w:left w:w="28" w:type="dxa"/>
              <w:right w:w="28" w:type="dxa"/>
            </w:tcMar>
            <w:vAlign w:val="center"/>
          </w:tcPr>
          <w:p w14:paraId="3CF96898">
            <w:pPr>
              <w:adjustRightInd w:val="0"/>
              <w:snapToGrid w:val="0"/>
              <w:spacing w:line="30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A2.2.4</w:t>
            </w:r>
          </w:p>
          <w:p w14:paraId="2BE79D8D">
            <w:pPr>
              <w:pStyle w:val="19"/>
              <w:overflowPunct w:val="0"/>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梯级、踏板</w:t>
            </w:r>
          </w:p>
          <w:p w14:paraId="50E0E18A">
            <w:pPr>
              <w:pStyle w:val="19"/>
              <w:overflowPunct w:val="0"/>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（胶带）</w:t>
            </w:r>
          </w:p>
          <w:p w14:paraId="759CD89A">
            <w:pPr>
              <w:pStyle w:val="19"/>
              <w:overflowPunct w:val="0"/>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及其驱动元件</w:t>
            </w:r>
          </w:p>
        </w:tc>
        <w:tc>
          <w:tcPr>
            <w:tcW w:w="918" w:type="dxa"/>
            <w:tcMar>
              <w:left w:w="28" w:type="dxa"/>
              <w:right w:w="28" w:type="dxa"/>
            </w:tcMar>
            <w:vAlign w:val="center"/>
          </w:tcPr>
          <w:p w14:paraId="0DF657C8">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A2.2.4.1</w:t>
            </w:r>
          </w:p>
          <w:p w14:paraId="198DD4D8">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梯级、</w:t>
            </w:r>
          </w:p>
          <w:p w14:paraId="20541B89">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踏板</w:t>
            </w:r>
          </w:p>
          <w:p w14:paraId="599384D5">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（胶带）</w:t>
            </w:r>
          </w:p>
        </w:tc>
        <w:tc>
          <w:tcPr>
            <w:tcW w:w="4690" w:type="dxa"/>
            <w:tcMar>
              <w:left w:w="28" w:type="dxa"/>
              <w:right w:w="28" w:type="dxa"/>
            </w:tcMar>
            <w:vAlign w:val="center"/>
          </w:tcPr>
          <w:p w14:paraId="2E91E55D">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）梯级、踏板或者胶带完好，无破损；</w:t>
            </w:r>
          </w:p>
          <w:p w14:paraId="35CFE28C">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2</w:t>
            </w:r>
            <w:r>
              <w:rPr>
                <w:rFonts w:hAnsiTheme="minorEastAsia" w:eastAsiaTheme="minorEastAsia"/>
                <w:bCs/>
                <w:snapToGrid w:val="0"/>
                <w:color w:val="000000" w:themeColor="text1"/>
                <w:kern w:val="0"/>
                <w:szCs w:val="21"/>
                <w14:textFill>
                  <w14:solidFill>
                    <w14:schemeClr w14:val="tx1"/>
                  </w14:solidFill>
                </w14:textFill>
              </w:rPr>
              <w:t>）在工作区段内的任何位置，从踏面测得的两个相邻梯级或者踏板之间的间隙不大于</w:t>
            </w:r>
            <w:r>
              <w:rPr>
                <w:rFonts w:eastAsiaTheme="minorEastAsia"/>
                <w:bCs/>
                <w:snapToGrid w:val="0"/>
                <w:color w:val="000000" w:themeColor="text1"/>
                <w:kern w:val="0"/>
                <w:szCs w:val="21"/>
                <w14:textFill>
                  <w14:solidFill>
                    <w14:schemeClr w14:val="tx1"/>
                  </w14:solidFill>
                </w14:textFill>
              </w:rPr>
              <w:t>6mm</w:t>
            </w:r>
            <w:r>
              <w:rPr>
                <w:rFonts w:hAnsiTheme="minorEastAsia" w:eastAsiaTheme="minorEastAsia"/>
                <w:bCs/>
                <w:snapToGrid w:val="0"/>
                <w:color w:val="000000" w:themeColor="text1"/>
                <w:kern w:val="0"/>
                <w:szCs w:val="21"/>
                <w14:textFill>
                  <w14:solidFill>
                    <w14:schemeClr w14:val="tx1"/>
                  </w14:solidFill>
                </w14:textFill>
              </w:rPr>
              <w:t>；在自动人行道过渡曲线区段，如果踏板的前缘和相邻踏板的后缘啮合，其间隙允许增至</w:t>
            </w:r>
            <w:r>
              <w:rPr>
                <w:rFonts w:eastAsiaTheme="minorEastAsia"/>
                <w:bCs/>
                <w:snapToGrid w:val="0"/>
                <w:color w:val="000000" w:themeColor="text1"/>
                <w:kern w:val="0"/>
                <w:szCs w:val="21"/>
                <w14:textFill>
                  <w14:solidFill>
                    <w14:schemeClr w14:val="tx1"/>
                  </w14:solidFill>
                </w14:textFill>
              </w:rPr>
              <w:t>8mm</w:t>
            </w:r>
            <w:r>
              <w:rPr>
                <w:rFonts w:hint="eastAsia" w:eastAsiaTheme="minorEastAsia"/>
                <w:bCs/>
                <w:snapToGrid w:val="0"/>
                <w:color w:val="000000" w:themeColor="text1"/>
                <w:kern w:val="0"/>
                <w:szCs w:val="21"/>
                <w14:textFill>
                  <w14:solidFill>
                    <w14:schemeClr w14:val="tx1"/>
                  </w14:solidFill>
                </w14:textFill>
              </w:rPr>
              <w:t>。</w:t>
            </w:r>
          </w:p>
        </w:tc>
        <w:tc>
          <w:tcPr>
            <w:tcW w:w="2197" w:type="dxa"/>
            <w:tcMar>
              <w:left w:w="28" w:type="dxa"/>
              <w:right w:w="28" w:type="dxa"/>
            </w:tcMar>
            <w:vAlign w:val="center"/>
          </w:tcPr>
          <w:p w14:paraId="2F985F20">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目测，必要时测量。</w:t>
            </w:r>
          </w:p>
        </w:tc>
      </w:tr>
      <w:tr w14:paraId="52F4DF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60CDA4BA">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625" w:type="dxa"/>
            <w:vMerge w:val="continue"/>
            <w:tcMar>
              <w:left w:w="28" w:type="dxa"/>
              <w:right w:w="28" w:type="dxa"/>
            </w:tcMar>
            <w:vAlign w:val="center"/>
          </w:tcPr>
          <w:p w14:paraId="27A8D831">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7C4B03DC">
            <w:pPr>
              <w:pStyle w:val="19"/>
              <w:snapToGrid w:val="0"/>
              <w:spacing w:line="30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*A2.2.4.2</w:t>
            </w:r>
          </w:p>
          <w:p w14:paraId="03C291C4">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梯级、</w:t>
            </w:r>
          </w:p>
          <w:p w14:paraId="1AA9C6D2">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踏板</w:t>
            </w:r>
          </w:p>
          <w:p w14:paraId="69B9B666">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下陷</w:t>
            </w:r>
          </w:p>
          <w:p w14:paraId="1516EAD2">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保护</w:t>
            </w:r>
          </w:p>
        </w:tc>
        <w:tc>
          <w:tcPr>
            <w:tcW w:w="4690" w:type="dxa"/>
            <w:tcMar>
              <w:left w:w="28" w:type="dxa"/>
              <w:right w:w="28" w:type="dxa"/>
            </w:tcMar>
            <w:vAlign w:val="center"/>
          </w:tcPr>
          <w:p w14:paraId="4B72BABA">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检查梯级或者踏板下陷导致不再与梳齿啮合时，电气安全装置是否能够使受检设备自动停止运行，并且下陷的梯级或者踏板不会到达梳齿与踏面相交线；故障锁定功能是否保持有效。</w:t>
            </w:r>
          </w:p>
          <w:p w14:paraId="6B99BF1E">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检测时，卸除</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2</w:t>
            </w:r>
            <w:r>
              <w:rPr>
                <w:rFonts w:hAnsiTheme="minorEastAsia" w:eastAsiaTheme="minorEastAsia"/>
                <w:bCs/>
                <w:snapToGrid w:val="0"/>
                <w:color w:val="000000" w:themeColor="text1"/>
                <w:kern w:val="0"/>
                <w:szCs w:val="21"/>
                <w14:textFill>
                  <w14:solidFill>
                    <w14:schemeClr w14:val="tx1"/>
                  </w14:solidFill>
                </w14:textFill>
              </w:rPr>
              <w:t>个梯级或者踏板，将缺口检修运行至安全装置处，检测人员检查电气安全装置至梳齿与踏面相交线的距离是否大于工作制动器的最大制停距离；该装置动作后，是否能够使受检设备停止运行；故障锁定功能是否保持有效。</w:t>
            </w:r>
          </w:p>
        </w:tc>
        <w:tc>
          <w:tcPr>
            <w:tcW w:w="2197" w:type="dxa"/>
            <w:tcMar>
              <w:left w:w="28" w:type="dxa"/>
              <w:right w:w="28" w:type="dxa"/>
            </w:tcMar>
            <w:vAlign w:val="center"/>
          </w:tcPr>
          <w:p w14:paraId="206A42DF">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拆除</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2</w:t>
            </w:r>
            <w:r>
              <w:rPr>
                <w:rFonts w:hAnsiTheme="minorEastAsia" w:eastAsiaTheme="minorEastAsia"/>
                <w:bCs/>
                <w:snapToGrid w:val="0"/>
                <w:color w:val="000000" w:themeColor="text1"/>
                <w:kern w:val="0"/>
                <w:szCs w:val="21"/>
                <w14:textFill>
                  <w14:solidFill>
                    <w14:schemeClr w14:val="tx1"/>
                  </w14:solidFill>
                </w14:textFill>
              </w:rPr>
              <w:t>个梯级或者踏板，将缺口检修运行至安全装置处，检测人员检查：</w:t>
            </w:r>
          </w:p>
          <w:p w14:paraId="7F86263D">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）电气安全装置至梳齿与踏面相交线的距离是否大于工作制动器的最大制停距离；</w:t>
            </w:r>
          </w:p>
          <w:p w14:paraId="58DB39A2">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2</w:t>
            </w:r>
            <w:r>
              <w:rPr>
                <w:rFonts w:hAnsiTheme="minorEastAsia" w:eastAsiaTheme="minorEastAsia"/>
                <w:bCs/>
                <w:snapToGrid w:val="0"/>
                <w:color w:val="000000" w:themeColor="text1"/>
                <w:kern w:val="0"/>
                <w:szCs w:val="21"/>
                <w14:textFill>
                  <w14:solidFill>
                    <w14:schemeClr w14:val="tx1"/>
                  </w14:solidFill>
                </w14:textFill>
              </w:rPr>
              <w:t>）检查动作装置能否使安全装置动作，并且使受检设备停止运行；</w:t>
            </w:r>
          </w:p>
          <w:p w14:paraId="59A58744">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3</w:t>
            </w:r>
            <w:r>
              <w:rPr>
                <w:rFonts w:hAnsiTheme="minorEastAsia" w:eastAsiaTheme="minorEastAsia"/>
                <w:bCs/>
                <w:snapToGrid w:val="0"/>
                <w:color w:val="000000" w:themeColor="text1"/>
                <w:kern w:val="0"/>
                <w:szCs w:val="21"/>
                <w14:textFill>
                  <w14:solidFill>
                    <w14:schemeClr w14:val="tx1"/>
                  </w14:solidFill>
                </w14:textFill>
              </w:rPr>
              <w:t>）检查故障锁定功能是否保持有效。</w:t>
            </w:r>
          </w:p>
        </w:tc>
      </w:tr>
      <w:tr w14:paraId="16F2EB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restart"/>
            <w:tcMar>
              <w:left w:w="28" w:type="dxa"/>
              <w:right w:w="28" w:type="dxa"/>
            </w:tcMar>
            <w:vAlign w:val="center"/>
          </w:tcPr>
          <w:p w14:paraId="2DFCE278">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w:t>
            </w:r>
          </w:p>
          <w:p w14:paraId="0850A088">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实物检查</w:t>
            </w:r>
          </w:p>
        </w:tc>
        <w:tc>
          <w:tcPr>
            <w:tcW w:w="625" w:type="dxa"/>
            <w:vMerge w:val="restart"/>
            <w:tcMar>
              <w:left w:w="28" w:type="dxa"/>
              <w:right w:w="28" w:type="dxa"/>
            </w:tcMar>
            <w:vAlign w:val="center"/>
          </w:tcPr>
          <w:p w14:paraId="6DDE8568">
            <w:pPr>
              <w:adjustRightInd w:val="0"/>
              <w:snapToGrid w:val="0"/>
              <w:spacing w:line="300" w:lineRule="exact"/>
              <w:ind w:left="-57" w:right="-57"/>
              <w:jc w:val="center"/>
              <w:rPr>
                <w:rFonts w:eastAsiaTheme="minorEastAsia"/>
                <w:bCs/>
                <w:snapToGrid w:val="0"/>
                <w:color w:val="000000" w:themeColor="text1"/>
                <w:kern w:val="0"/>
                <w:szCs w:val="21"/>
                <w14:textFill>
                  <w14:solidFill>
                    <w14:schemeClr w14:val="tx1"/>
                  </w14:solidFill>
                </w14:textFill>
              </w:rPr>
            </w:pPr>
            <w:r>
              <w:rPr>
                <w:rFonts w:eastAsiaTheme="minorEastAsia"/>
                <w:bCs/>
                <w:snapToGrid w:val="0"/>
                <w:color w:val="000000" w:themeColor="text1"/>
                <w:kern w:val="0"/>
                <w:szCs w:val="21"/>
                <w14:textFill>
                  <w14:solidFill>
                    <w14:schemeClr w14:val="tx1"/>
                  </w14:solidFill>
                </w14:textFill>
              </w:rPr>
              <w:t>A2.2.4</w:t>
            </w:r>
          </w:p>
          <w:p w14:paraId="6104E337">
            <w:pPr>
              <w:pStyle w:val="19"/>
              <w:overflowPunct w:val="0"/>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梯级、踏板</w:t>
            </w:r>
          </w:p>
          <w:p w14:paraId="6D980976">
            <w:pPr>
              <w:pStyle w:val="19"/>
              <w:overflowPunct w:val="0"/>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（胶带）</w:t>
            </w:r>
          </w:p>
          <w:p w14:paraId="134B520A">
            <w:pPr>
              <w:pStyle w:val="19"/>
              <w:overflowPunct w:val="0"/>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及其驱动元件</w:t>
            </w:r>
          </w:p>
        </w:tc>
        <w:tc>
          <w:tcPr>
            <w:tcW w:w="918" w:type="dxa"/>
            <w:tcMar>
              <w:left w:w="28" w:type="dxa"/>
              <w:right w:w="28" w:type="dxa"/>
            </w:tcMar>
            <w:vAlign w:val="center"/>
          </w:tcPr>
          <w:p w14:paraId="23992049">
            <w:pPr>
              <w:pStyle w:val="19"/>
              <w:snapToGrid w:val="0"/>
              <w:spacing w:line="30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*A2.2.4.3</w:t>
            </w:r>
          </w:p>
          <w:p w14:paraId="6E0FF73D">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梯级、</w:t>
            </w:r>
          </w:p>
          <w:p w14:paraId="273BE0E9">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踏板</w:t>
            </w:r>
          </w:p>
          <w:p w14:paraId="3AA77AE8">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缺失</w:t>
            </w:r>
          </w:p>
          <w:p w14:paraId="1D23CD47">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保护</w:t>
            </w:r>
          </w:p>
        </w:tc>
        <w:tc>
          <w:tcPr>
            <w:tcW w:w="4690" w:type="dxa"/>
            <w:tcMar>
              <w:left w:w="28" w:type="dxa"/>
              <w:right w:w="28" w:type="dxa"/>
            </w:tcMar>
            <w:vAlign w:val="center"/>
          </w:tcPr>
          <w:p w14:paraId="1D286F34">
            <w:pPr>
              <w:adjustRightInd w:val="0"/>
              <w:snapToGrid w:val="0"/>
              <w:spacing w:line="30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检查由梯级或者踏板缺失而导致的缺口从梳齿板位置出现之前，电气安全装置是否能够使受检设备自动停止运行；故障锁定功能是否保持有效。检测时，卸除</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个梯级或者踏板，将缺口运行至返回分支内与回转段下部相接的直线段位置，正常启动受检设备上行和下行，检测人员分别确认缺口到达梳齿板位置之前，电气安全装置是否能够使受检设备自动停止运行故障锁定功能是否保持有效。</w:t>
            </w:r>
          </w:p>
        </w:tc>
        <w:tc>
          <w:tcPr>
            <w:tcW w:w="2197" w:type="dxa"/>
            <w:tcMar>
              <w:left w:w="28" w:type="dxa"/>
              <w:right w:w="28" w:type="dxa"/>
            </w:tcMar>
            <w:vAlign w:val="center"/>
          </w:tcPr>
          <w:p w14:paraId="70884DDC">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卸除</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个梯级或者踏板，将缺口运行至返回分支内与回转段下部相接的直线段位置后，正常启动受检设备上行和下行，检测人员确认：</w:t>
            </w:r>
          </w:p>
          <w:p w14:paraId="268E4483">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1</w:t>
            </w:r>
            <w:r>
              <w:rPr>
                <w:rFonts w:hAnsiTheme="minorEastAsia" w:eastAsiaTheme="minorEastAsia"/>
                <w:bCs/>
                <w:snapToGrid w:val="0"/>
                <w:color w:val="000000" w:themeColor="text1"/>
                <w:kern w:val="0"/>
                <w:szCs w:val="21"/>
                <w14:textFill>
                  <w14:solidFill>
                    <w14:schemeClr w14:val="tx1"/>
                  </w14:solidFill>
                </w14:textFill>
              </w:rPr>
              <w:t>）缺口到达梳齿板位置之前，电气安全装置是否能够使受检设备自动停止运行；</w:t>
            </w:r>
          </w:p>
          <w:p w14:paraId="5E14F8A3">
            <w:pPr>
              <w:adjustRightInd w:val="0"/>
              <w:snapToGrid w:val="0"/>
              <w:spacing w:line="280" w:lineRule="exact"/>
              <w:rPr>
                <w:rFonts w:eastAsiaTheme="minorEastAsia"/>
                <w:bCs/>
                <w:snapToGrid w:val="0"/>
                <w:color w:val="000000" w:themeColor="text1"/>
                <w:kern w:val="0"/>
                <w:szCs w:val="21"/>
                <w14:textFill>
                  <w14:solidFill>
                    <w14:schemeClr w14:val="tx1"/>
                  </w14:solidFill>
                </w14:textFill>
              </w:rPr>
            </w:pPr>
            <w:r>
              <w:rPr>
                <w:rFonts w:hAnsiTheme="minorEastAsia" w:eastAsiaTheme="minorEastAsia"/>
                <w:bCs/>
                <w:snapToGrid w:val="0"/>
                <w:color w:val="000000" w:themeColor="text1"/>
                <w:kern w:val="0"/>
                <w:szCs w:val="21"/>
                <w14:textFill>
                  <w14:solidFill>
                    <w14:schemeClr w14:val="tx1"/>
                  </w14:solidFill>
                </w14:textFill>
              </w:rPr>
              <w:t>（</w:t>
            </w:r>
            <w:r>
              <w:rPr>
                <w:rFonts w:eastAsiaTheme="minorEastAsia"/>
                <w:bCs/>
                <w:snapToGrid w:val="0"/>
                <w:color w:val="000000" w:themeColor="text1"/>
                <w:kern w:val="0"/>
                <w:szCs w:val="21"/>
                <w14:textFill>
                  <w14:solidFill>
                    <w14:schemeClr w14:val="tx1"/>
                  </w14:solidFill>
                </w14:textFill>
              </w:rPr>
              <w:t>2</w:t>
            </w:r>
            <w:r>
              <w:rPr>
                <w:rFonts w:hAnsiTheme="minorEastAsia" w:eastAsiaTheme="minorEastAsia"/>
                <w:bCs/>
                <w:snapToGrid w:val="0"/>
                <w:color w:val="000000" w:themeColor="text1"/>
                <w:kern w:val="0"/>
                <w:szCs w:val="21"/>
                <w14:textFill>
                  <w14:solidFill>
                    <w14:schemeClr w14:val="tx1"/>
                  </w14:solidFill>
                </w14:textFill>
              </w:rPr>
              <w:t>）检查故障锁定功能是否保持有效。</w:t>
            </w:r>
          </w:p>
        </w:tc>
      </w:tr>
      <w:tr w14:paraId="33042B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2059F033">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625" w:type="dxa"/>
            <w:vMerge w:val="continue"/>
            <w:tcMar>
              <w:left w:w="28" w:type="dxa"/>
              <w:right w:w="28" w:type="dxa"/>
            </w:tcMar>
            <w:vAlign w:val="center"/>
          </w:tcPr>
          <w:p w14:paraId="1A22B0E9">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335799A5">
            <w:pPr>
              <w:pStyle w:val="19"/>
              <w:snapToGrid w:val="0"/>
              <w:spacing w:line="30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*A2.2.4.4</w:t>
            </w:r>
          </w:p>
          <w:p w14:paraId="5FB4EF9C">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非操纵逆转</w:t>
            </w:r>
          </w:p>
          <w:p w14:paraId="0ECB8E8A">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保护</w:t>
            </w:r>
          </w:p>
        </w:tc>
        <w:tc>
          <w:tcPr>
            <w:tcW w:w="4690" w:type="dxa"/>
            <w:tcMar>
              <w:left w:w="28" w:type="dxa"/>
              <w:right w:w="28" w:type="dxa"/>
            </w:tcMar>
            <w:vAlign w:val="center"/>
          </w:tcPr>
          <w:p w14:paraId="6DD02365">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检查梯级、踏板或者胶带改变规定运行方向时，非操纵逆转保护装置是否能够使自动扶梯或者倾斜角不小于</w:t>
            </w:r>
            <w:r>
              <w:rPr>
                <w:rFonts w:eastAsiaTheme="minorEastAsia"/>
                <w:snapToGrid w:val="0"/>
                <w:color w:val="000000" w:themeColor="text1"/>
                <w:sz w:val="21"/>
                <w:szCs w:val="21"/>
                <w14:textFill>
                  <w14:solidFill>
                    <w14:schemeClr w14:val="tx1"/>
                  </w14:solidFill>
                </w14:textFill>
              </w:rPr>
              <w:t>6°</w:t>
            </w:r>
            <w:r>
              <w:rPr>
                <w:rFonts w:hAnsiTheme="minorEastAsia" w:eastAsiaTheme="minorEastAsia"/>
                <w:snapToGrid w:val="0"/>
                <w:color w:val="000000" w:themeColor="text1"/>
                <w:sz w:val="21"/>
                <w:szCs w:val="21"/>
                <w14:textFill>
                  <w14:solidFill>
                    <w14:schemeClr w14:val="tx1"/>
                  </w14:solidFill>
                </w14:textFill>
              </w:rPr>
              <w:t>的自动人行道自动停止运行；故障锁定功能是否保持有效。</w:t>
            </w:r>
          </w:p>
        </w:tc>
        <w:tc>
          <w:tcPr>
            <w:tcW w:w="2197" w:type="dxa"/>
            <w:tcMar>
              <w:left w:w="28" w:type="dxa"/>
              <w:right w:w="28" w:type="dxa"/>
            </w:tcMar>
            <w:vAlign w:val="center"/>
          </w:tcPr>
          <w:p w14:paraId="74BE1C34">
            <w:pPr>
              <w:pStyle w:val="19"/>
              <w:tabs>
                <w:tab w:val="left" w:pos="535"/>
              </w:tabs>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）按照制造单位提供的方法进行试验；</w:t>
            </w:r>
          </w:p>
          <w:p w14:paraId="41F46558">
            <w:pPr>
              <w:pStyle w:val="19"/>
              <w:tabs>
                <w:tab w:val="left" w:pos="535"/>
              </w:tabs>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）检查故障锁定功能是否保持有效。</w:t>
            </w:r>
          </w:p>
        </w:tc>
      </w:tr>
      <w:tr w14:paraId="70BC99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2EF7C86C">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625" w:type="dxa"/>
            <w:vMerge w:val="continue"/>
            <w:tcMar>
              <w:left w:w="28" w:type="dxa"/>
              <w:right w:w="28" w:type="dxa"/>
            </w:tcMar>
            <w:vAlign w:val="center"/>
          </w:tcPr>
          <w:p w14:paraId="1AECD74B">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1DD2B75E">
            <w:pPr>
              <w:pStyle w:val="19"/>
              <w:snapToGrid w:val="0"/>
              <w:spacing w:line="30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*A2.2.4.5</w:t>
            </w:r>
          </w:p>
          <w:p w14:paraId="20C72A1E">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驱动</w:t>
            </w:r>
          </w:p>
          <w:p w14:paraId="4E3D56CB">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元件</w:t>
            </w:r>
          </w:p>
          <w:p w14:paraId="4E32E3F1">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保护</w:t>
            </w:r>
          </w:p>
        </w:tc>
        <w:tc>
          <w:tcPr>
            <w:tcW w:w="4690" w:type="dxa"/>
            <w:tcMar>
              <w:left w:w="28" w:type="dxa"/>
              <w:right w:w="28" w:type="dxa"/>
            </w:tcMar>
            <w:vAlign w:val="center"/>
          </w:tcPr>
          <w:p w14:paraId="6D1EF539">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检查直接驱动梯级、踏板或者胶带的元件断裂或者过分伸长时，受检设备是否能够自动停止运行；故障锁定功能保持有效。</w:t>
            </w:r>
          </w:p>
        </w:tc>
        <w:tc>
          <w:tcPr>
            <w:tcW w:w="2197" w:type="dxa"/>
            <w:tcMar>
              <w:left w:w="28" w:type="dxa"/>
              <w:right w:w="28" w:type="dxa"/>
            </w:tcMar>
            <w:vAlign w:val="center"/>
          </w:tcPr>
          <w:p w14:paraId="2D048939">
            <w:pPr>
              <w:pStyle w:val="19"/>
              <w:tabs>
                <w:tab w:val="left" w:pos="654"/>
              </w:tabs>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）模拟驱动元件断裂或者过分伸长的状况，检查动作装置能否使安全装置动作，并且使受检设备自动停止运行；</w:t>
            </w:r>
          </w:p>
          <w:p w14:paraId="18DEAB3F">
            <w:pPr>
              <w:pStyle w:val="19"/>
              <w:tabs>
                <w:tab w:val="left" w:pos="641"/>
              </w:tabs>
              <w:snapToGrid w:val="0"/>
              <w:spacing w:line="28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）检查故障锁定功能是否保持有效。</w:t>
            </w:r>
          </w:p>
        </w:tc>
      </w:tr>
      <w:tr w14:paraId="5A98DA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3B0D1D44">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625" w:type="dxa"/>
            <w:vMerge w:val="continue"/>
            <w:tcMar>
              <w:left w:w="28" w:type="dxa"/>
              <w:right w:w="28" w:type="dxa"/>
            </w:tcMar>
            <w:vAlign w:val="center"/>
          </w:tcPr>
          <w:p w14:paraId="20D06524">
            <w:pPr>
              <w:adjustRightInd w:val="0"/>
              <w:snapToGrid w:val="0"/>
              <w:spacing w:line="300" w:lineRule="exact"/>
              <w:jc w:val="center"/>
              <w:rPr>
                <w:rFonts w:eastAsiaTheme="minorEastAsia"/>
                <w:snapToGrid w:val="0"/>
                <w:color w:val="000000" w:themeColor="text1"/>
                <w:kern w:val="0"/>
                <w:szCs w:val="21"/>
                <w14:textFill>
                  <w14:solidFill>
                    <w14:schemeClr w14:val="tx1"/>
                  </w14:solidFill>
                </w14:textFill>
              </w:rPr>
            </w:pPr>
          </w:p>
        </w:tc>
        <w:tc>
          <w:tcPr>
            <w:tcW w:w="918" w:type="dxa"/>
            <w:tcMar>
              <w:left w:w="28" w:type="dxa"/>
              <w:right w:w="28" w:type="dxa"/>
            </w:tcMar>
            <w:vAlign w:val="center"/>
          </w:tcPr>
          <w:p w14:paraId="53385702">
            <w:pPr>
              <w:pStyle w:val="19"/>
              <w:snapToGrid w:val="0"/>
              <w:spacing w:line="300" w:lineRule="exact"/>
              <w:ind w:left="-57" w:right="-57"/>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*A2.2.4.6</w:t>
            </w:r>
          </w:p>
          <w:p w14:paraId="49B884AB">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距离</w:t>
            </w:r>
          </w:p>
          <w:p w14:paraId="65C101DC">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伸缩</w:t>
            </w:r>
          </w:p>
          <w:p w14:paraId="09BBE7EB">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保护</w:t>
            </w:r>
          </w:p>
        </w:tc>
        <w:tc>
          <w:tcPr>
            <w:tcW w:w="4690" w:type="dxa"/>
            <w:tcMar>
              <w:left w:w="28" w:type="dxa"/>
              <w:right w:w="28" w:type="dxa"/>
            </w:tcMar>
            <w:vAlign w:val="center"/>
          </w:tcPr>
          <w:p w14:paraId="57931F7A">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检查驱动装置与转向装置之间的距离发生过分伸长或者缩短时，受检设备是否能够自动停止运行。</w:t>
            </w:r>
          </w:p>
        </w:tc>
        <w:tc>
          <w:tcPr>
            <w:tcW w:w="2197" w:type="dxa"/>
            <w:tcMar>
              <w:left w:w="28" w:type="dxa"/>
              <w:right w:w="28" w:type="dxa"/>
            </w:tcMar>
            <w:vAlign w:val="center"/>
          </w:tcPr>
          <w:p w14:paraId="26138ADC">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模拟驱动装置与转向装置之间的伸长或者缩短的状况，检查动作装置能否使安全装置动作，并且使受检设备自动停止运行。</w:t>
            </w:r>
          </w:p>
        </w:tc>
      </w:tr>
      <w:tr w14:paraId="76EFD9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19" w:hRule="atLeast"/>
          <w:jc w:val="center"/>
        </w:trPr>
        <w:tc>
          <w:tcPr>
            <w:tcW w:w="470" w:type="dxa"/>
            <w:tcMar>
              <w:left w:w="28" w:type="dxa"/>
              <w:right w:w="28" w:type="dxa"/>
            </w:tcMar>
            <w:vAlign w:val="center"/>
          </w:tcPr>
          <w:p w14:paraId="4E4106F9">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A2.3</w:t>
            </w:r>
          </w:p>
          <w:p w14:paraId="233A347D">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w:t>
            </w:r>
          </w:p>
        </w:tc>
        <w:tc>
          <w:tcPr>
            <w:tcW w:w="1543" w:type="dxa"/>
            <w:gridSpan w:val="2"/>
            <w:tcMar>
              <w:left w:w="28" w:type="dxa"/>
              <w:right w:w="28" w:type="dxa"/>
            </w:tcMar>
            <w:vAlign w:val="center"/>
          </w:tcPr>
          <w:p w14:paraId="3223C1B3">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*A2.3.1</w:t>
            </w:r>
          </w:p>
          <w:p w14:paraId="4EAF6F29">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运行试验</w:t>
            </w:r>
          </w:p>
        </w:tc>
        <w:tc>
          <w:tcPr>
            <w:tcW w:w="4690" w:type="dxa"/>
            <w:tcMar>
              <w:left w:w="28" w:type="dxa"/>
              <w:right w:w="28" w:type="dxa"/>
            </w:tcMar>
            <w:vAlign w:val="center"/>
          </w:tcPr>
          <w:p w14:paraId="0DD1351D">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）对于由使用者的进入而自动启动或者加速的受检设备，观察在使用者到达梳齿与踏面相交线之前，受检设备是否已经启动和加速，其运行方向标识是否正确并且清晰可见；</w:t>
            </w:r>
          </w:p>
          <w:p w14:paraId="0E7DB966">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）对于由使用者的进入而自动启动的受检设备，观察、测量当使用者从预定运行方向进入时，是否经过足够的时间（至少为预期输送时间再加上</w:t>
            </w:r>
            <w:r>
              <w:rPr>
                <w:rFonts w:eastAsiaTheme="minorEastAsia"/>
                <w:snapToGrid w:val="0"/>
                <w:color w:val="000000" w:themeColor="text1"/>
                <w:sz w:val="21"/>
                <w:szCs w:val="21"/>
                <w14:textFill>
                  <w14:solidFill>
                    <w14:schemeClr w14:val="tx1"/>
                  </w14:solidFill>
                </w14:textFill>
              </w:rPr>
              <w:t>10s</w:t>
            </w:r>
            <w:r>
              <w:rPr>
                <w:rFonts w:hAnsiTheme="minorEastAsia" w:eastAsiaTheme="minorEastAsia"/>
                <w:snapToGrid w:val="0"/>
                <w:color w:val="000000" w:themeColor="text1"/>
                <w:sz w:val="21"/>
                <w:szCs w:val="21"/>
                <w14:textFill>
                  <w14:solidFill>
                    <w14:schemeClr w14:val="tx1"/>
                  </w14:solidFill>
                </w14:textFill>
              </w:rPr>
              <w:t>）才能自动停止运行；当使用者从预定运行方向相反的方向进入时，是否仍按照预先确定的方向启动，运行时间不少于</w:t>
            </w:r>
            <w:r>
              <w:rPr>
                <w:rFonts w:eastAsiaTheme="minorEastAsia"/>
                <w:snapToGrid w:val="0"/>
                <w:color w:val="000000" w:themeColor="text1"/>
                <w:sz w:val="21"/>
                <w:szCs w:val="21"/>
                <w14:textFill>
                  <w14:solidFill>
                    <w14:schemeClr w14:val="tx1"/>
                  </w14:solidFill>
                </w14:textFill>
              </w:rPr>
              <w:t>10s</w:t>
            </w:r>
            <w:r>
              <w:rPr>
                <w:rFonts w:hAnsiTheme="minorEastAsia" w:eastAsiaTheme="minorEastAsia"/>
                <w:snapToGrid w:val="0"/>
                <w:color w:val="000000" w:themeColor="text1"/>
                <w:sz w:val="21"/>
                <w:szCs w:val="21"/>
                <w14:textFill>
                  <w14:solidFill>
                    <w14:schemeClr w14:val="tx1"/>
                  </w14:solidFill>
                </w14:textFill>
              </w:rPr>
              <w:t>；</w:t>
            </w:r>
          </w:p>
          <w:p w14:paraId="1A81C081">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）受检设备空载、以正常速度进行两个方向的连续运行，观察其是否运行平稳，无异常碰擦、干涉、松动、抖动和声响。</w:t>
            </w:r>
          </w:p>
        </w:tc>
        <w:tc>
          <w:tcPr>
            <w:tcW w:w="2197" w:type="dxa"/>
            <w:tcMar>
              <w:left w:w="28" w:type="dxa"/>
              <w:right w:w="28" w:type="dxa"/>
            </w:tcMar>
            <w:vAlign w:val="center"/>
          </w:tcPr>
          <w:p w14:paraId="5EA0B5C4">
            <w:pPr>
              <w:pStyle w:val="19"/>
              <w:tabs>
                <w:tab w:val="left" w:pos="641"/>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）目测检查；</w:t>
            </w:r>
          </w:p>
          <w:p w14:paraId="57AEFE9C">
            <w:pPr>
              <w:pStyle w:val="19"/>
              <w:tabs>
                <w:tab w:val="left" w:pos="641"/>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）对于由使用者的进入而自动启动的受检设备，观察、测量当使用者从预定运行方向进入时是否经过足够的时间（至少为预期输送时间再加上</w:t>
            </w:r>
            <w:r>
              <w:rPr>
                <w:rFonts w:eastAsiaTheme="minorEastAsia"/>
                <w:snapToGrid w:val="0"/>
                <w:color w:val="000000" w:themeColor="text1"/>
                <w:sz w:val="21"/>
                <w:szCs w:val="21"/>
                <w14:textFill>
                  <w14:solidFill>
                    <w14:schemeClr w14:val="tx1"/>
                  </w14:solidFill>
                </w14:textFill>
              </w:rPr>
              <w:t>10s</w:t>
            </w:r>
            <w:r>
              <w:rPr>
                <w:rFonts w:hAnsiTheme="minorEastAsia" w:eastAsiaTheme="minorEastAsia"/>
                <w:snapToGrid w:val="0"/>
                <w:color w:val="000000" w:themeColor="text1"/>
                <w:sz w:val="21"/>
                <w:szCs w:val="21"/>
                <w14:textFill>
                  <w14:solidFill>
                    <w14:schemeClr w14:val="tx1"/>
                  </w14:solidFill>
                </w14:textFill>
              </w:rPr>
              <w:t>）才能自动停止运行；当使用者从预定运行方向相反的方向进入时，是否仍按照预先确定的方向启动，运行时间不少于</w:t>
            </w:r>
            <w:r>
              <w:rPr>
                <w:rFonts w:eastAsiaTheme="minorEastAsia"/>
                <w:snapToGrid w:val="0"/>
                <w:color w:val="000000" w:themeColor="text1"/>
                <w:sz w:val="21"/>
                <w:szCs w:val="21"/>
                <w14:textFill>
                  <w14:solidFill>
                    <w14:schemeClr w14:val="tx1"/>
                  </w14:solidFill>
                </w14:textFill>
              </w:rPr>
              <w:t>10s</w:t>
            </w:r>
            <w:r>
              <w:rPr>
                <w:rFonts w:hAnsiTheme="minorEastAsia" w:eastAsiaTheme="minorEastAsia"/>
                <w:snapToGrid w:val="0"/>
                <w:color w:val="000000" w:themeColor="text1"/>
                <w:sz w:val="21"/>
                <w:szCs w:val="21"/>
                <w14:textFill>
                  <w14:solidFill>
                    <w14:schemeClr w14:val="tx1"/>
                  </w14:solidFill>
                </w14:textFill>
              </w:rPr>
              <w:t>；</w:t>
            </w:r>
          </w:p>
          <w:p w14:paraId="0626330A">
            <w:pPr>
              <w:pStyle w:val="19"/>
              <w:tabs>
                <w:tab w:val="left" w:pos="641"/>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）受检设备空载、以正常速度进行两个方向的连续运行，观察其是否运行平稳，无异常碰擦干涉、松动、抖动和声响。</w:t>
            </w:r>
          </w:p>
        </w:tc>
      </w:tr>
      <w:tr w14:paraId="38C1A3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8" w:hRule="atLeast"/>
          <w:jc w:val="center"/>
        </w:trPr>
        <w:tc>
          <w:tcPr>
            <w:tcW w:w="470" w:type="dxa"/>
            <w:vMerge w:val="restart"/>
            <w:tcMar>
              <w:left w:w="28" w:type="dxa"/>
              <w:right w:w="28" w:type="dxa"/>
            </w:tcMar>
            <w:vAlign w:val="center"/>
          </w:tcPr>
          <w:p w14:paraId="2A3CB044">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A2.3</w:t>
            </w:r>
          </w:p>
          <w:p w14:paraId="79C6AA9B">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w:t>
            </w:r>
          </w:p>
        </w:tc>
        <w:tc>
          <w:tcPr>
            <w:tcW w:w="1543" w:type="dxa"/>
            <w:gridSpan w:val="2"/>
            <w:tcMar>
              <w:left w:w="28" w:type="dxa"/>
              <w:right w:w="28" w:type="dxa"/>
            </w:tcMar>
            <w:vAlign w:val="center"/>
          </w:tcPr>
          <w:p w14:paraId="2CBF8D96">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*A2.3.2</w:t>
            </w:r>
          </w:p>
          <w:p w14:paraId="171EB215">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扶手带运行</w:t>
            </w:r>
          </w:p>
          <w:p w14:paraId="0448DC87">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速度偏差试验</w:t>
            </w:r>
          </w:p>
        </w:tc>
        <w:tc>
          <w:tcPr>
            <w:tcW w:w="4690" w:type="dxa"/>
            <w:tcMar>
              <w:left w:w="28" w:type="dxa"/>
              <w:right w:w="28" w:type="dxa"/>
            </w:tcMar>
            <w:vAlign w:val="center"/>
          </w:tcPr>
          <w:p w14:paraId="3304B1F9">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受检设备空载运行，分别测量、计算两个运行方向的扶手带运行速度相对于梯级、踏板或者胶带实际速度的偏差，判断其是否在</w:t>
            </w:r>
            <w:r>
              <w:rPr>
                <w:rFonts w:eastAsiaTheme="minorEastAsia"/>
                <w:snapToGrid w:val="0"/>
                <w:color w:val="000000" w:themeColor="text1"/>
                <w:sz w:val="21"/>
                <w:szCs w:val="21"/>
                <w14:textFill>
                  <w14:solidFill>
                    <w14:schemeClr w14:val="tx1"/>
                  </w14:solidFill>
                </w14:textFill>
              </w:rPr>
              <w:t>0</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范围内。</w:t>
            </w:r>
          </w:p>
        </w:tc>
        <w:tc>
          <w:tcPr>
            <w:tcW w:w="2197" w:type="dxa"/>
            <w:tcMar>
              <w:left w:w="28" w:type="dxa"/>
              <w:right w:w="28" w:type="dxa"/>
            </w:tcMar>
            <w:vAlign w:val="center"/>
          </w:tcPr>
          <w:p w14:paraId="4A160CA8">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受检设备空载运行，分别测量、计算两个运行方向的扶手带运行速度相对于梯级、踏板或者胶带实际速度的偏差，判断其是否在</w:t>
            </w:r>
            <w:r>
              <w:rPr>
                <w:rFonts w:eastAsiaTheme="minorEastAsia"/>
                <w:snapToGrid w:val="0"/>
                <w:color w:val="000000" w:themeColor="text1"/>
                <w:sz w:val="21"/>
                <w:szCs w:val="21"/>
                <w14:textFill>
                  <w14:solidFill>
                    <w14:schemeClr w14:val="tx1"/>
                  </w14:solidFill>
                </w14:textFill>
              </w:rPr>
              <w:t>0</w:t>
            </w: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范围内。</w:t>
            </w:r>
          </w:p>
        </w:tc>
      </w:tr>
      <w:tr w14:paraId="439BDD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52" w:hRule="atLeast"/>
          <w:jc w:val="center"/>
        </w:trPr>
        <w:tc>
          <w:tcPr>
            <w:tcW w:w="470" w:type="dxa"/>
            <w:vMerge w:val="continue"/>
            <w:tcMar>
              <w:left w:w="28" w:type="dxa"/>
              <w:right w:w="28" w:type="dxa"/>
            </w:tcMar>
            <w:vAlign w:val="center"/>
          </w:tcPr>
          <w:p w14:paraId="37C48FD5">
            <w:pPr>
              <w:pStyle w:val="19"/>
              <w:snapToGrid w:val="0"/>
              <w:spacing w:line="300" w:lineRule="exact"/>
              <w:jc w:val="center"/>
              <w:rPr>
                <w:rFonts w:eastAsiaTheme="minorEastAsia"/>
                <w:snapToGrid w:val="0"/>
                <w:color w:val="000000" w:themeColor="text1"/>
                <w:sz w:val="21"/>
                <w:szCs w:val="21"/>
                <w14:textFill>
                  <w14:solidFill>
                    <w14:schemeClr w14:val="tx1"/>
                  </w14:solidFill>
                </w14:textFill>
              </w:rPr>
            </w:pPr>
          </w:p>
        </w:tc>
        <w:tc>
          <w:tcPr>
            <w:tcW w:w="1543" w:type="dxa"/>
            <w:gridSpan w:val="2"/>
            <w:tcMar>
              <w:left w:w="28" w:type="dxa"/>
              <w:right w:w="28" w:type="dxa"/>
            </w:tcMar>
            <w:vAlign w:val="center"/>
          </w:tcPr>
          <w:p w14:paraId="601C59F4">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*A2.3.3</w:t>
            </w:r>
          </w:p>
          <w:p w14:paraId="7DFA4C23">
            <w:pPr>
              <w:pStyle w:val="19"/>
              <w:snapToGrid w:val="0"/>
              <w:spacing w:line="300" w:lineRule="exact"/>
              <w:jc w:val="center"/>
              <w:textAlignment w:val="auto"/>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空载制停距离</w:t>
            </w:r>
          </w:p>
          <w:p w14:paraId="352EF830">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w:t>
            </w:r>
          </w:p>
        </w:tc>
        <w:tc>
          <w:tcPr>
            <w:tcW w:w="4690" w:type="dxa"/>
            <w:tcMar>
              <w:left w:w="28" w:type="dxa"/>
              <w:right w:w="28" w:type="dxa"/>
            </w:tcMar>
            <w:vAlign w:val="center"/>
          </w:tcPr>
          <w:p w14:paraId="1D807B8B">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进行两个方向的空载制停距离试验，制停距离从用于制停的电气装置被触发时开始测量，测量受检设备的制停距离是否分别符合表</w:t>
            </w:r>
            <w:r>
              <w:rPr>
                <w:rFonts w:eastAsiaTheme="minorEastAsia"/>
                <w:snapToGrid w:val="0"/>
                <w:color w:val="000000" w:themeColor="text1"/>
                <w:sz w:val="21"/>
                <w:szCs w:val="21"/>
                <w14:textFill>
                  <w14:solidFill>
                    <w14:schemeClr w14:val="tx1"/>
                  </w14:solidFill>
                </w14:textFill>
              </w:rPr>
              <w:t>A2-1</w:t>
            </w:r>
            <w:r>
              <w:rPr>
                <w:rFonts w:hAnsiTheme="minorEastAsia" w:eastAsiaTheme="minorEastAsia"/>
                <w:snapToGrid w:val="0"/>
                <w:color w:val="000000" w:themeColor="text1"/>
                <w:sz w:val="21"/>
                <w:szCs w:val="21"/>
                <w14:textFill>
                  <w14:solidFill>
                    <w14:schemeClr w14:val="tx1"/>
                  </w14:solidFill>
                </w14:textFill>
              </w:rPr>
              <w:t>、表</w:t>
            </w:r>
            <w:r>
              <w:rPr>
                <w:rFonts w:eastAsiaTheme="minorEastAsia"/>
                <w:snapToGrid w:val="0"/>
                <w:color w:val="000000" w:themeColor="text1"/>
                <w:sz w:val="21"/>
                <w:szCs w:val="21"/>
                <w14:textFill>
                  <w14:solidFill>
                    <w14:schemeClr w14:val="tx1"/>
                  </w14:solidFill>
                </w14:textFill>
              </w:rPr>
              <w:t>A2-2</w:t>
            </w:r>
            <w:r>
              <w:rPr>
                <w:rFonts w:hAnsiTheme="minorEastAsia" w:eastAsiaTheme="minorEastAsia"/>
                <w:snapToGrid w:val="0"/>
                <w:color w:val="000000" w:themeColor="text1"/>
                <w:sz w:val="21"/>
                <w:szCs w:val="21"/>
                <w14:textFill>
                  <w14:solidFill>
                    <w14:schemeClr w14:val="tx1"/>
                  </w14:solidFill>
                </w14:textFill>
              </w:rPr>
              <w:t>的要求。</w:t>
            </w:r>
          </w:p>
          <w:p w14:paraId="66886DD0">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表</w:t>
            </w:r>
            <w:r>
              <w:rPr>
                <w:rFonts w:eastAsiaTheme="minorEastAsia"/>
                <w:snapToGrid w:val="0"/>
                <w:color w:val="000000" w:themeColor="text1"/>
                <w:sz w:val="21"/>
                <w:szCs w:val="21"/>
                <w14:textFill>
                  <w14:solidFill>
                    <w14:schemeClr w14:val="tx1"/>
                  </w14:solidFill>
                </w14:textFill>
              </w:rPr>
              <w:t>A2-1</w:t>
            </w:r>
            <w:r>
              <w:rPr>
                <w:rFonts w:hAnsiTheme="minorEastAsia" w:eastAsiaTheme="minorEastAsia"/>
                <w:snapToGrid w:val="0"/>
                <w:color w:val="000000" w:themeColor="text1"/>
                <w:sz w:val="21"/>
                <w:szCs w:val="21"/>
                <w14:textFill>
                  <w14:solidFill>
                    <w14:schemeClr w14:val="tx1"/>
                  </w14:solidFill>
                </w14:textFill>
              </w:rPr>
              <w:t>自动扶梯制停距离</w:t>
            </w:r>
          </w:p>
          <w:tbl>
            <w:tblPr>
              <w:tblStyle w:val="12"/>
              <w:tblW w:w="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224"/>
              <w:gridCol w:w="2093"/>
            </w:tblGrid>
            <w:tr w14:paraId="3A4BCA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jc w:val="center"/>
              </w:trPr>
              <w:tc>
                <w:tcPr>
                  <w:tcW w:w="2224" w:type="dxa"/>
                  <w:vAlign w:val="center"/>
                </w:tcPr>
                <w:p w14:paraId="54EBD014">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名义速度</w:t>
                  </w:r>
                </w:p>
              </w:tc>
              <w:tc>
                <w:tcPr>
                  <w:tcW w:w="2093" w:type="dxa"/>
                  <w:vAlign w:val="center"/>
                </w:tcPr>
                <w:p w14:paraId="0902C9FB">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制停距离范围</w:t>
                  </w:r>
                </w:p>
              </w:tc>
            </w:tr>
            <w:tr w14:paraId="646814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24" w:type="dxa"/>
                  <w:vAlign w:val="center"/>
                </w:tcPr>
                <w:p w14:paraId="608CDB5B">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0.50m/s</w:t>
                  </w:r>
                </w:p>
              </w:tc>
              <w:tc>
                <w:tcPr>
                  <w:tcW w:w="2093" w:type="dxa"/>
                  <w:vAlign w:val="center"/>
                </w:tcPr>
                <w:p w14:paraId="6E1D85D1">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0.20m</w:t>
                  </w:r>
                  <w:r>
                    <w:rPr>
                      <w:rFonts w:hint="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1.00m</w:t>
                  </w:r>
                </w:p>
              </w:tc>
            </w:tr>
            <w:tr w14:paraId="1A78A5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24" w:type="dxa"/>
                  <w:vAlign w:val="center"/>
                </w:tcPr>
                <w:p w14:paraId="00C19E1C">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0.65m/s</w:t>
                  </w:r>
                </w:p>
              </w:tc>
              <w:tc>
                <w:tcPr>
                  <w:tcW w:w="2093" w:type="dxa"/>
                  <w:vAlign w:val="center"/>
                </w:tcPr>
                <w:p w14:paraId="4B78CDCD">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0.30m</w:t>
                  </w:r>
                  <w:r>
                    <w:rPr>
                      <w:rFonts w:hint="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1.30m</w:t>
                  </w:r>
                </w:p>
              </w:tc>
            </w:tr>
            <w:tr w14:paraId="09F47B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24" w:type="dxa"/>
                  <w:vAlign w:val="center"/>
                </w:tcPr>
                <w:p w14:paraId="11FB920E">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0.75m/s</w:t>
                  </w:r>
                </w:p>
              </w:tc>
              <w:tc>
                <w:tcPr>
                  <w:tcW w:w="2093" w:type="dxa"/>
                  <w:vAlign w:val="center"/>
                </w:tcPr>
                <w:p w14:paraId="36CB3F46">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0.40m</w:t>
                  </w:r>
                  <w:r>
                    <w:rPr>
                      <w:rFonts w:hint="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1.50m</w:t>
                  </w:r>
                </w:p>
              </w:tc>
            </w:tr>
          </w:tbl>
          <w:p w14:paraId="29B536EF">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表</w:t>
            </w:r>
            <w:r>
              <w:rPr>
                <w:rFonts w:eastAsiaTheme="minorEastAsia"/>
                <w:snapToGrid w:val="0"/>
                <w:color w:val="000000" w:themeColor="text1"/>
                <w:sz w:val="21"/>
                <w:szCs w:val="21"/>
                <w14:textFill>
                  <w14:solidFill>
                    <w14:schemeClr w14:val="tx1"/>
                  </w14:solidFill>
                </w14:textFill>
              </w:rPr>
              <w:t>A2-2</w:t>
            </w:r>
            <w:r>
              <w:rPr>
                <w:rFonts w:hAnsiTheme="minorEastAsia" w:eastAsiaTheme="minorEastAsia"/>
                <w:snapToGrid w:val="0"/>
                <w:color w:val="000000" w:themeColor="text1"/>
                <w:sz w:val="21"/>
                <w:szCs w:val="21"/>
                <w14:textFill>
                  <w14:solidFill>
                    <w14:schemeClr w14:val="tx1"/>
                  </w14:solidFill>
                </w14:textFill>
              </w:rPr>
              <w:t>自动人行道制停距离</w:t>
            </w:r>
          </w:p>
          <w:tbl>
            <w:tblPr>
              <w:tblStyle w:val="12"/>
              <w:tblW w:w="430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209"/>
              <w:gridCol w:w="2091"/>
            </w:tblGrid>
            <w:tr w14:paraId="30648E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09" w:type="dxa"/>
                  <w:vAlign w:val="center"/>
                </w:tcPr>
                <w:p w14:paraId="3F1BB4CD">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名义速度</w:t>
                  </w:r>
                </w:p>
              </w:tc>
              <w:tc>
                <w:tcPr>
                  <w:tcW w:w="2091" w:type="dxa"/>
                  <w:vAlign w:val="center"/>
                </w:tcPr>
                <w:p w14:paraId="4A02F331">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制停距离范围</w:t>
                  </w:r>
                </w:p>
              </w:tc>
            </w:tr>
            <w:tr w14:paraId="3A6E2D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09" w:type="dxa"/>
                  <w:vAlign w:val="center"/>
                </w:tcPr>
                <w:p w14:paraId="04356C18">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0.50m/s</w:t>
                  </w:r>
                </w:p>
              </w:tc>
              <w:tc>
                <w:tcPr>
                  <w:tcW w:w="2091" w:type="dxa"/>
                  <w:vAlign w:val="center"/>
                </w:tcPr>
                <w:p w14:paraId="55403F88">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0.20m</w:t>
                  </w:r>
                  <w:r>
                    <w:rPr>
                      <w:rFonts w:hint="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1.00m</w:t>
                  </w:r>
                </w:p>
              </w:tc>
            </w:tr>
            <w:tr w14:paraId="0593F1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09" w:type="dxa"/>
                  <w:vAlign w:val="center"/>
                </w:tcPr>
                <w:p w14:paraId="59ED8D01">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0.65m/s</w:t>
                  </w:r>
                </w:p>
              </w:tc>
              <w:tc>
                <w:tcPr>
                  <w:tcW w:w="2091" w:type="dxa"/>
                  <w:vAlign w:val="center"/>
                </w:tcPr>
                <w:p w14:paraId="3BF5CA9D">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0.30m</w:t>
                  </w:r>
                  <w:r>
                    <w:rPr>
                      <w:rFonts w:hint="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1.30m</w:t>
                  </w:r>
                </w:p>
              </w:tc>
            </w:tr>
            <w:tr w14:paraId="534E89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09" w:type="dxa"/>
                  <w:vAlign w:val="center"/>
                </w:tcPr>
                <w:p w14:paraId="31273C5C">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0.75m/s</w:t>
                  </w:r>
                </w:p>
              </w:tc>
              <w:tc>
                <w:tcPr>
                  <w:tcW w:w="2091" w:type="dxa"/>
                  <w:vAlign w:val="center"/>
                </w:tcPr>
                <w:p w14:paraId="6E62FD75">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0.40m</w:t>
                  </w:r>
                  <w:r>
                    <w:rPr>
                      <w:rFonts w:hint="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1.50m</w:t>
                  </w:r>
                </w:p>
              </w:tc>
            </w:tr>
            <w:tr w14:paraId="432ACB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2209" w:type="dxa"/>
                  <w:vAlign w:val="center"/>
                </w:tcPr>
                <w:p w14:paraId="18C2A9C2">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0.90m/s</w:t>
                  </w:r>
                </w:p>
              </w:tc>
              <w:tc>
                <w:tcPr>
                  <w:tcW w:w="2091" w:type="dxa"/>
                  <w:vAlign w:val="center"/>
                </w:tcPr>
                <w:p w14:paraId="07502C7E">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0.55m</w:t>
                  </w:r>
                  <w:r>
                    <w:rPr>
                      <w:rFonts w:hint="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1.70m</w:t>
                  </w:r>
                </w:p>
              </w:tc>
            </w:tr>
          </w:tbl>
          <w:p w14:paraId="7F11622D">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p>
        </w:tc>
        <w:tc>
          <w:tcPr>
            <w:tcW w:w="2197" w:type="dxa"/>
            <w:tcMar>
              <w:left w:w="28" w:type="dxa"/>
              <w:right w:w="28" w:type="dxa"/>
            </w:tcMar>
            <w:vAlign w:val="center"/>
          </w:tcPr>
          <w:p w14:paraId="3052600F">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进行两个方向的空载制停距离试验，制停距离从用于制停的电气装置被触发时开始测量，测量受检设备的制停距离是否符合要求。</w:t>
            </w:r>
          </w:p>
          <w:p w14:paraId="72BA3887">
            <w:pPr>
              <w:pStyle w:val="19"/>
              <w:tabs>
                <w:tab w:val="left" w:pos="641"/>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）仪器测量；</w:t>
            </w:r>
          </w:p>
          <w:p w14:paraId="3323DBE4">
            <w:pPr>
              <w:pStyle w:val="19"/>
              <w:tabs>
                <w:tab w:val="left" w:pos="641"/>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）标记测量。</w:t>
            </w:r>
          </w:p>
        </w:tc>
      </w:tr>
      <w:tr w14:paraId="0BDB1E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661CCE5D">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1543" w:type="dxa"/>
            <w:gridSpan w:val="2"/>
            <w:tcMar>
              <w:left w:w="28" w:type="dxa"/>
              <w:right w:w="28" w:type="dxa"/>
            </w:tcMar>
            <w:vAlign w:val="center"/>
          </w:tcPr>
          <w:p w14:paraId="0149E2FA">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*A2.3.4</w:t>
            </w:r>
          </w:p>
          <w:p w14:paraId="38427770">
            <w:pPr>
              <w:pStyle w:val="19"/>
              <w:snapToGrid w:val="0"/>
              <w:spacing w:line="300" w:lineRule="exact"/>
              <w:jc w:val="center"/>
              <w:textAlignment w:val="auto"/>
              <w:rPr>
                <w:rFonts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附加制动器</w:t>
            </w:r>
          </w:p>
          <w:p w14:paraId="37EBE38B">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试验</w:t>
            </w:r>
          </w:p>
        </w:tc>
        <w:tc>
          <w:tcPr>
            <w:tcW w:w="4690" w:type="dxa"/>
            <w:tcMar>
              <w:left w:w="28" w:type="dxa"/>
              <w:right w:w="28" w:type="dxa"/>
            </w:tcMar>
            <w:vAlign w:val="center"/>
          </w:tcPr>
          <w:p w14:paraId="37E598D8">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）检查在附加制动器动作开始时是否能够强制切断控制电路；</w:t>
            </w:r>
          </w:p>
          <w:p w14:paraId="3A9101E6">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）受检设备空载，在工作制动器松开状态下，下行时触发附加制动器动作观察附加制动器是否能够使受检设备可靠制停；</w:t>
            </w:r>
          </w:p>
          <w:p w14:paraId="0DE231BD">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3</w:t>
            </w:r>
            <w:r>
              <w:rPr>
                <w:rFonts w:hAnsiTheme="minorEastAsia" w:eastAsiaTheme="minorEastAsia"/>
                <w:snapToGrid w:val="0"/>
                <w:color w:val="000000" w:themeColor="text1"/>
                <w:sz w:val="21"/>
                <w:szCs w:val="21"/>
                <w14:textFill>
                  <w14:solidFill>
                    <w14:schemeClr w14:val="tx1"/>
                  </w14:solidFill>
                </w14:textFill>
              </w:rPr>
              <w:t>）如果受检设备设有两个及以上驱动主机，并且采用工作制动器互为附加制动器时，检查每一制动器是否均符合本条第（</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）和第（</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）项的要求。</w:t>
            </w:r>
          </w:p>
        </w:tc>
        <w:tc>
          <w:tcPr>
            <w:tcW w:w="2197" w:type="dxa"/>
            <w:tcMar>
              <w:left w:w="28" w:type="dxa"/>
              <w:right w:w="28" w:type="dxa"/>
            </w:tcMar>
            <w:vAlign w:val="center"/>
          </w:tcPr>
          <w:p w14:paraId="0DC08CFC">
            <w:pPr>
              <w:pStyle w:val="19"/>
              <w:tabs>
                <w:tab w:val="left" w:pos="438"/>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1</w:t>
            </w:r>
            <w:r>
              <w:rPr>
                <w:rFonts w:hAnsiTheme="minorEastAsia" w:eastAsiaTheme="minorEastAsia"/>
                <w:snapToGrid w:val="0"/>
                <w:color w:val="000000" w:themeColor="text1"/>
                <w:sz w:val="21"/>
                <w:szCs w:val="21"/>
                <w14:textFill>
                  <w14:solidFill>
                    <w14:schemeClr w14:val="tx1"/>
                  </w14:solidFill>
                </w14:textFill>
              </w:rPr>
              <w:t>）检查在附加制动器动作开始时是否能够强制切断控制电路；</w:t>
            </w:r>
          </w:p>
          <w:p w14:paraId="2FD5514F">
            <w:pPr>
              <w:pStyle w:val="19"/>
              <w:tabs>
                <w:tab w:val="left" w:pos="429"/>
              </w:tabs>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w:t>
            </w:r>
            <w:r>
              <w:rPr>
                <w:rFonts w:eastAsiaTheme="minorEastAsia"/>
                <w:snapToGrid w:val="0"/>
                <w:color w:val="000000" w:themeColor="text1"/>
                <w:sz w:val="21"/>
                <w:szCs w:val="21"/>
                <w14:textFill>
                  <w14:solidFill>
                    <w14:schemeClr w14:val="tx1"/>
                  </w14:solidFill>
                </w14:textFill>
              </w:rPr>
              <w:t>2</w:t>
            </w:r>
            <w:r>
              <w:rPr>
                <w:rFonts w:hAnsiTheme="minorEastAsia" w:eastAsiaTheme="minorEastAsia"/>
                <w:snapToGrid w:val="0"/>
                <w:color w:val="000000" w:themeColor="text1"/>
                <w:sz w:val="21"/>
                <w:szCs w:val="21"/>
                <w14:textFill>
                  <w14:solidFill>
                    <w14:schemeClr w14:val="tx1"/>
                  </w14:solidFill>
                </w14:textFill>
              </w:rPr>
              <w:t>）受检设备空载，在工作制动器松开状态下，下行时触发附加制动器动作，观察附加制动器是否能够使受检设备可靠制停。</w:t>
            </w:r>
          </w:p>
        </w:tc>
      </w:tr>
      <w:tr w14:paraId="34FC4C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restart"/>
            <w:tcMar>
              <w:left w:w="28" w:type="dxa"/>
              <w:right w:w="28" w:type="dxa"/>
            </w:tcMar>
            <w:vAlign w:val="center"/>
          </w:tcPr>
          <w:p w14:paraId="6D7B323A">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其他</w:t>
            </w:r>
          </w:p>
        </w:tc>
        <w:tc>
          <w:tcPr>
            <w:tcW w:w="1543" w:type="dxa"/>
            <w:gridSpan w:val="2"/>
            <w:vMerge w:val="restart"/>
            <w:tcMar>
              <w:left w:w="28" w:type="dxa"/>
              <w:right w:w="28" w:type="dxa"/>
            </w:tcMar>
            <w:vAlign w:val="center"/>
          </w:tcPr>
          <w:p w14:paraId="25A498C8">
            <w:pPr>
              <w:pStyle w:val="19"/>
              <w:snapToGrid w:val="0"/>
              <w:spacing w:line="300" w:lineRule="exact"/>
              <w:jc w:val="center"/>
              <w:textAlignment w:val="auto"/>
              <w:rPr>
                <w:rFonts w:hint="eastAsia" w:hAnsiTheme="minorEastAsia"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市场监管总局关于进一步加强电梯等特种设备安全工作的通知</w:t>
            </w:r>
          </w:p>
          <w:p w14:paraId="2F79972D">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要求</w:t>
            </w:r>
          </w:p>
        </w:tc>
        <w:tc>
          <w:tcPr>
            <w:tcW w:w="4690" w:type="dxa"/>
            <w:tcMar>
              <w:left w:w="28" w:type="dxa"/>
              <w:right w:w="28" w:type="dxa"/>
            </w:tcMar>
            <w:vAlign w:val="center"/>
          </w:tcPr>
          <w:p w14:paraId="2D41F9C6">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eastAsiaTheme="minorEastAsia"/>
                <w:snapToGrid w:val="0"/>
                <w:color w:val="000000" w:themeColor="text1"/>
                <w:sz w:val="21"/>
                <w:szCs w:val="21"/>
                <w14:textFill>
                  <w14:solidFill>
                    <w14:schemeClr w14:val="tx1"/>
                  </w14:solidFill>
                </w14:textFill>
              </w:rPr>
              <w:t>*</w:t>
            </w:r>
            <w:r>
              <w:rPr>
                <w:rFonts w:hAnsiTheme="minorEastAsia" w:eastAsiaTheme="minorEastAsia"/>
                <w:snapToGrid w:val="0"/>
                <w:color w:val="000000" w:themeColor="text1"/>
                <w:sz w:val="21"/>
                <w:szCs w:val="21"/>
                <w14:textFill>
                  <w14:solidFill>
                    <w14:schemeClr w14:val="tx1"/>
                  </w14:solidFill>
                </w14:textFill>
              </w:rPr>
              <w:t>梯级或者踏板安装是否牢固，有无失效、缺失、松动等现象，梯级</w:t>
            </w:r>
            <w:r>
              <w:rPr>
                <w:rFonts w:hint="eastAsia" w:hAnsiTheme="minorEastAsia" w:eastAsiaTheme="minorEastAsia"/>
                <w:snapToGrid w:val="0"/>
                <w:color w:val="000000" w:themeColor="text1"/>
                <w:sz w:val="21"/>
                <w:szCs w:val="21"/>
                <w14:textFill>
                  <w14:solidFill>
                    <w14:schemeClr w14:val="tx1"/>
                  </w14:solidFill>
                </w14:textFill>
              </w:rPr>
              <w:t>。</w:t>
            </w:r>
          </w:p>
        </w:tc>
        <w:tc>
          <w:tcPr>
            <w:tcW w:w="2197" w:type="dxa"/>
            <w:tcMar>
              <w:left w:w="28" w:type="dxa"/>
              <w:right w:w="28" w:type="dxa"/>
            </w:tcMar>
            <w:vAlign w:val="center"/>
          </w:tcPr>
          <w:p w14:paraId="4658CB72">
            <w:pPr>
              <w:pStyle w:val="19"/>
              <w:snapToGrid w:val="0"/>
              <w:spacing w:line="300" w:lineRule="exact"/>
              <w:jc w:val="both"/>
              <w:textAlignment w:val="auto"/>
              <w:rPr>
                <w:rFonts w:eastAsiaTheme="minorEastAsia"/>
                <w:snapToGrid w:val="0"/>
                <w:color w:val="000000" w:themeColor="text1"/>
                <w:sz w:val="21"/>
                <w:szCs w:val="21"/>
                <w14:textFill>
                  <w14:solidFill>
                    <w14:schemeClr w14:val="tx1"/>
                  </w14:solidFill>
                </w14:textFill>
              </w:rPr>
            </w:pPr>
            <w:r>
              <w:rPr>
                <w:rFonts w:hAnsiTheme="minorEastAsia" w:eastAsiaTheme="minorEastAsia"/>
                <w:snapToGrid w:val="0"/>
                <w:color w:val="000000" w:themeColor="text1"/>
                <w:sz w:val="21"/>
                <w:szCs w:val="21"/>
                <w14:textFill>
                  <w14:solidFill>
                    <w14:schemeClr w14:val="tx1"/>
                  </w14:solidFill>
                </w14:textFill>
              </w:rPr>
              <w:t>目测</w:t>
            </w:r>
            <w:r>
              <w:rPr>
                <w:rFonts w:hint="eastAsia" w:hAnsiTheme="minorEastAsia" w:eastAsiaTheme="minorEastAsia"/>
                <w:snapToGrid w:val="0"/>
                <w:color w:val="000000" w:themeColor="text1"/>
                <w:sz w:val="21"/>
                <w:szCs w:val="21"/>
                <w14:textFill>
                  <w14:solidFill>
                    <w14:schemeClr w14:val="tx1"/>
                  </w14:solidFill>
                </w14:textFill>
              </w:rPr>
              <w:t>。</w:t>
            </w:r>
          </w:p>
        </w:tc>
      </w:tr>
      <w:tr w14:paraId="363153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jc w:val="center"/>
        </w:trPr>
        <w:tc>
          <w:tcPr>
            <w:tcW w:w="470" w:type="dxa"/>
            <w:vMerge w:val="continue"/>
            <w:tcMar>
              <w:left w:w="28" w:type="dxa"/>
              <w:right w:w="28" w:type="dxa"/>
            </w:tcMar>
            <w:vAlign w:val="center"/>
          </w:tcPr>
          <w:p w14:paraId="21B2D307">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1543" w:type="dxa"/>
            <w:gridSpan w:val="2"/>
            <w:vMerge w:val="continue"/>
            <w:tcMar>
              <w:left w:w="28" w:type="dxa"/>
              <w:right w:w="28" w:type="dxa"/>
            </w:tcMar>
            <w:vAlign w:val="center"/>
          </w:tcPr>
          <w:p w14:paraId="78A8D3D7">
            <w:pPr>
              <w:pStyle w:val="19"/>
              <w:snapToGrid w:val="0"/>
              <w:spacing w:line="300" w:lineRule="exact"/>
              <w:jc w:val="center"/>
              <w:textAlignment w:val="auto"/>
              <w:rPr>
                <w:rFonts w:eastAsiaTheme="minorEastAsia"/>
                <w:snapToGrid w:val="0"/>
                <w:color w:val="000000" w:themeColor="text1"/>
                <w:sz w:val="21"/>
                <w:szCs w:val="21"/>
                <w14:textFill>
                  <w14:solidFill>
                    <w14:schemeClr w14:val="tx1"/>
                  </w14:solidFill>
                </w14:textFill>
              </w:rPr>
            </w:pPr>
          </w:p>
        </w:tc>
        <w:tc>
          <w:tcPr>
            <w:tcW w:w="4690" w:type="dxa"/>
            <w:tcMar>
              <w:left w:w="28" w:type="dxa"/>
              <w:right w:w="28" w:type="dxa"/>
            </w:tcMar>
            <w:vAlign w:val="center"/>
          </w:tcPr>
          <w:p w14:paraId="69632330">
            <w:pPr>
              <w:pStyle w:val="19"/>
              <w:snapToGrid w:val="0"/>
              <w:spacing w:line="300" w:lineRule="exact"/>
              <w:jc w:val="both"/>
              <w:textAlignment w:val="auto"/>
              <w:rPr>
                <w:rFonts w:eastAsiaTheme="minorEastAsia"/>
                <w:snapToGrid w:val="0"/>
                <w:color w:val="000000" w:themeColor="text1"/>
                <w:sz w:val="21"/>
                <w:szCs w:val="21"/>
                <w:shd w:val="clear" w:color="auto" w:fill="FFFFFF"/>
                <w14:textFill>
                  <w14:solidFill>
                    <w14:schemeClr w14:val="tx1"/>
                  </w14:solidFill>
                </w14:textFill>
              </w:rPr>
            </w:pPr>
            <w:r>
              <w:rPr>
                <w:rFonts w:hAnsiTheme="minorEastAsia" w:eastAsiaTheme="minorEastAsia"/>
                <w:snapToGrid w:val="0"/>
                <w:color w:val="000000" w:themeColor="text1"/>
                <w:sz w:val="21"/>
                <w:szCs w:val="21"/>
                <w:shd w:val="clear" w:color="auto" w:fill="FFFFFF"/>
                <w14:textFill>
                  <w14:solidFill>
                    <w14:schemeClr w14:val="tx1"/>
                  </w14:solidFill>
                </w14:textFill>
              </w:rPr>
              <w:t>对于依照《自动扶梯和自动人行道的制造与安装安全规范》（</w:t>
            </w:r>
            <w:r>
              <w:rPr>
                <w:rFonts w:hint="eastAsia" w:eastAsiaTheme="minorEastAsia"/>
                <w:snapToGrid w:val="0"/>
                <w:color w:val="000000" w:themeColor="text1"/>
                <w:sz w:val="21"/>
                <w:szCs w:val="21"/>
                <w:shd w:val="clear" w:color="auto" w:fill="FFFFFF"/>
                <w14:textFill>
                  <w14:solidFill>
                    <w14:schemeClr w14:val="tx1"/>
                  </w14:solidFill>
                </w14:textFill>
              </w:rPr>
              <w:t xml:space="preserve">GB </w:t>
            </w:r>
            <w:r>
              <w:rPr>
                <w:rFonts w:eastAsiaTheme="minorEastAsia"/>
                <w:snapToGrid w:val="0"/>
                <w:color w:val="000000" w:themeColor="text1"/>
                <w:sz w:val="21"/>
                <w:szCs w:val="21"/>
                <w:shd w:val="clear" w:color="auto" w:fill="FFFFFF"/>
                <w14:textFill>
                  <w14:solidFill>
                    <w14:schemeClr w14:val="tx1"/>
                  </w14:solidFill>
                </w14:textFill>
              </w:rPr>
              <w:t>16899—1997</w:t>
            </w:r>
            <w:r>
              <w:rPr>
                <w:rFonts w:hAnsiTheme="minorEastAsia" w:eastAsiaTheme="minorEastAsia"/>
                <w:snapToGrid w:val="0"/>
                <w:color w:val="000000" w:themeColor="text1"/>
                <w:sz w:val="21"/>
                <w:szCs w:val="21"/>
                <w:shd w:val="clear" w:color="auto" w:fill="FFFFFF"/>
                <w14:textFill>
                  <w14:solidFill>
                    <w14:schemeClr w14:val="tx1"/>
                  </w14:solidFill>
                </w14:textFill>
              </w:rPr>
              <w:t>）及更早标准制造的自动人行道，统计是否具备踏板缺失保护功能。</w:t>
            </w:r>
          </w:p>
        </w:tc>
        <w:tc>
          <w:tcPr>
            <w:tcW w:w="2197" w:type="dxa"/>
            <w:tcMar>
              <w:left w:w="28" w:type="dxa"/>
              <w:right w:w="28" w:type="dxa"/>
            </w:tcMar>
            <w:vAlign w:val="center"/>
          </w:tcPr>
          <w:p w14:paraId="0F1F3F89">
            <w:pPr>
              <w:pStyle w:val="19"/>
              <w:snapToGrid w:val="0"/>
              <w:spacing w:line="300" w:lineRule="exact"/>
              <w:jc w:val="both"/>
              <w:textAlignment w:val="auto"/>
              <w:rPr>
                <w:rFonts w:eastAsiaTheme="minorEastAsia"/>
                <w:snapToGrid w:val="0"/>
                <w:color w:val="000000" w:themeColor="text1"/>
                <w:sz w:val="21"/>
                <w:szCs w:val="21"/>
                <w:shd w:val="clear" w:color="auto" w:fill="FFFFFF"/>
                <w14:textFill>
                  <w14:solidFill>
                    <w14:schemeClr w14:val="tx1"/>
                  </w14:solidFill>
                </w14:textFill>
              </w:rPr>
            </w:pPr>
            <w:r>
              <w:rPr>
                <w:rFonts w:hAnsiTheme="minorEastAsia" w:eastAsiaTheme="minorEastAsia"/>
                <w:snapToGrid w:val="0"/>
                <w:color w:val="000000" w:themeColor="text1"/>
                <w:sz w:val="21"/>
                <w:szCs w:val="21"/>
                <w:shd w:val="clear" w:color="auto" w:fill="FFFFFF"/>
                <w14:textFill>
                  <w14:solidFill>
                    <w14:schemeClr w14:val="tx1"/>
                  </w14:solidFill>
                </w14:textFill>
              </w:rPr>
              <w:t>进行功能试验，统计是否具备踏板缺失保护功能。</w:t>
            </w:r>
          </w:p>
        </w:tc>
      </w:tr>
    </w:tbl>
    <w:p w14:paraId="4DF9565D">
      <w:pPr>
        <w:widowControl/>
        <w:jc w:val="left"/>
        <w:rPr>
          <w:rFonts w:hAnsiTheme="minorEastAsia" w:eastAsiaTheme="minorEastAsia"/>
          <w:snapToGrid w:val="0"/>
          <w:color w:val="000000"/>
          <w:kern w:val="0"/>
          <w:szCs w:val="21"/>
        </w:rPr>
      </w:pPr>
      <w:r>
        <w:rPr>
          <w:rFonts w:hAnsiTheme="minorEastAsia" w:eastAsiaTheme="minorEastAsia"/>
          <w:snapToGrid w:val="0"/>
          <w:color w:val="000000"/>
          <w:kern w:val="0"/>
          <w:szCs w:val="21"/>
        </w:rPr>
        <w:t>注</w:t>
      </w:r>
      <w:r>
        <w:rPr>
          <w:rFonts w:hint="eastAsia" w:hAnsiTheme="minorEastAsia" w:eastAsiaTheme="minorEastAsia"/>
          <w:snapToGrid w:val="0"/>
          <w:color w:val="000000"/>
          <w:kern w:val="0"/>
          <w:szCs w:val="21"/>
        </w:rPr>
        <w:t>1</w:t>
      </w:r>
      <w:r>
        <w:rPr>
          <w:rFonts w:hAnsiTheme="minorEastAsia" w:eastAsiaTheme="minorEastAsia"/>
          <w:snapToGrid w:val="0"/>
          <w:color w:val="000000"/>
          <w:kern w:val="0"/>
          <w:szCs w:val="21"/>
        </w:rPr>
        <w:t>：</w:t>
      </w:r>
      <w:r>
        <w:rPr>
          <w:rFonts w:eastAsiaTheme="minorEastAsia"/>
          <w:snapToGrid w:val="0"/>
          <w:color w:val="000000"/>
          <w:kern w:val="0"/>
          <w:szCs w:val="21"/>
        </w:rPr>
        <w:t>*</w:t>
      </w:r>
      <w:r>
        <w:rPr>
          <w:rFonts w:hAnsiTheme="minorEastAsia" w:eastAsiaTheme="minorEastAsia"/>
          <w:snapToGrid w:val="0"/>
          <w:color w:val="000000"/>
          <w:kern w:val="0"/>
          <w:szCs w:val="21"/>
        </w:rPr>
        <w:t>项为</w:t>
      </w:r>
      <w:r>
        <w:rPr>
          <w:rFonts w:hint="eastAsia" w:hAnsiTheme="minorEastAsia" w:eastAsiaTheme="minorEastAsia"/>
          <w:snapToGrid w:val="0"/>
          <w:color w:val="000000"/>
          <w:kern w:val="0"/>
          <w:szCs w:val="21"/>
        </w:rPr>
        <w:t>关键</w:t>
      </w:r>
      <w:r>
        <w:rPr>
          <w:rFonts w:hAnsiTheme="minorEastAsia" w:eastAsiaTheme="minorEastAsia"/>
          <w:snapToGrid w:val="0"/>
          <w:color w:val="000000"/>
          <w:kern w:val="0"/>
          <w:szCs w:val="21"/>
        </w:rPr>
        <w:t>项</w:t>
      </w:r>
      <w:r>
        <w:rPr>
          <w:rFonts w:hint="eastAsia" w:hAnsiTheme="minorEastAsia" w:eastAsiaTheme="minorEastAsia"/>
          <w:snapToGrid w:val="0"/>
          <w:color w:val="000000"/>
          <w:kern w:val="0"/>
          <w:szCs w:val="21"/>
        </w:rPr>
        <w:t>，</w:t>
      </w:r>
      <w:r>
        <w:rPr>
          <w:rFonts w:hAnsiTheme="minorEastAsia" w:eastAsiaTheme="minorEastAsia"/>
          <w:snapToGrid w:val="0"/>
          <w:color w:val="000000"/>
          <w:kern w:val="0"/>
          <w:szCs w:val="21"/>
        </w:rPr>
        <w:t>其余项为一般项。</w:t>
      </w:r>
    </w:p>
    <w:p w14:paraId="26A9DA12">
      <w:pPr>
        <w:pStyle w:val="20"/>
        <w:ind w:firstLine="0" w:firstLineChars="0"/>
        <w:rPr>
          <w:szCs w:val="21"/>
          <w:lang w:val="en-US"/>
        </w:rPr>
      </w:pPr>
      <w:r>
        <w:rPr>
          <w:rFonts w:hint="eastAsia"/>
          <w:szCs w:val="21"/>
          <w:lang w:val="en-US"/>
        </w:rPr>
        <w:t>注2：对于允许按照GB 16899-1997及更早期标准生产的受检设备，如果本附件A2.2.1.6条A2.2.1.7条第(2)项、A2.2.2.7条第(2)项、A2.2.3.2条、A2.2.4.3条和A2.2.4.2条、A2.2.4.4条A2.2.4.5条中的故障锁定功能未按照《电梯监督检验和定期检验规则-自动扶梯与自动人行道》(TSG T7005-2012)进行过检验，并且未按照《电梯监督检验和定期检验规则》进行过监督检验，自行检测时可以不检测。</w:t>
      </w:r>
    </w:p>
    <w:p w14:paraId="20392903">
      <w:pPr>
        <w:pStyle w:val="20"/>
        <w:ind w:firstLine="0" w:firstLineChars="0"/>
        <w:rPr>
          <w:rFonts w:hint="eastAsia"/>
          <w:szCs w:val="21"/>
          <w:lang w:val="en-US" w:eastAsia="zh-CN"/>
        </w:rPr>
      </w:pPr>
      <w:r>
        <w:rPr>
          <w:rFonts w:hint="eastAsia"/>
          <w:szCs w:val="21"/>
          <w:lang w:val="en-US"/>
        </w:rPr>
        <w:t>注3：如果本附件A2.2.1.8条、A2.2.2.6条第(2)项、A2.2.3.9条未按照《电梯监督检验和定期检验规则》进行过监督检验，自行检测时可以不检测</w:t>
      </w:r>
      <w:r>
        <w:rPr>
          <w:rFonts w:hint="eastAsia"/>
          <w:szCs w:val="21"/>
          <w:lang w:val="en-US" w:eastAsia="zh-CN"/>
        </w:rPr>
        <w:t>。</w:t>
      </w: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5" w:left="1531" w:header="709"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DE3811F-5B44-4FC9-AC36-8918BDC633D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2" w:fontKey="{A21BB252-5371-4508-8AF1-172C9FBA7447}"/>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01315"/>
      <w:docPartObj>
        <w:docPartGallery w:val="autotext"/>
      </w:docPartObj>
    </w:sdtPr>
    <w:sdtContent>
      <w:p w14:paraId="32B0CC5A">
        <w:pPr>
          <w:pStyle w:val="7"/>
          <w:wordWrap w:val="0"/>
          <w:ind w:firstLine="360"/>
          <w:jc w:val="right"/>
        </w:pPr>
        <w:r>
          <w:rPr>
            <w:rFonts w:hint="eastAsia"/>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lang w:val="zh-CN"/>
          </w:rPr>
          <w:t>1</w:t>
        </w:r>
        <w:r>
          <w:rPr>
            <w:rFonts w:ascii="Times New Roman"/>
            <w:sz w:val="28"/>
            <w:szCs w:val="28"/>
          </w:rPr>
          <w:fldChar w:fldCharType="end"/>
        </w:r>
        <w:r>
          <w:rPr>
            <w:rFonts w:hint="eastAsia"/>
            <w:sz w:val="28"/>
            <w:szCs w:val="28"/>
          </w:rPr>
          <w:t xml:space="preserve"> —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01314"/>
    </w:sdtPr>
    <w:sdtEndPr>
      <w:rPr>
        <w:sz w:val="28"/>
        <w:szCs w:val="28"/>
      </w:rPr>
    </w:sdtEndPr>
    <w:sdtContent>
      <w:p w14:paraId="5B5CAA46">
        <w:pPr>
          <w:pStyle w:val="7"/>
          <w:ind w:firstLine="360"/>
        </w:pPr>
        <w:r>
          <w:rPr>
            <w:rFonts w:hint="eastAsia"/>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lang w:val="zh-CN"/>
          </w:rPr>
          <w:t>4</w:t>
        </w:r>
        <w:r>
          <w:rPr>
            <w:rFonts w:ascii="Times New Roman"/>
            <w:sz w:val="28"/>
            <w:szCs w:val="28"/>
          </w:rPr>
          <w:fldChar w:fldCharType="end"/>
        </w:r>
        <w:r>
          <w:rPr>
            <w:rFonts w:hint="eastAsia"/>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F2468">
    <w:pPr>
      <w:pStyle w:val="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0E341">
    <w:pPr>
      <w:pStyle w:val="8"/>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6AC14">
    <w:pPr>
      <w:pStyle w:val="8"/>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45E0B">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hideSpellingErrors/>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1MWZhOWM3MTgyYmU3NGE5NWE2MTMyMTc4NThiOTAifQ=="/>
  </w:docVars>
  <w:rsids>
    <w:rsidRoot w:val="002F1DFD"/>
    <w:rsid w:val="0009255A"/>
    <w:rsid w:val="00094B3B"/>
    <w:rsid w:val="000D0719"/>
    <w:rsid w:val="000D4A22"/>
    <w:rsid w:val="000F3FAB"/>
    <w:rsid w:val="00140019"/>
    <w:rsid w:val="00143A88"/>
    <w:rsid w:val="0018065F"/>
    <w:rsid w:val="00187944"/>
    <w:rsid w:val="001B4A4B"/>
    <w:rsid w:val="00231BFF"/>
    <w:rsid w:val="0023388C"/>
    <w:rsid w:val="002754EB"/>
    <w:rsid w:val="00276955"/>
    <w:rsid w:val="002A16CF"/>
    <w:rsid w:val="002D5415"/>
    <w:rsid w:val="002F1DFD"/>
    <w:rsid w:val="00335710"/>
    <w:rsid w:val="00373A77"/>
    <w:rsid w:val="003D682B"/>
    <w:rsid w:val="003E44F3"/>
    <w:rsid w:val="0040742A"/>
    <w:rsid w:val="00424F81"/>
    <w:rsid w:val="0047595C"/>
    <w:rsid w:val="00485DBE"/>
    <w:rsid w:val="00491ADB"/>
    <w:rsid w:val="00492DC7"/>
    <w:rsid w:val="004F4A6E"/>
    <w:rsid w:val="00501D03"/>
    <w:rsid w:val="00554186"/>
    <w:rsid w:val="005657A1"/>
    <w:rsid w:val="005677C3"/>
    <w:rsid w:val="0063788E"/>
    <w:rsid w:val="0064728F"/>
    <w:rsid w:val="006564D0"/>
    <w:rsid w:val="00660751"/>
    <w:rsid w:val="006B40BA"/>
    <w:rsid w:val="006D07C5"/>
    <w:rsid w:val="007423D5"/>
    <w:rsid w:val="007A6442"/>
    <w:rsid w:val="007C3193"/>
    <w:rsid w:val="007D576F"/>
    <w:rsid w:val="007D77F8"/>
    <w:rsid w:val="0081792B"/>
    <w:rsid w:val="008A3F0C"/>
    <w:rsid w:val="008B4BB9"/>
    <w:rsid w:val="008D20CC"/>
    <w:rsid w:val="008E58D0"/>
    <w:rsid w:val="00927E35"/>
    <w:rsid w:val="0095622B"/>
    <w:rsid w:val="009D7CED"/>
    <w:rsid w:val="009F01DC"/>
    <w:rsid w:val="00A255F4"/>
    <w:rsid w:val="00A76FC3"/>
    <w:rsid w:val="00A960C8"/>
    <w:rsid w:val="00AB4F8E"/>
    <w:rsid w:val="00AD5479"/>
    <w:rsid w:val="00B1265B"/>
    <w:rsid w:val="00B345F1"/>
    <w:rsid w:val="00B90794"/>
    <w:rsid w:val="00BA6B5B"/>
    <w:rsid w:val="00C375FF"/>
    <w:rsid w:val="00CC206A"/>
    <w:rsid w:val="00D201C4"/>
    <w:rsid w:val="00D25174"/>
    <w:rsid w:val="00DB5DFA"/>
    <w:rsid w:val="00E33559"/>
    <w:rsid w:val="00E86519"/>
    <w:rsid w:val="00E923F1"/>
    <w:rsid w:val="00EC71E2"/>
    <w:rsid w:val="00F02413"/>
    <w:rsid w:val="00FA5A59"/>
    <w:rsid w:val="06C278B5"/>
    <w:rsid w:val="06D62EC4"/>
    <w:rsid w:val="08893733"/>
    <w:rsid w:val="0E731911"/>
    <w:rsid w:val="103764A9"/>
    <w:rsid w:val="125961DD"/>
    <w:rsid w:val="189964EA"/>
    <w:rsid w:val="19A454D9"/>
    <w:rsid w:val="1A694281"/>
    <w:rsid w:val="1AD532A6"/>
    <w:rsid w:val="1C915908"/>
    <w:rsid w:val="211C215D"/>
    <w:rsid w:val="212451FF"/>
    <w:rsid w:val="22090BF9"/>
    <w:rsid w:val="23447230"/>
    <w:rsid w:val="2B216FF5"/>
    <w:rsid w:val="2B457803"/>
    <w:rsid w:val="2E586AAF"/>
    <w:rsid w:val="30872E52"/>
    <w:rsid w:val="35D501BC"/>
    <w:rsid w:val="36435E6F"/>
    <w:rsid w:val="3670588D"/>
    <w:rsid w:val="372314D5"/>
    <w:rsid w:val="374E2EC3"/>
    <w:rsid w:val="37AE73A3"/>
    <w:rsid w:val="3C933FD2"/>
    <w:rsid w:val="3E9052B0"/>
    <w:rsid w:val="4151103E"/>
    <w:rsid w:val="41FB544E"/>
    <w:rsid w:val="44A645E7"/>
    <w:rsid w:val="4B632585"/>
    <w:rsid w:val="4BB42BF9"/>
    <w:rsid w:val="4F0771E0"/>
    <w:rsid w:val="50162CA5"/>
    <w:rsid w:val="52232583"/>
    <w:rsid w:val="53051C89"/>
    <w:rsid w:val="546926EB"/>
    <w:rsid w:val="54BD068F"/>
    <w:rsid w:val="54E53DB6"/>
    <w:rsid w:val="5C5D3B6B"/>
    <w:rsid w:val="5E3D2C1E"/>
    <w:rsid w:val="640D2AD4"/>
    <w:rsid w:val="68DE4AD8"/>
    <w:rsid w:val="6A0107AA"/>
    <w:rsid w:val="6A5D04B6"/>
    <w:rsid w:val="6A6B466F"/>
    <w:rsid w:val="6AAB7FF6"/>
    <w:rsid w:val="71F2621E"/>
    <w:rsid w:val="722D5172"/>
    <w:rsid w:val="74021033"/>
    <w:rsid w:val="7B826EBB"/>
    <w:rsid w:val="7C125825"/>
    <w:rsid w:val="7D3C1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15"/>
    <w:qFormat/>
    <w:uiPriority w:val="0"/>
    <w:pPr>
      <w:keepNext/>
      <w:keepLines/>
      <w:spacing w:line="540" w:lineRule="exact"/>
    </w:pPr>
    <w:rPr>
      <w:rFonts w:ascii="Times New Roman" w:hAnsi="Times New Roman" w:eastAsia="方正小标宋简体"/>
      <w:b w:val="0"/>
      <w:kern w:val="44"/>
      <w:sz w:val="44"/>
      <w:szCs w:val="20"/>
    </w:rPr>
  </w:style>
  <w:style w:type="paragraph" w:styleId="4">
    <w:name w:val="heading 3"/>
    <w:basedOn w:val="1"/>
    <w:next w:val="1"/>
    <w:link w:val="16"/>
    <w:autoRedefine/>
    <w:qFormat/>
    <w:uiPriority w:val="0"/>
    <w:pPr>
      <w:keepNext/>
      <w:keepLines/>
      <w:spacing w:line="540" w:lineRule="exact"/>
      <w:outlineLvl w:val="2"/>
    </w:pPr>
    <w:rPr>
      <w:rFonts w:eastAsia="楷体"/>
      <w:kern w:val="0"/>
      <w:sz w:val="20"/>
      <w:szCs w:val="20"/>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Title"/>
    <w:basedOn w:val="1"/>
    <w:autoRedefine/>
    <w:qFormat/>
    <w:uiPriority w:val="10"/>
    <w:pPr>
      <w:spacing w:before="240" w:after="60"/>
      <w:jc w:val="center"/>
      <w:outlineLvl w:val="0"/>
    </w:pPr>
    <w:rPr>
      <w:rFonts w:ascii="Arial" w:hAnsi="Arial"/>
      <w:b/>
      <w:sz w:val="32"/>
    </w:rPr>
  </w:style>
  <w:style w:type="paragraph" w:styleId="5">
    <w:name w:val="Body Text Indent"/>
    <w:basedOn w:val="1"/>
    <w:autoRedefine/>
    <w:qFormat/>
    <w:uiPriority w:val="0"/>
    <w:pPr>
      <w:spacing w:after="120"/>
      <w:ind w:left="420" w:leftChars="200"/>
    </w:pPr>
  </w:style>
  <w:style w:type="paragraph" w:styleId="6">
    <w:name w:val="Balloon Text"/>
    <w:basedOn w:val="1"/>
    <w:link w:val="17"/>
    <w:autoRedefine/>
    <w:qFormat/>
    <w:uiPriority w:val="0"/>
    <w:rPr>
      <w:sz w:val="18"/>
      <w:szCs w:val="18"/>
    </w:rPr>
  </w:style>
  <w:style w:type="paragraph" w:styleId="7">
    <w:name w:val="footer"/>
    <w:basedOn w:val="1"/>
    <w:link w:val="18"/>
    <w:autoRedefine/>
    <w:qFormat/>
    <w:uiPriority w:val="99"/>
    <w:pPr>
      <w:tabs>
        <w:tab w:val="center" w:pos="4153"/>
        <w:tab w:val="right" w:pos="8306"/>
      </w:tabs>
      <w:snapToGrid w:val="0"/>
      <w:ind w:firstLine="200" w:firstLineChars="200"/>
      <w:jc w:val="left"/>
    </w:pPr>
    <w:rPr>
      <w:rFonts w:ascii="宋体"/>
      <w:color w:val="000000"/>
      <w:kern w:val="0"/>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ind w:firstLine="200" w:firstLineChars="200"/>
      <w:jc w:val="center"/>
    </w:pPr>
    <w:rPr>
      <w:rFonts w:ascii="宋体"/>
      <w:color w:val="000000"/>
      <w:kern w:val="0"/>
      <w:sz w:val="18"/>
      <w:szCs w:val="18"/>
    </w:rPr>
  </w:style>
  <w:style w:type="paragraph" w:styleId="9">
    <w:name w:val="Body Text Indent 3"/>
    <w:basedOn w:val="1"/>
    <w:autoRedefine/>
    <w:qFormat/>
    <w:uiPriority w:val="0"/>
    <w:pPr>
      <w:spacing w:line="360" w:lineRule="auto"/>
      <w:ind w:firstLine="482" w:firstLineChars="200"/>
    </w:pPr>
    <w:rPr>
      <w:rFonts w:ascii="宋体"/>
      <w:b/>
      <w:bCs/>
      <w:sz w:val="24"/>
    </w:rPr>
  </w:style>
  <w:style w:type="paragraph" w:styleId="10">
    <w:name w:val="Body Text First Indent 2"/>
    <w:basedOn w:val="5"/>
    <w:autoRedefine/>
    <w:qFormat/>
    <w:uiPriority w:val="0"/>
    <w:pPr>
      <w:ind w:firstLine="420" w:firstLineChars="200"/>
    </w:pPr>
    <w:rPr>
      <w:szCs w:val="22"/>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autoRedefine/>
    <w:qFormat/>
    <w:uiPriority w:val="0"/>
  </w:style>
  <w:style w:type="character" w:customStyle="1" w:styleId="15">
    <w:name w:val="标题 1 Char"/>
    <w:link w:val="2"/>
    <w:autoRedefine/>
    <w:qFormat/>
    <w:uiPriority w:val="0"/>
    <w:rPr>
      <w:rFonts w:eastAsia="方正小标宋简体"/>
      <w:kern w:val="44"/>
      <w:sz w:val="44"/>
      <w:szCs w:val="20"/>
    </w:rPr>
  </w:style>
  <w:style w:type="character" w:customStyle="1" w:styleId="16">
    <w:name w:val="标题 3 Char"/>
    <w:link w:val="4"/>
    <w:autoRedefine/>
    <w:qFormat/>
    <w:uiPriority w:val="0"/>
    <w:rPr>
      <w:rFonts w:eastAsia="楷体"/>
      <w:kern w:val="0"/>
      <w:sz w:val="20"/>
      <w:szCs w:val="20"/>
    </w:rPr>
  </w:style>
  <w:style w:type="character" w:customStyle="1" w:styleId="17">
    <w:name w:val="批注框文本 Char"/>
    <w:link w:val="6"/>
    <w:autoRedefine/>
    <w:qFormat/>
    <w:uiPriority w:val="0"/>
    <w:rPr>
      <w:kern w:val="2"/>
      <w:sz w:val="18"/>
      <w:szCs w:val="18"/>
    </w:rPr>
  </w:style>
  <w:style w:type="character" w:customStyle="1" w:styleId="18">
    <w:name w:val="页脚 Char"/>
    <w:link w:val="7"/>
    <w:autoRedefine/>
    <w:qFormat/>
    <w:uiPriority w:val="99"/>
    <w:rPr>
      <w:rFonts w:ascii="宋体"/>
      <w:color w:val="000000"/>
      <w:sz w:val="18"/>
      <w:szCs w:val="18"/>
    </w:rPr>
  </w:style>
  <w:style w:type="paragraph" w:customStyle="1" w:styleId="19">
    <w:name w:val="Table Paragraph"/>
    <w:basedOn w:val="1"/>
    <w:autoRedefine/>
    <w:qFormat/>
    <w:uiPriority w:val="1"/>
    <w:pPr>
      <w:autoSpaceDE w:val="0"/>
      <w:autoSpaceDN w:val="0"/>
      <w:adjustRightInd w:val="0"/>
      <w:spacing w:line="312" w:lineRule="atLeast"/>
      <w:jc w:val="left"/>
      <w:textAlignment w:val="baseline"/>
    </w:pPr>
    <w:rPr>
      <w:kern w:val="0"/>
      <w:sz w:val="24"/>
      <w:szCs w:val="20"/>
    </w:rPr>
  </w:style>
  <w:style w:type="paragraph" w:customStyle="1" w:styleId="20">
    <w:name w:val="首行缩进"/>
    <w:autoRedefine/>
    <w:qFormat/>
    <w:uiPriority w:val="0"/>
    <w:pPr>
      <w:widowControl w:val="0"/>
      <w:ind w:firstLine="480" w:firstLineChars="200"/>
      <w:jc w:val="both"/>
    </w:pPr>
    <w:rPr>
      <w:rFonts w:ascii="Times New Roman" w:hAnsi="Times New Roman" w:eastAsia="宋体" w:cs="Times New Roman"/>
      <w:kern w:val="2"/>
      <w:sz w:val="21"/>
      <w:lang w:val="zh-CN" w:eastAsia="zh-CN" w:bidi="ar-SA"/>
    </w:rPr>
  </w:style>
  <w:style w:type="paragraph" w:customStyle="1" w:styleId="21">
    <w:name w:val="列表段落1"/>
    <w:basedOn w:val="1"/>
    <w:autoRedefine/>
    <w:qFormat/>
    <w:uiPriority w:val="34"/>
    <w:pPr>
      <w:autoSpaceDE w:val="0"/>
      <w:autoSpaceDN w:val="0"/>
      <w:ind w:firstLine="420" w:firstLineChars="200"/>
      <w:jc w:val="left"/>
    </w:pPr>
    <w:rPr>
      <w:rFonts w:ascii="宋体" w:hAnsi="宋体" w:cs="宋体"/>
      <w:kern w:val="0"/>
      <w:sz w:val="22"/>
      <w:szCs w:val="22"/>
      <w:lang w:eastAsia="en-US"/>
    </w:rPr>
  </w:style>
  <w:style w:type="paragraph" w:customStyle="1" w:styleId="22">
    <w:name w:val="样式 Table Paragraph + (中文) +中文正文 (符号) +中文正文 五号 文字 1 两端对齐 左侧:..."/>
    <w:basedOn w:val="19"/>
    <w:qFormat/>
    <w:uiPriority w:val="0"/>
    <w:pPr>
      <w:spacing w:line="280" w:lineRule="exact"/>
      <w:ind w:left="-57" w:right="-57"/>
      <w:jc w:val="both"/>
    </w:pPr>
    <w:rPr>
      <w:rFonts w:cs="宋体" w:hAnsiTheme="minorEastAsia" w:eastAsiaTheme="minorEastAsia"/>
      <w:color w:val="000000" w:themeColor="text1"/>
      <w:sz w:val="21"/>
      <w14:textFill>
        <w14:solidFill>
          <w14:schemeClr w14:val="tx1"/>
        </w14:solidFill>
      </w14:textFill>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http://www.ntko.com</Company>
  <Pages>8</Pages>
  <Words>10402</Words>
  <Characters>10887</Characters>
  <Lines>554</Lines>
  <Paragraphs>156</Paragraphs>
  <TotalTime>137</TotalTime>
  <ScaleCrop>false</ScaleCrop>
  <LinksUpToDate>false</LinksUpToDate>
  <CharactersWithSpaces>11207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2022-04-28T03:27:00Z</dcterms:created>
  <dc:creator>千航网络</dc:creator>
  <cp:lastModifiedBy>Ellen  章小璐</cp:lastModifiedBy>
  <cp:lastPrinted>2025-08-29T03:36:00Z</cp:lastPrinted>
  <dcterms:modified xsi:type="dcterms:W3CDTF">2025-09-03T08:03:03Z</dcterms:modified>
  <dc:title>【NTKO Office文档控件缺省模板】</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96EC7B9243B94914B5CC9A72772B8418_13</vt:lpwstr>
  </property>
  <property fmtid="{D5CDD505-2E9C-101B-9397-08002B2CF9AE}" pid="4" name="KSOTemplateDocerSaveRecord">
    <vt:lpwstr>eyJoZGlkIjoiZTM2MWEyNWZmMTg5NjZhZDRhNWYxNTIxODIwYTZkYzMiLCJ1c2VySWQiOiIyNzE5Mjg3NDUifQ==</vt:lpwstr>
  </property>
</Properties>
</file>