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470A7B">
      <w:pPr>
        <w:overflowPunct w:val="0"/>
        <w:autoSpaceDE w:val="0"/>
        <w:autoSpaceDN w:val="0"/>
        <w:adjustRightInd w:val="0"/>
        <w:snapToGrid w:val="0"/>
        <w:spacing w:line="580" w:lineRule="exact"/>
        <w:jc w:val="left"/>
        <w:rPr>
          <w:rFonts w:eastAsia="黑体"/>
          <w:sz w:val="32"/>
          <w:szCs w:val="32"/>
        </w:rPr>
      </w:pPr>
      <w:r>
        <w:rPr>
          <w:rFonts w:hAnsi="黑体" w:eastAsia="黑体"/>
          <w:sz w:val="32"/>
          <w:szCs w:val="32"/>
        </w:rPr>
        <w:t>附件</w:t>
      </w:r>
      <w:r>
        <w:rPr>
          <w:rFonts w:eastAsia="黑体"/>
          <w:sz w:val="32"/>
          <w:szCs w:val="32"/>
        </w:rPr>
        <w:t>6</w:t>
      </w:r>
    </w:p>
    <w:p w14:paraId="799DE6A0">
      <w:pPr>
        <w:overflowPunct w:val="0"/>
        <w:autoSpaceDE w:val="0"/>
        <w:autoSpaceDN w:val="0"/>
        <w:adjustRightInd w:val="0"/>
        <w:snapToGrid w:val="0"/>
        <w:spacing w:after="240" w:line="580" w:lineRule="exact"/>
        <w:jc w:val="center"/>
        <w:rPr>
          <w:rFonts w:eastAsia="方正小标宋简体"/>
          <w:sz w:val="44"/>
          <w:szCs w:val="44"/>
        </w:rPr>
      </w:pPr>
      <w:r>
        <w:rPr>
          <w:rFonts w:hint="eastAsia" w:eastAsia="方正小标宋简体"/>
          <w:sz w:val="44"/>
          <w:szCs w:val="44"/>
        </w:rPr>
        <w:t>乘客电梯与载货电梯定期检验质量监督抽查项目内容、要求与方法</w:t>
      </w:r>
    </w:p>
    <w:tbl>
      <w:tblPr>
        <w:tblStyle w:val="11"/>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27"/>
        <w:gridCol w:w="984"/>
        <w:gridCol w:w="6316"/>
        <w:gridCol w:w="93"/>
        <w:gridCol w:w="624"/>
        <w:gridCol w:w="2003"/>
        <w:gridCol w:w="3071"/>
      </w:tblGrid>
      <w:tr w14:paraId="1D47FF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tblHeader/>
          <w:jc w:val="center"/>
        </w:trPr>
        <w:tc>
          <w:tcPr>
            <w:tcW w:w="927" w:type="dxa"/>
            <w:vAlign w:val="center"/>
          </w:tcPr>
          <w:p w14:paraId="3E8755F3">
            <w:pPr>
              <w:pStyle w:val="19"/>
              <w:overflowPunct w:val="0"/>
              <w:spacing w:line="280" w:lineRule="exact"/>
              <w:ind w:left="-57" w:right="-57"/>
              <w:jc w:val="center"/>
              <w:rPr>
                <w:rFonts w:eastAsia="黑体"/>
                <w:snapToGrid w:val="0"/>
                <w:color w:val="000000" w:themeColor="text1"/>
                <w:sz w:val="21"/>
                <w:szCs w:val="21"/>
                <w14:textFill>
                  <w14:solidFill>
                    <w14:schemeClr w14:val="tx1"/>
                  </w14:solidFill>
                </w14:textFill>
              </w:rPr>
            </w:pPr>
            <w:r>
              <w:rPr>
                <w:rFonts w:hAnsi="黑体" w:eastAsia="黑体"/>
                <w:snapToGrid w:val="0"/>
                <w:color w:val="000000" w:themeColor="text1"/>
                <w:sz w:val="21"/>
                <w:szCs w:val="21"/>
                <w14:textFill>
                  <w14:solidFill>
                    <w14:schemeClr w14:val="tx1"/>
                  </w14:solidFill>
                </w14:textFill>
              </w:rPr>
              <w:t>项目编号</w:t>
            </w:r>
          </w:p>
        </w:tc>
        <w:tc>
          <w:tcPr>
            <w:tcW w:w="984" w:type="dxa"/>
            <w:vAlign w:val="center"/>
          </w:tcPr>
          <w:p w14:paraId="009623F6">
            <w:pPr>
              <w:pStyle w:val="19"/>
              <w:overflowPunct w:val="0"/>
              <w:spacing w:line="280" w:lineRule="exact"/>
              <w:jc w:val="center"/>
              <w:rPr>
                <w:rFonts w:eastAsia="黑体"/>
                <w:snapToGrid w:val="0"/>
                <w:color w:val="000000" w:themeColor="text1"/>
                <w:sz w:val="21"/>
                <w:szCs w:val="21"/>
                <w14:textFill>
                  <w14:solidFill>
                    <w14:schemeClr w14:val="tx1"/>
                  </w14:solidFill>
                </w14:textFill>
              </w:rPr>
            </w:pPr>
            <w:r>
              <w:rPr>
                <w:rFonts w:hAnsi="黑体" w:eastAsia="黑体"/>
                <w:snapToGrid w:val="0"/>
                <w:color w:val="000000" w:themeColor="text1"/>
                <w:sz w:val="21"/>
                <w:szCs w:val="21"/>
                <w14:textFill>
                  <w14:solidFill>
                    <w14:schemeClr w14:val="tx1"/>
                  </w14:solidFill>
                </w14:textFill>
              </w:rPr>
              <w:t>项目名称</w:t>
            </w:r>
          </w:p>
        </w:tc>
        <w:tc>
          <w:tcPr>
            <w:tcW w:w="6316" w:type="dxa"/>
            <w:vAlign w:val="center"/>
          </w:tcPr>
          <w:p w14:paraId="0CED2CCB">
            <w:pPr>
              <w:pStyle w:val="19"/>
              <w:overflowPunct w:val="0"/>
              <w:spacing w:line="280" w:lineRule="exact"/>
              <w:jc w:val="center"/>
              <w:rPr>
                <w:rFonts w:eastAsia="黑体"/>
                <w:snapToGrid w:val="0"/>
                <w:color w:val="000000" w:themeColor="text1"/>
                <w:sz w:val="21"/>
                <w:szCs w:val="21"/>
                <w14:textFill>
                  <w14:solidFill>
                    <w14:schemeClr w14:val="tx1"/>
                  </w14:solidFill>
                </w14:textFill>
              </w:rPr>
            </w:pPr>
            <w:r>
              <w:rPr>
                <w:rFonts w:hAnsi="黑体" w:eastAsia="黑体"/>
                <w:snapToGrid w:val="0"/>
                <w:color w:val="000000" w:themeColor="text1"/>
                <w:sz w:val="21"/>
                <w:szCs w:val="21"/>
                <w14:textFill>
                  <w14:solidFill>
                    <w14:schemeClr w14:val="tx1"/>
                  </w14:solidFill>
                </w14:textFill>
              </w:rPr>
              <w:t>检验内容、要求</w:t>
            </w:r>
          </w:p>
        </w:tc>
        <w:tc>
          <w:tcPr>
            <w:tcW w:w="5791" w:type="dxa"/>
            <w:gridSpan w:val="4"/>
            <w:vAlign w:val="center"/>
          </w:tcPr>
          <w:p w14:paraId="5829A73C">
            <w:pPr>
              <w:pStyle w:val="19"/>
              <w:overflowPunct w:val="0"/>
              <w:spacing w:line="280" w:lineRule="exact"/>
              <w:jc w:val="center"/>
              <w:rPr>
                <w:rFonts w:eastAsia="黑体"/>
                <w:snapToGrid w:val="0"/>
                <w:color w:val="000000" w:themeColor="text1"/>
                <w:sz w:val="21"/>
                <w:szCs w:val="21"/>
                <w14:textFill>
                  <w14:solidFill>
                    <w14:schemeClr w14:val="tx1"/>
                  </w14:solidFill>
                </w14:textFill>
              </w:rPr>
            </w:pPr>
            <w:r>
              <w:rPr>
                <w:rFonts w:hAnsi="黑体" w:eastAsia="黑体"/>
                <w:snapToGrid w:val="0"/>
                <w:color w:val="000000" w:themeColor="text1"/>
                <w:sz w:val="21"/>
                <w:szCs w:val="21"/>
                <w14:textFill>
                  <w14:solidFill>
                    <w14:schemeClr w14:val="tx1"/>
                  </w14:solidFill>
                </w14:textFill>
              </w:rPr>
              <w:t>检验方法</w:t>
            </w:r>
          </w:p>
        </w:tc>
      </w:tr>
      <w:tr w14:paraId="4327F0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927" w:type="dxa"/>
            <w:vMerge w:val="restart"/>
            <w:vAlign w:val="center"/>
          </w:tcPr>
          <w:p w14:paraId="28F3EAFC">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A1.1.4</w:t>
            </w:r>
          </w:p>
        </w:tc>
        <w:tc>
          <w:tcPr>
            <w:tcW w:w="984" w:type="dxa"/>
            <w:vMerge w:val="restart"/>
            <w:vAlign w:val="center"/>
          </w:tcPr>
          <w:p w14:paraId="0345BE94">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使用资料</w:t>
            </w:r>
          </w:p>
        </w:tc>
        <w:tc>
          <w:tcPr>
            <w:tcW w:w="6316" w:type="dxa"/>
            <w:vAlign w:val="center"/>
          </w:tcPr>
          <w:p w14:paraId="7C95858E">
            <w:pPr>
              <w:pStyle w:val="19"/>
              <w:spacing w:line="280" w:lineRule="exact"/>
              <w:ind w:left="80"/>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（1）使用登记证，其内容与实物相符</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15E849BE">
            <w:pPr>
              <w:pStyle w:val="19"/>
              <w:spacing w:line="280" w:lineRule="exact"/>
              <w:ind w:left="78"/>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检验方法：技术资料审查。</w:t>
            </w:r>
          </w:p>
          <w:p w14:paraId="467A70A9">
            <w:pPr>
              <w:pStyle w:val="19"/>
              <w:spacing w:line="280" w:lineRule="exact"/>
              <w:ind w:left="78"/>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判定规则：满足以下要求时判定为符合：</w:t>
            </w:r>
          </w:p>
          <w:p w14:paraId="717EA5C9">
            <w:pPr>
              <w:pStyle w:val="19"/>
              <w:spacing w:line="280" w:lineRule="exact"/>
              <w:ind w:left="78"/>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提供的使用登记证或使用登记资料的内容（如：设备使用地点、设备代码、产品编号等）与受检电梯实物相符</w:t>
            </w:r>
            <w:r>
              <w:rPr>
                <w:rFonts w:hint="eastAsia" w:hAnsiTheme="minorEastAsia" w:eastAsiaTheme="minorEastAsia"/>
                <w:snapToGrid w:val="0"/>
                <w:color w:val="000000" w:themeColor="text1"/>
                <w:sz w:val="21"/>
                <w:szCs w:val="21"/>
                <w14:textFill>
                  <w14:solidFill>
                    <w14:schemeClr w14:val="tx1"/>
                  </w14:solidFill>
                </w14:textFill>
              </w:rPr>
              <w:t>。</w:t>
            </w:r>
          </w:p>
        </w:tc>
      </w:tr>
      <w:tr w14:paraId="7D7708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927" w:type="dxa"/>
            <w:vMerge w:val="continue"/>
            <w:vAlign w:val="center"/>
          </w:tcPr>
          <w:p w14:paraId="55FDF6C7">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p>
        </w:tc>
        <w:tc>
          <w:tcPr>
            <w:tcW w:w="984" w:type="dxa"/>
            <w:vMerge w:val="continue"/>
            <w:vAlign w:val="center"/>
          </w:tcPr>
          <w:p w14:paraId="0EC75AFE">
            <w:pPr>
              <w:pStyle w:val="19"/>
              <w:spacing w:line="280" w:lineRule="exact"/>
              <w:jc w:val="center"/>
              <w:rPr>
                <w:rFonts w:eastAsiaTheme="minorEastAsia"/>
                <w:snapToGrid w:val="0"/>
                <w:color w:val="000000" w:themeColor="text1"/>
                <w:sz w:val="21"/>
                <w:szCs w:val="21"/>
                <w14:textFill>
                  <w14:solidFill>
                    <w14:schemeClr w14:val="tx1"/>
                  </w14:solidFill>
                </w14:textFill>
              </w:rPr>
            </w:pPr>
          </w:p>
        </w:tc>
        <w:tc>
          <w:tcPr>
            <w:tcW w:w="6316" w:type="dxa"/>
            <w:vAlign w:val="center"/>
          </w:tcPr>
          <w:p w14:paraId="4756D7F5">
            <w:pPr>
              <w:pStyle w:val="19"/>
              <w:spacing w:line="280" w:lineRule="exact"/>
              <w:ind w:left="80"/>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（2）日常维护保养合同，由使用单位与取得相应许可的单位签订</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22378FD3">
            <w:pPr>
              <w:pStyle w:val="19"/>
              <w:spacing w:line="280" w:lineRule="exact"/>
              <w:ind w:left="78"/>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检验方法：技术资料审查。</w:t>
            </w:r>
          </w:p>
          <w:p w14:paraId="49FF8F8E">
            <w:pPr>
              <w:pStyle w:val="19"/>
              <w:spacing w:line="280" w:lineRule="exact"/>
              <w:ind w:left="78"/>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判定规则：满足以下要求时判定为符合：</w:t>
            </w:r>
          </w:p>
          <w:p w14:paraId="5E77F5CA">
            <w:pPr>
              <w:pStyle w:val="19"/>
              <w:spacing w:line="280" w:lineRule="exact"/>
              <w:ind w:left="78"/>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①签订了日常维护保养合同，并在有效期内；</w:t>
            </w:r>
          </w:p>
          <w:p w14:paraId="2BA22470">
            <w:pPr>
              <w:pStyle w:val="19"/>
              <w:spacing w:line="280" w:lineRule="exact"/>
              <w:ind w:left="78"/>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②合同注明的日常维护保养单位取得了相应许可，许可证在有效期内，且许可项目能覆盖受检电梯参数范围</w:t>
            </w:r>
            <w:r>
              <w:rPr>
                <w:rFonts w:hint="eastAsia" w:hAnsiTheme="minorEastAsia" w:eastAsiaTheme="minorEastAsia"/>
                <w:snapToGrid w:val="0"/>
                <w:color w:val="000000" w:themeColor="text1"/>
                <w:sz w:val="21"/>
                <w:szCs w:val="21"/>
                <w14:textFill>
                  <w14:solidFill>
                    <w14:schemeClr w14:val="tx1"/>
                  </w14:solidFill>
                </w14:textFill>
              </w:rPr>
              <w:t>。</w:t>
            </w:r>
          </w:p>
        </w:tc>
      </w:tr>
      <w:tr w14:paraId="2B5B15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69" w:hRule="atLeast"/>
          <w:jc w:val="center"/>
        </w:trPr>
        <w:tc>
          <w:tcPr>
            <w:tcW w:w="927" w:type="dxa"/>
            <w:vMerge w:val="continue"/>
            <w:vAlign w:val="center"/>
          </w:tcPr>
          <w:p w14:paraId="27F90B91">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p>
        </w:tc>
        <w:tc>
          <w:tcPr>
            <w:tcW w:w="984" w:type="dxa"/>
            <w:vMerge w:val="continue"/>
            <w:vAlign w:val="center"/>
          </w:tcPr>
          <w:p w14:paraId="1053C83A">
            <w:pPr>
              <w:pStyle w:val="19"/>
              <w:spacing w:line="280" w:lineRule="exact"/>
              <w:jc w:val="center"/>
              <w:rPr>
                <w:rFonts w:eastAsiaTheme="minorEastAsia"/>
                <w:snapToGrid w:val="0"/>
                <w:color w:val="000000" w:themeColor="text1"/>
                <w:sz w:val="21"/>
                <w:szCs w:val="21"/>
                <w14:textFill>
                  <w14:solidFill>
                    <w14:schemeClr w14:val="tx1"/>
                  </w14:solidFill>
                </w14:textFill>
              </w:rPr>
            </w:pPr>
          </w:p>
        </w:tc>
        <w:tc>
          <w:tcPr>
            <w:tcW w:w="6316" w:type="dxa"/>
            <w:vAlign w:val="center"/>
          </w:tcPr>
          <w:p w14:paraId="4F860F63">
            <w:pPr>
              <w:pStyle w:val="19"/>
              <w:spacing w:line="280" w:lineRule="exact"/>
              <w:ind w:left="80"/>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（3）应急救援管理制度和专用钥匙管理制度。</w:t>
            </w:r>
          </w:p>
        </w:tc>
        <w:tc>
          <w:tcPr>
            <w:tcW w:w="5791" w:type="dxa"/>
            <w:gridSpan w:val="4"/>
            <w:vAlign w:val="center"/>
          </w:tcPr>
          <w:p w14:paraId="1D6AD5F4">
            <w:pPr>
              <w:pStyle w:val="19"/>
              <w:spacing w:line="280" w:lineRule="exact"/>
              <w:ind w:left="78"/>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检验方法：技术资料审查。</w:t>
            </w:r>
          </w:p>
          <w:p w14:paraId="474706B6">
            <w:pPr>
              <w:pStyle w:val="19"/>
              <w:spacing w:line="280" w:lineRule="exact"/>
              <w:ind w:left="78"/>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判定规则：满足以下要求时判定为符合：</w:t>
            </w:r>
          </w:p>
          <w:p w14:paraId="428A0B1E">
            <w:pPr>
              <w:pStyle w:val="19"/>
              <w:spacing w:line="280" w:lineRule="exact"/>
              <w:ind w:left="78"/>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①内容齐全，且两项制度适用于受检电梯；</w:t>
            </w:r>
          </w:p>
          <w:p w14:paraId="38C6B074">
            <w:pPr>
              <w:pStyle w:val="19"/>
              <w:spacing w:line="280" w:lineRule="exact"/>
              <w:ind w:left="78"/>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②使用单位盖章确认</w:t>
            </w:r>
            <w:r>
              <w:rPr>
                <w:rFonts w:hint="eastAsia" w:hAnsiTheme="minorEastAsia" w:eastAsiaTheme="minorEastAsia"/>
                <w:snapToGrid w:val="0"/>
                <w:color w:val="000000" w:themeColor="text1"/>
                <w:sz w:val="21"/>
                <w:szCs w:val="21"/>
                <w14:textFill>
                  <w14:solidFill>
                    <w14:schemeClr w14:val="tx1"/>
                  </w14:solidFill>
                </w14:textFill>
              </w:rPr>
              <w:t>。</w:t>
            </w:r>
          </w:p>
        </w:tc>
      </w:tr>
      <w:tr w14:paraId="18C022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jc w:val="center"/>
        </w:trPr>
        <w:tc>
          <w:tcPr>
            <w:tcW w:w="927" w:type="dxa"/>
            <w:vAlign w:val="center"/>
          </w:tcPr>
          <w:p w14:paraId="7C84DA5D">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A1.2.1.1</w:t>
            </w:r>
          </w:p>
        </w:tc>
        <w:tc>
          <w:tcPr>
            <w:tcW w:w="984" w:type="dxa"/>
            <w:vAlign w:val="center"/>
          </w:tcPr>
          <w:p w14:paraId="244DC77C">
            <w:pPr>
              <w:pStyle w:val="19"/>
              <w:spacing w:line="280" w:lineRule="exact"/>
              <w:jc w:val="center"/>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通道及</w:t>
            </w:r>
          </w:p>
          <w:p w14:paraId="5A94818B">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照明</w:t>
            </w:r>
          </w:p>
        </w:tc>
        <w:tc>
          <w:tcPr>
            <w:tcW w:w="6316" w:type="dxa"/>
            <w:vAlign w:val="center"/>
          </w:tcPr>
          <w:p w14:paraId="64FCAE71">
            <w:pPr>
              <w:pStyle w:val="19"/>
              <w:spacing w:line="280" w:lineRule="exact"/>
              <w:ind w:left="80"/>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（1）通往机器空间的通道保持通畅，相关人员能够安全、方便、无阻碍地使用；如果通往机器空间的通道高出楼梯所到平面不超过4.0m，可以采用固定的梯子作为通道；</w:t>
            </w:r>
          </w:p>
          <w:p w14:paraId="0E6A2720">
            <w:pPr>
              <w:pStyle w:val="19"/>
              <w:spacing w:line="280" w:lineRule="exact"/>
              <w:ind w:left="80"/>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（2）进入机器空间的门附近的通道设有永久性电气照明。</w:t>
            </w:r>
          </w:p>
        </w:tc>
        <w:tc>
          <w:tcPr>
            <w:tcW w:w="5791" w:type="dxa"/>
            <w:gridSpan w:val="4"/>
            <w:vAlign w:val="center"/>
          </w:tcPr>
          <w:p w14:paraId="22725057">
            <w:pPr>
              <w:pStyle w:val="19"/>
              <w:spacing w:line="280" w:lineRule="exact"/>
              <w:ind w:left="80"/>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所有电梯适用。</w:t>
            </w:r>
          </w:p>
          <w:p w14:paraId="6E5A6DDF">
            <w:pPr>
              <w:pStyle w:val="19"/>
              <w:spacing w:line="280" w:lineRule="exact"/>
              <w:ind w:left="80"/>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）目测，必要时测量，满足要求时判定为符合；</w:t>
            </w:r>
          </w:p>
          <w:p w14:paraId="63835255">
            <w:pPr>
              <w:pStyle w:val="19"/>
              <w:spacing w:line="280" w:lineRule="exact"/>
              <w:ind w:left="80"/>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）目测，并验证照明功能有效性，满足要求判定为符合</w:t>
            </w:r>
            <w:r>
              <w:rPr>
                <w:rFonts w:hint="eastAsia" w:hAnsiTheme="minorEastAsia" w:eastAsiaTheme="minorEastAsia"/>
                <w:snapToGrid w:val="0"/>
                <w:color w:val="000000" w:themeColor="text1"/>
                <w:sz w:val="21"/>
                <w:szCs w:val="21"/>
                <w14:textFill>
                  <w14:solidFill>
                    <w14:schemeClr w14:val="tx1"/>
                  </w14:solidFill>
                </w14:textFill>
              </w:rPr>
              <w:t>。</w:t>
            </w:r>
          </w:p>
        </w:tc>
      </w:tr>
      <w:tr w14:paraId="7CA268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jc w:val="center"/>
        </w:trPr>
        <w:tc>
          <w:tcPr>
            <w:tcW w:w="927" w:type="dxa"/>
            <w:vAlign w:val="center"/>
          </w:tcPr>
          <w:p w14:paraId="7C03734A">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A1.2.2.1</w:t>
            </w:r>
          </w:p>
        </w:tc>
        <w:tc>
          <w:tcPr>
            <w:tcW w:w="984" w:type="dxa"/>
            <w:vAlign w:val="center"/>
          </w:tcPr>
          <w:p w14:paraId="72DF06B2">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井道照明</w:t>
            </w:r>
          </w:p>
        </w:tc>
        <w:tc>
          <w:tcPr>
            <w:tcW w:w="6316" w:type="dxa"/>
            <w:vAlign w:val="center"/>
          </w:tcPr>
          <w:p w14:paraId="26E973F3">
            <w:pPr>
              <w:pStyle w:val="19"/>
              <w:spacing w:line="280" w:lineRule="exact"/>
              <w:ind w:left="80"/>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检查其是否符合以下要求：</w:t>
            </w:r>
          </w:p>
          <w:p w14:paraId="71442630">
            <w:pPr>
              <w:pStyle w:val="19"/>
              <w:spacing w:line="280" w:lineRule="exact"/>
              <w:ind w:left="80"/>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（1）井道内设有永久性电气照明；当部分封闭的井道附近有足够的电气照明时，井道内可以不设照明；</w:t>
            </w:r>
          </w:p>
          <w:p w14:paraId="47501C0B">
            <w:pPr>
              <w:pStyle w:val="19"/>
              <w:spacing w:line="280" w:lineRule="exact"/>
              <w:ind w:left="80"/>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（2）斜行电梯的井道内设置永久性人行通道的，沿着人行通道设有应急照明</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65D69C09">
            <w:pPr>
              <w:pStyle w:val="19"/>
              <w:spacing w:line="280" w:lineRule="exact"/>
              <w:ind w:left="80"/>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所有电梯适用。</w:t>
            </w:r>
          </w:p>
          <w:p w14:paraId="5DA691A0">
            <w:pPr>
              <w:pStyle w:val="19"/>
              <w:spacing w:line="280" w:lineRule="exact"/>
              <w:ind w:left="80"/>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满足要求时判定为符合；</w:t>
            </w:r>
          </w:p>
          <w:p w14:paraId="27E9CC74">
            <w:pPr>
              <w:pStyle w:val="19"/>
              <w:spacing w:line="280" w:lineRule="exact"/>
              <w:ind w:left="80"/>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）目测和电气照明功能验证；</w:t>
            </w:r>
          </w:p>
          <w:p w14:paraId="4480D304">
            <w:pPr>
              <w:pStyle w:val="19"/>
              <w:spacing w:line="280" w:lineRule="exact"/>
              <w:ind w:left="80"/>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）当斜行电梯井道内设置永久性人行通道时适用，目测和开关功能验证</w:t>
            </w:r>
            <w:r>
              <w:rPr>
                <w:rFonts w:hint="eastAsia" w:hAnsiTheme="minorEastAsia" w:eastAsiaTheme="minorEastAsia"/>
                <w:snapToGrid w:val="0"/>
                <w:color w:val="000000" w:themeColor="text1"/>
                <w:sz w:val="21"/>
                <w:szCs w:val="21"/>
                <w14:textFill>
                  <w14:solidFill>
                    <w14:schemeClr w14:val="tx1"/>
                  </w14:solidFill>
                </w14:textFill>
              </w:rPr>
              <w:t>。</w:t>
            </w:r>
          </w:p>
        </w:tc>
      </w:tr>
      <w:tr w14:paraId="506B64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09" w:hRule="atLeast"/>
          <w:jc w:val="center"/>
        </w:trPr>
        <w:tc>
          <w:tcPr>
            <w:tcW w:w="927" w:type="dxa"/>
            <w:vAlign w:val="center"/>
          </w:tcPr>
          <w:p w14:paraId="17CDF2B4">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*A1.2.2.17</w:t>
            </w:r>
          </w:p>
        </w:tc>
        <w:tc>
          <w:tcPr>
            <w:tcW w:w="984" w:type="dxa"/>
            <w:vAlign w:val="center"/>
          </w:tcPr>
          <w:p w14:paraId="214A1723">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缓冲器</w:t>
            </w:r>
          </w:p>
        </w:tc>
        <w:tc>
          <w:tcPr>
            <w:tcW w:w="6316" w:type="dxa"/>
            <w:vAlign w:val="center"/>
          </w:tcPr>
          <w:p w14:paraId="7578B169">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检查其是否符合以下要求（注A1-7）：</w:t>
            </w:r>
          </w:p>
          <w:p w14:paraId="5B3439B7">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（1）缓冲器无松动、明显倾斜、断裂、塑性变形、剥落、破损、严重锈蚀等现象；</w:t>
            </w:r>
          </w:p>
          <w:p w14:paraId="57E6BE7A">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（2）耗能型缓冲器液位正确，验证柱塞复位的电气安全装置功能有效；</w:t>
            </w:r>
          </w:p>
          <w:p w14:paraId="1D35F7CC">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（3）对重缓冲器附近设有清晰的对重越程距离标识；</w:t>
            </w:r>
          </w:p>
          <w:p w14:paraId="2AA2A162">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（4）当轿厢位于顶层端站平层位置时，对重装置撞板与其缓冲器顶面间的距离不超过对重越程距离标识上标注的最大允许值；</w:t>
            </w:r>
          </w:p>
          <w:p w14:paraId="3CBC6A63">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（5）防爆电梯的缓冲器与轿厢、对重（平衡重）的撞击面采取的无火花措施保持完好。</w:t>
            </w:r>
          </w:p>
          <w:p w14:paraId="63AB426D">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注A1-7：本条第（3）和第（4）项不适用于设置前置轿门的斜行电梯</w:t>
            </w:r>
          </w:p>
        </w:tc>
        <w:tc>
          <w:tcPr>
            <w:tcW w:w="5791" w:type="dxa"/>
            <w:gridSpan w:val="4"/>
            <w:vAlign w:val="center"/>
          </w:tcPr>
          <w:p w14:paraId="5FF1236A">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所有电梯适用。</w:t>
            </w:r>
          </w:p>
          <w:p w14:paraId="05E7DBAF">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（1）目测和功能验证，缓冲器无断裂、塑性变形、剥落、破损等现象判定为符合；</w:t>
            </w:r>
          </w:p>
          <w:p w14:paraId="62BA685F">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（2）所有电梯适用。目测耗能型缓冲器的液位和验证电气安全装置功能，满足要求时判定为符合；</w:t>
            </w:r>
          </w:p>
          <w:p w14:paraId="484B62F1">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3）对于设置前置轿门的斜行电梯不适用，其余情况按以下要求检查，满足要求时判定为符合。对重缓冲器附近应设置清晰的对重越程距离标识，标识包括①适当位置的横线，对应于对重装置撞板运行的最高、最低位置，即最大、最小允许缓冲距②文字说明对重最大允许缓冲距“XXX~XXXmm”。</w:t>
            </w:r>
          </w:p>
          <w:p w14:paraId="1633859A">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如对标识距离有质疑，应结合A1.2.2.10制导行程和A1.2.2.11顶部空间的要求，计算出对重最大允许缓冲距；结合A1.2.2.18上极限位置限制装置的要求，计算出对重最小允许缓冲距，并与标识距离比较判断；</w:t>
            </w:r>
          </w:p>
          <w:p w14:paraId="0D5922B6">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4）对于设置前置轿门的斜行电梯不适用。其余情况按以下要求检查，满足要求时判定为符合。将电梯运行至顶层端站平层位置，在底坑检查对重装置撞板位置，应落在标识的最大、最小范围内，必要时测量对重缓冲距；</w:t>
            </w:r>
          </w:p>
          <w:p w14:paraId="50EAD89A">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（5）防爆电梯适用。</w:t>
            </w:r>
          </w:p>
        </w:tc>
      </w:tr>
      <w:tr w14:paraId="2D4E19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927" w:type="dxa"/>
            <w:vAlign w:val="center"/>
          </w:tcPr>
          <w:p w14:paraId="0A5A9C1F">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A1.2.3.3</w:t>
            </w: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w:t>
            </w:r>
          </w:p>
        </w:tc>
        <w:tc>
          <w:tcPr>
            <w:tcW w:w="984" w:type="dxa"/>
            <w:vAlign w:val="center"/>
          </w:tcPr>
          <w:p w14:paraId="1CACF770">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接地故障保护措施</w:t>
            </w:r>
          </w:p>
        </w:tc>
        <w:tc>
          <w:tcPr>
            <w:tcW w:w="6316" w:type="dxa"/>
            <w:vAlign w:val="center"/>
          </w:tcPr>
          <w:p w14:paraId="0D653A2C">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含有电气安全装置的电路发生接地故障时，驱动主机立即停止运转，或者在第一次正常停止运转后，能够防止驱动主机再启动，恢复电梯运行只能通过手动复位</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02FCE200">
            <w:pPr>
              <w:pStyle w:val="19"/>
              <w:spacing w:line="280" w:lineRule="exact"/>
              <w:ind w:left="80"/>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所有电梯适用。</w:t>
            </w:r>
          </w:p>
          <w:p w14:paraId="2E090FAC">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目测和功能验证，满足以下要求时判定为符合：</w:t>
            </w:r>
          </w:p>
          <w:p w14:paraId="3D2DF2F4">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根据受检电梯的接地故障保护原理，模拟接地故障状态下，测试该保护功能是否有效，或者按照制造单位提供的方法进行检查。</w:t>
            </w:r>
          </w:p>
        </w:tc>
      </w:tr>
      <w:tr w14:paraId="3E5057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23" w:hRule="atLeast"/>
          <w:jc w:val="center"/>
        </w:trPr>
        <w:tc>
          <w:tcPr>
            <w:tcW w:w="927" w:type="dxa"/>
            <w:vAlign w:val="center"/>
          </w:tcPr>
          <w:p w14:paraId="6A761528">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A1.2.3.4</w:t>
            </w:r>
          </w:p>
        </w:tc>
        <w:tc>
          <w:tcPr>
            <w:tcW w:w="984" w:type="dxa"/>
            <w:vAlign w:val="center"/>
          </w:tcPr>
          <w:p w14:paraId="4F7F4CE1">
            <w:pPr>
              <w:pStyle w:val="19"/>
              <w:spacing w:line="280" w:lineRule="exact"/>
              <w:jc w:val="center"/>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门旁路</w:t>
            </w:r>
          </w:p>
          <w:p w14:paraId="44B4B22C">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装置</w:t>
            </w:r>
          </w:p>
        </w:tc>
        <w:tc>
          <w:tcPr>
            <w:tcW w:w="6316" w:type="dxa"/>
            <w:vAlign w:val="center"/>
          </w:tcPr>
          <w:p w14:paraId="4CE0505A">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检查其是否符合以下要求：</w:t>
            </w:r>
          </w:p>
          <w:p w14:paraId="5E559BC7">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（1）层门和轿门旁路装置上或者附近标明“旁路”字样；</w:t>
            </w:r>
          </w:p>
          <w:p w14:paraId="521761AD">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（2）处于旁路状态时，能够旁路层门关闭触点、层门门锁触点、轿门关闭触点、轿门门锁触点，但不能同时旁路层门和轿门的触点；对于手动层门，不能同时旁路层门关闭触点和层门门锁触点；</w:t>
            </w:r>
          </w:p>
          <w:p w14:paraId="2904C506">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（3）处于旁路状态时，取消正常运行（包括自动门的任何运行），并且只有在检修运行控制或者紧急电动运行控制下电梯能够运行，轿厢上的听觉信号和轿底的闪烁灯在运行期间起作用；</w:t>
            </w:r>
          </w:p>
          <w:p w14:paraId="3F6593B4">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int="eastAsia" w:hAnsiTheme="minorEastAsia" w:eastAsiaTheme="minorEastAsia"/>
                <w:snapToGrid w:val="0"/>
                <w:color w:val="000000" w:themeColor="text1"/>
                <w:sz w:val="21"/>
                <w:szCs w:val="21"/>
                <w14:textFill>
                  <w14:solidFill>
                    <w14:schemeClr w14:val="tx1"/>
                  </w14:solidFill>
                </w14:textFill>
              </w:rPr>
              <w:t>（4）提供独立的监控信号证实轿门处于关闭位置。</w:t>
            </w:r>
          </w:p>
        </w:tc>
        <w:tc>
          <w:tcPr>
            <w:tcW w:w="5791" w:type="dxa"/>
            <w:gridSpan w:val="4"/>
            <w:vAlign w:val="center"/>
          </w:tcPr>
          <w:p w14:paraId="037F5B04">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所有电梯适用。</w:t>
            </w:r>
          </w:p>
          <w:p w14:paraId="18F71014">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（1）目测，旁路装置的设置及标识，满足要求时判定为符合；</w:t>
            </w:r>
          </w:p>
          <w:p w14:paraId="464D52F7">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（2）功能验证，满足以下要求时判定为符合：</w:t>
            </w:r>
          </w:p>
          <w:p w14:paraId="438F30D0">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①开启层门关闭轿门，旁路层门，可以检修运行；</w:t>
            </w:r>
          </w:p>
          <w:p w14:paraId="14A967FC">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②隔离轿门关闭触点和轿门门锁触点，关闭轿门和层门，旁路轿门，可以检修运行；</w:t>
            </w:r>
          </w:p>
          <w:p w14:paraId="1659F01A">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③对于层门旁路开关和轿门旁路开关不能实现机械互锁的，同时旁路层门和轿门，电梯应不能检修运行；</w:t>
            </w:r>
          </w:p>
          <w:p w14:paraId="57EFE3C3">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④对于手动层门，按以下方法试验：只隔离层门关闭触点，旁路层门，可以检修运行；只隔离层门门锁触点，旁路层门，可以检修运行；打开层门，同时隔离层门关闭触点和层门门锁触点，旁路层门</w:t>
            </w:r>
            <w:r>
              <w:rPr>
                <w:rFonts w:hint="eastAsia" w:hAnsiTheme="minorEastAsia"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不能检修运行</w:t>
            </w:r>
            <w:r>
              <w:rPr>
                <w:rFonts w:hint="eastAsia" w:hAnsiTheme="minorEastAsia" w:eastAsiaTheme="minorEastAsia"/>
                <w:snapToGrid w:val="0"/>
                <w:color w:val="000000" w:themeColor="text1"/>
                <w:sz w:val="21"/>
                <w:szCs w:val="21"/>
                <w14:textFill>
                  <w14:solidFill>
                    <w14:schemeClr w14:val="tx1"/>
                  </w14:solidFill>
                </w14:textFill>
              </w:rPr>
              <w:t>；</w:t>
            </w:r>
          </w:p>
          <w:p w14:paraId="05B27ACA">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（3）将旁路装置分别置于“旁路层门”和“旁路轿门”后，功能验证，满足以下要求时判定为符合：</w:t>
            </w:r>
          </w:p>
          <w:p w14:paraId="29A69C95">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①电梯不响应呼梯信号，且在轿内给出开门指令，门不打开；</w:t>
            </w:r>
          </w:p>
          <w:p w14:paraId="3B0D53FE">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②可以在机房、轿顶、紧急操作屏处，操作检修或紧急电动状态装置，能够移动轿厢；</w:t>
            </w:r>
          </w:p>
          <w:p w14:paraId="213BDC8A">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③在进行上述②操作时，轿厢上的听觉信号和轿底的闪烁灯持续有效；</w:t>
            </w:r>
          </w:p>
          <w:p w14:paraId="00B790A0">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（4）功能验证，旁路轿门，关闭层门，并将轿门打开，使用检修运行或紧急电动运行不能移动轿厢，满足要求时判定为符合</w:t>
            </w:r>
            <w:r>
              <w:rPr>
                <w:rFonts w:hint="eastAsia" w:hAnsiTheme="minorEastAsia" w:eastAsiaTheme="minorEastAsia"/>
                <w:snapToGrid w:val="0"/>
                <w:color w:val="000000" w:themeColor="text1"/>
                <w:sz w:val="21"/>
                <w:szCs w:val="21"/>
                <w14:textFill>
                  <w14:solidFill>
                    <w14:schemeClr w14:val="tx1"/>
                  </w14:solidFill>
                </w14:textFill>
              </w:rPr>
              <w:t>。</w:t>
            </w:r>
          </w:p>
        </w:tc>
      </w:tr>
      <w:tr w14:paraId="330EA9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58" w:hRule="atLeast"/>
          <w:jc w:val="center"/>
        </w:trPr>
        <w:tc>
          <w:tcPr>
            <w:tcW w:w="927" w:type="dxa"/>
            <w:vAlign w:val="center"/>
          </w:tcPr>
          <w:p w14:paraId="29242097">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*A1.2.3.6</w:t>
            </w:r>
          </w:p>
        </w:tc>
        <w:tc>
          <w:tcPr>
            <w:tcW w:w="984" w:type="dxa"/>
            <w:vAlign w:val="center"/>
          </w:tcPr>
          <w:p w14:paraId="563121DF">
            <w:pPr>
              <w:pStyle w:val="19"/>
              <w:spacing w:line="280" w:lineRule="exact"/>
              <w:jc w:val="center"/>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制动器</w:t>
            </w:r>
          </w:p>
          <w:p w14:paraId="03AE7012">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状态监测功能</w:t>
            </w:r>
          </w:p>
        </w:tc>
        <w:tc>
          <w:tcPr>
            <w:tcW w:w="6316" w:type="dxa"/>
            <w:vAlign w:val="center"/>
          </w:tcPr>
          <w:p w14:paraId="550A6311">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检查其是否能够监测制动器的每组制动力或者每次动作时每组机械部件的正确动作（松开或者制动），当监测到失效时，是否能够防止电梯的正常运行</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72885946">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曳引与强制驱动电梯适用。</w:t>
            </w:r>
          </w:p>
          <w:p w14:paraId="66D2B8F8">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目测和功能验证，满足（1）或（2）时判定为符合。</w:t>
            </w:r>
          </w:p>
          <w:p w14:paraId="53D10F75">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（1）对于监测制动力的，按照制造单位规定的方法，分别对每组制动器进行制动力监测试验，满足要求时判定为符合</w:t>
            </w:r>
            <w:r>
              <w:rPr>
                <w:rFonts w:hint="eastAsia" w:hAnsiTheme="minorEastAsia" w:eastAsiaTheme="minorEastAsia"/>
                <w:snapToGrid w:val="0"/>
                <w:color w:val="000000" w:themeColor="text1"/>
                <w:sz w:val="21"/>
                <w:szCs w:val="21"/>
                <w14:textFill>
                  <w14:solidFill>
                    <w14:schemeClr w14:val="tx1"/>
                  </w14:solidFill>
                </w14:textFill>
              </w:rPr>
              <w:t>；</w:t>
            </w:r>
          </w:p>
          <w:p w14:paraId="4A8766E7">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（2）对于监测机械部件动作的，按照制造单位规定的方法，对制动器每组机械部件的动作监测功能进行试验。可参照以下的方法步骤，满足要求时判定为符合。</w:t>
            </w:r>
          </w:p>
          <w:p w14:paraId="392782DE">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①使监测装置的信号丢失，电梯应不能再启动；</w:t>
            </w:r>
          </w:p>
          <w:p w14:paraId="4F2A1604">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改变制动器的动作状态。如监测的是松开（提起）动作，则使制动器由制动状态变为松开状态，即从停梯状态操作电梯运行；如监测的是制动（释放）动作，则使制动器由松开状态变为制动状态，即从运行状态操作电梯停止运行。</w:t>
            </w:r>
          </w:p>
        </w:tc>
      </w:tr>
      <w:tr w14:paraId="79E866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927" w:type="dxa"/>
            <w:vAlign w:val="center"/>
          </w:tcPr>
          <w:p w14:paraId="49854F8A">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A1.2.3.9</w:t>
            </w:r>
          </w:p>
        </w:tc>
        <w:tc>
          <w:tcPr>
            <w:tcW w:w="984" w:type="dxa"/>
            <w:vAlign w:val="center"/>
          </w:tcPr>
          <w:p w14:paraId="66285AB4">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紧急电动运行控制</w:t>
            </w:r>
          </w:p>
        </w:tc>
        <w:tc>
          <w:tcPr>
            <w:tcW w:w="6316" w:type="dxa"/>
            <w:vAlign w:val="center"/>
          </w:tcPr>
          <w:p w14:paraId="50097774">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检查其是否符合以下要求：</w:t>
            </w:r>
          </w:p>
          <w:p w14:paraId="38E67798">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（1）紧急电动运行控制功能有效；</w:t>
            </w:r>
          </w:p>
          <w:p w14:paraId="4A1B1D93">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（2）操作紧急电动运行开关后，依靠持续按压的按钮来控制轿厢运行，按钮上或者其附近清晰地标明运行方向；进行紧急电动运行操作时，易于观察轿厢是否在开锁区域</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7132BCCA">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具有紧急电动运行控制装置的曳引与强制驱动电梯适用。</w:t>
            </w:r>
          </w:p>
          <w:p w14:paraId="5A129717">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（1）功能验证，满足以下要求时判定为符合：</w:t>
            </w:r>
          </w:p>
          <w:p w14:paraId="68C61921">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①紧急电动运行开关操作后，除由该开关控制的轿厢运行外，应防止其他任何的轿厢运行；</w:t>
            </w:r>
          </w:p>
          <w:p w14:paraId="4B2260E8">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②一旦进入检修运行，紧急电动运行装置控制轿厢运行的功能由检修控制装置所取代；</w:t>
            </w:r>
          </w:p>
          <w:p w14:paraId="68A3AA26">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③紧急电动运行能使安全钳、限速器、轿厢上行超速保护装置、缓冲器上的电气安全装置以及极限开关、强制式和液压驱动电梯设置的检查绳或链条松弛的电气安全装置失效；</w:t>
            </w:r>
          </w:p>
          <w:p w14:paraId="619EA011">
            <w:pPr>
              <w:pStyle w:val="19"/>
              <w:spacing w:line="320" w:lineRule="exact"/>
              <w:ind w:left="79" w:right="333"/>
              <w:jc w:val="both"/>
              <w:rPr>
                <w:rFonts w:hAnsiTheme="minorEastAsia" w:eastAsiaTheme="minorEastAsia"/>
                <w:snapToGrid w:val="0"/>
                <w:color w:val="000000" w:themeColor="text1"/>
                <w:spacing w:val="-4"/>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（2）目</w:t>
            </w:r>
            <w:r>
              <w:rPr>
                <w:rFonts w:hAnsiTheme="minorEastAsia" w:eastAsiaTheme="minorEastAsia"/>
                <w:snapToGrid w:val="0"/>
                <w:color w:val="000000" w:themeColor="text1"/>
                <w:spacing w:val="-4"/>
                <w:sz w:val="21"/>
                <w:szCs w:val="21"/>
                <w14:textFill>
                  <w14:solidFill>
                    <w14:schemeClr w14:val="tx1"/>
                  </w14:solidFill>
                </w14:textFill>
              </w:rPr>
              <w:t>测和功能验证，满足要求时判定为符合。</w:t>
            </w:r>
          </w:p>
          <w:p w14:paraId="65791E97">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pacing w:val="-4"/>
                <w:sz w:val="21"/>
                <w:szCs w:val="21"/>
                <w14:textFill>
                  <w14:solidFill>
                    <w14:schemeClr w14:val="tx1"/>
                  </w14:solidFill>
                </w14:textFill>
              </w:rPr>
              <w:t>按钮上或者其附近标记清晰、功能有效，同时，能观察到轿厢是否在开锁区域（如直接观察、观察窗观察或显示装置观察）</w:t>
            </w:r>
            <w:r>
              <w:rPr>
                <w:rFonts w:hint="eastAsia" w:hAnsiTheme="minorEastAsia" w:eastAsiaTheme="minorEastAsia"/>
                <w:snapToGrid w:val="0"/>
                <w:color w:val="000000" w:themeColor="text1"/>
                <w:spacing w:val="-4"/>
                <w:sz w:val="21"/>
                <w:szCs w:val="21"/>
                <w14:textFill>
                  <w14:solidFill>
                    <w14:schemeClr w14:val="tx1"/>
                  </w14:solidFill>
                </w14:textFill>
              </w:rPr>
              <w:t>。</w:t>
            </w:r>
          </w:p>
        </w:tc>
      </w:tr>
      <w:tr w14:paraId="1277C6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38" w:hRule="atLeast"/>
          <w:jc w:val="center"/>
        </w:trPr>
        <w:tc>
          <w:tcPr>
            <w:tcW w:w="927" w:type="dxa"/>
            <w:vAlign w:val="center"/>
          </w:tcPr>
          <w:p w14:paraId="4B87D459">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*A1.2.3.10</w:t>
            </w: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w:t>
            </w:r>
          </w:p>
        </w:tc>
        <w:tc>
          <w:tcPr>
            <w:tcW w:w="984" w:type="dxa"/>
            <w:vAlign w:val="center"/>
          </w:tcPr>
          <w:p w14:paraId="21404E97">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紧急和测试操作屏</w:t>
            </w:r>
          </w:p>
        </w:tc>
        <w:tc>
          <w:tcPr>
            <w:tcW w:w="6316" w:type="dxa"/>
            <w:vAlign w:val="center"/>
          </w:tcPr>
          <w:p w14:paraId="555C1A03">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紧急操作和动态测试功能有效</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2DC9445F">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无机房消防员电梯适用。</w:t>
            </w:r>
          </w:p>
          <w:p w14:paraId="18B9FEA9">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（1）验证紧急操作和动态试验功能，满足以下要求时判定为符合：</w:t>
            </w:r>
          </w:p>
          <w:p w14:paraId="33E56BCC">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①紧急操作功能：结合A1.2.4.3（1）（井道外独立测试每个制动组），以及A1.2.4.7（手动紧急操作装置）判定；</w:t>
            </w:r>
          </w:p>
          <w:p w14:paraId="4B1AFF3D">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②具有曳引、安全钳、缓冲器、轿厢上行超速保护、轿厢意外移动保护、破裂阀、节流阀、棘爪装置、缓冲停止和压力等测试功能</w:t>
            </w:r>
            <w:r>
              <w:rPr>
                <w:rFonts w:hint="eastAsia" w:hAnsiTheme="minorEastAsia" w:eastAsiaTheme="minorEastAsia"/>
                <w:snapToGrid w:val="0"/>
                <w:color w:val="000000" w:themeColor="text1"/>
                <w:sz w:val="21"/>
                <w:szCs w:val="21"/>
                <w14:textFill>
                  <w14:solidFill>
                    <w14:schemeClr w14:val="tx1"/>
                  </w14:solidFill>
                </w14:textFill>
              </w:rPr>
              <w:t>。</w:t>
            </w:r>
          </w:p>
        </w:tc>
      </w:tr>
      <w:tr w14:paraId="50E9D7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16" w:hRule="atLeast"/>
          <w:jc w:val="center"/>
        </w:trPr>
        <w:tc>
          <w:tcPr>
            <w:tcW w:w="927" w:type="dxa"/>
            <w:vAlign w:val="center"/>
          </w:tcPr>
          <w:p w14:paraId="08E6EE3B">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*A1.2.3.11</w:t>
            </w:r>
          </w:p>
        </w:tc>
        <w:tc>
          <w:tcPr>
            <w:tcW w:w="984" w:type="dxa"/>
            <w:vAlign w:val="center"/>
          </w:tcPr>
          <w:p w14:paraId="67661409">
            <w:pPr>
              <w:pStyle w:val="19"/>
              <w:spacing w:line="280" w:lineRule="exact"/>
              <w:jc w:val="center"/>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紧急报警装置</w:t>
            </w:r>
          </w:p>
          <w:p w14:paraId="361B1C0C">
            <w:pPr>
              <w:pStyle w:val="19"/>
              <w:spacing w:line="280" w:lineRule="exact"/>
              <w:jc w:val="center"/>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（对讲</w:t>
            </w:r>
          </w:p>
          <w:p w14:paraId="48DA4C11">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系统）</w:t>
            </w:r>
          </w:p>
        </w:tc>
        <w:tc>
          <w:tcPr>
            <w:tcW w:w="6316" w:type="dxa"/>
            <w:vAlign w:val="center"/>
          </w:tcPr>
          <w:p w14:paraId="0384C7A7">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检查其是否符合以下要求：</w:t>
            </w:r>
          </w:p>
          <w:p w14:paraId="3B9DA8C5">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轿厢内的紧急报警装置采用由应急电源供电的双向对讲系统与救援服务持续联系；如果电梯行程大于30m或者轿厢内与进行紧急操作处之间无法直接对话，则在轿厢内和进行紧急操作处还设置由应急电源供电的双向对讲系统或类似装置；</w:t>
            </w:r>
          </w:p>
          <w:p w14:paraId="7C74D1D8">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对于消防员电梯，还设有在优先召回和消防服务阶段用于轿厢和消防员入口层之间、轿厢和机房或者紧急和测试操作屏之间的双向对讲系统或者类似装置，并且无需按压控制按钮即可实现轿厢和消防员入口之间的通信</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66FBD273">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目测和功能验证，满足要求时判定为符合。</w:t>
            </w:r>
          </w:p>
          <w:p w14:paraId="3F5E2447">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（1）在以下位置处应设置紧急报警装置（对讲系统）或类似装置：</w:t>
            </w:r>
          </w:p>
          <w:p w14:paraId="2CB8466C">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①轿厢内与救援服务之间；</w:t>
            </w:r>
          </w:p>
          <w:p w14:paraId="6B9857FF">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②当电梯行程大于30m时，轿厢与进行紧急操作处（如机房、紧急操作屏处等）之间；</w:t>
            </w:r>
          </w:p>
          <w:p w14:paraId="282947A5">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③当轿厢内与进行紧急操作处之间无法直接对话时，轿厢与进行紧急操作处之间；</w:t>
            </w:r>
          </w:p>
          <w:p w14:paraId="3E421843">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功能验证：</w:t>
            </w:r>
          </w:p>
          <w:p w14:paraId="4A38225D">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①紧急报警装置对讲功能有效；</w:t>
            </w:r>
          </w:p>
          <w:p w14:paraId="355960A3">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②断开紧急报警装置供电电源（可能是主开关或其</w:t>
            </w:r>
            <w:r>
              <w:rPr>
                <w:rFonts w:hint="eastAsia" w:hAnsiTheme="minorEastAsia" w:eastAsiaTheme="minorEastAsia"/>
                <w:snapToGrid w:val="0"/>
                <w:color w:val="000000" w:themeColor="text1"/>
                <w:sz w:val="21"/>
                <w:szCs w:val="21"/>
                <w14:textFill>
                  <w14:solidFill>
                    <w14:schemeClr w14:val="tx1"/>
                  </w14:solidFill>
                </w14:textFill>
              </w:rPr>
              <w:t>他</w:t>
            </w:r>
            <w:r>
              <w:rPr>
                <w:rFonts w:hAnsiTheme="minorEastAsia" w:eastAsiaTheme="minorEastAsia"/>
                <w:snapToGrid w:val="0"/>
                <w:color w:val="000000" w:themeColor="text1"/>
                <w:sz w:val="21"/>
                <w:szCs w:val="21"/>
                <w14:textFill>
                  <w14:solidFill>
                    <w14:schemeClr w14:val="tx1"/>
                  </w14:solidFill>
                </w14:textFill>
              </w:rPr>
              <w:t>开关），对讲功能有效；</w:t>
            </w:r>
          </w:p>
          <w:p w14:paraId="341F0257">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③双向对讲系统，一经接通即保持持续联系，无需再进行其</w:t>
            </w:r>
            <w:r>
              <w:rPr>
                <w:rFonts w:hint="eastAsia" w:hAnsiTheme="minorEastAsia" w:eastAsiaTheme="minorEastAsia"/>
                <w:snapToGrid w:val="0"/>
                <w:color w:val="000000" w:themeColor="text1"/>
                <w:sz w:val="21"/>
                <w:szCs w:val="21"/>
                <w14:textFill>
                  <w14:solidFill>
                    <w14:schemeClr w14:val="tx1"/>
                  </w14:solidFill>
                </w14:textFill>
              </w:rPr>
              <w:t>他</w:t>
            </w:r>
            <w:r>
              <w:rPr>
                <w:rFonts w:hAnsiTheme="minorEastAsia" w:eastAsiaTheme="minorEastAsia"/>
                <w:snapToGrid w:val="0"/>
                <w:color w:val="000000" w:themeColor="text1"/>
                <w:sz w:val="21"/>
                <w:szCs w:val="21"/>
                <w14:textFill>
                  <w14:solidFill>
                    <w14:schemeClr w14:val="tx1"/>
                  </w14:solidFill>
                </w14:textFill>
              </w:rPr>
              <w:t>操作；</w:t>
            </w:r>
          </w:p>
          <w:p w14:paraId="16DB95DF">
            <w:pPr>
              <w:pStyle w:val="19"/>
              <w:spacing w:line="320" w:lineRule="exact"/>
              <w:ind w:left="79" w:right="333"/>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注：当紧急报警装置与救援服务之间采用公用电话网GSM连接，应预存不少于三个号码，并在报警装置启动后能依次呼叫预存号码，且通话功能有效。</w:t>
            </w:r>
          </w:p>
        </w:tc>
      </w:tr>
      <w:tr w14:paraId="424095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23" w:hRule="atLeast"/>
          <w:jc w:val="center"/>
        </w:trPr>
        <w:tc>
          <w:tcPr>
            <w:tcW w:w="927" w:type="dxa"/>
            <w:vAlign w:val="center"/>
          </w:tcPr>
          <w:p w14:paraId="3549DD5E">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A1.2.3.12</w:t>
            </w:r>
          </w:p>
        </w:tc>
        <w:tc>
          <w:tcPr>
            <w:tcW w:w="984" w:type="dxa"/>
            <w:vAlign w:val="center"/>
          </w:tcPr>
          <w:p w14:paraId="782ADABD">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防爆电气部件</w:t>
            </w:r>
          </w:p>
        </w:tc>
        <w:tc>
          <w:tcPr>
            <w:tcW w:w="6316" w:type="dxa"/>
            <w:vAlign w:val="center"/>
          </w:tcPr>
          <w:p w14:paraId="58C82316">
            <w:pPr>
              <w:pStyle w:val="19"/>
              <w:spacing w:line="32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检查其是否符合以下要求：</w:t>
            </w:r>
          </w:p>
          <w:p w14:paraId="7B5FAAA9">
            <w:pPr>
              <w:pStyle w:val="19"/>
              <w:spacing w:line="32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）部件铭牌上标明型号、制造日期、防爆标志、防爆合格证号、制造单位名称和相关技术参数，其防爆合格证号在有效期内；</w:t>
            </w:r>
          </w:p>
          <w:p w14:paraId="4F668522">
            <w:pPr>
              <w:pStyle w:val="19"/>
              <w:spacing w:line="32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）外壳光滑、无损伤，透明件无裂纹，接合面紧固严密，相对运动的间隙防尘密封严密，紧固件无锈蚀、缺损，密封垫圈完好；</w:t>
            </w:r>
          </w:p>
          <w:p w14:paraId="1D256FEF">
            <w:pPr>
              <w:pStyle w:val="19"/>
              <w:spacing w:line="32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）本质安全型电气部件（控制柜、操纵箱、召唤箱、轿顶检修箱、接线箱盒、旋转编码器等）的本质安全标志、无电气联锁隔爆型电气部件的</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断电后开盖</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警告标识清晰；</w:t>
            </w:r>
          </w:p>
          <w:p w14:paraId="560A1746">
            <w:pPr>
              <w:pStyle w:val="19"/>
              <w:spacing w:line="32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4</w:t>
            </w:r>
            <w:r>
              <w:rPr>
                <w:rFonts w:hAnsiTheme="minorEastAsia" w:eastAsiaTheme="minorEastAsia"/>
                <w:snapToGrid w:val="0"/>
                <w:color w:val="000000" w:themeColor="text1"/>
                <w:sz w:val="21"/>
                <w:szCs w:val="21"/>
                <w14:textFill>
                  <w14:solidFill>
                    <w14:schemeClr w14:val="tx1"/>
                  </w14:solidFill>
                </w14:textFill>
              </w:rPr>
              <w:t>）隔爆型电气部件的隔爆面无锈蚀层、机械伤痕和刷漆现象；</w:t>
            </w:r>
          </w:p>
          <w:p w14:paraId="53190B3D">
            <w:pPr>
              <w:pStyle w:val="19"/>
              <w:spacing w:line="32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5</w:t>
            </w:r>
            <w:r>
              <w:rPr>
                <w:rFonts w:hAnsiTheme="minorEastAsia" w:eastAsiaTheme="minorEastAsia"/>
                <w:snapToGrid w:val="0"/>
                <w:color w:val="000000" w:themeColor="text1"/>
                <w:sz w:val="21"/>
                <w:szCs w:val="21"/>
                <w14:textFill>
                  <w14:solidFill>
                    <w14:schemeClr w14:val="tx1"/>
                  </w14:solidFill>
                </w14:textFill>
              </w:rPr>
              <w:t>）浇封型电气部件的浇封表面无裂缝、剥落、被浇封部分外露现象；</w:t>
            </w:r>
          </w:p>
          <w:p w14:paraId="709E143A">
            <w:pPr>
              <w:pStyle w:val="19"/>
              <w:spacing w:line="32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6</w:t>
            </w:r>
            <w:r>
              <w:rPr>
                <w:rFonts w:hAnsiTheme="minorEastAsia" w:eastAsiaTheme="minorEastAsia"/>
                <w:snapToGrid w:val="0"/>
                <w:color w:val="000000" w:themeColor="text1"/>
                <w:sz w:val="21"/>
                <w:szCs w:val="21"/>
                <w14:textFill>
                  <w14:solidFill>
                    <w14:schemeClr w14:val="tx1"/>
                  </w14:solidFill>
                </w14:textFill>
              </w:rPr>
              <w:t>）油浸型电气部件密封良好，无渗漏油，油位高度在规定范围内；外壳、电气和机械连接所用的螺栓、螺母以及注油、排油的螺栓塞等具有防松措施</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0BDF0CFD">
            <w:pPr>
              <w:pStyle w:val="19"/>
              <w:spacing w:line="280" w:lineRule="exact"/>
              <w:ind w:left="79" w:right="137"/>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防爆电梯适用。</w:t>
            </w:r>
          </w:p>
          <w:p w14:paraId="5CB4FDAA">
            <w:pPr>
              <w:pStyle w:val="19"/>
              <w:spacing w:line="280" w:lineRule="exact"/>
              <w:ind w:left="79" w:right="137"/>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w:t>
            </w:r>
            <w:r>
              <w:rPr>
                <w:rFonts w:hint="eastAsia" w:hAnsiTheme="minorEastAsia"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6</w:t>
            </w:r>
            <w:r>
              <w:rPr>
                <w:rFonts w:hAnsiTheme="minorEastAsia" w:eastAsiaTheme="minorEastAsia"/>
                <w:snapToGrid w:val="0"/>
                <w:color w:val="000000" w:themeColor="text1"/>
                <w:sz w:val="21"/>
                <w:szCs w:val="21"/>
                <w14:textFill>
                  <w14:solidFill>
                    <w14:schemeClr w14:val="tx1"/>
                  </w14:solidFill>
                </w14:textFill>
              </w:rPr>
              <w:t>）目测，满足要求时判定为符合</w:t>
            </w:r>
            <w:r>
              <w:rPr>
                <w:rFonts w:hint="eastAsia" w:hAnsiTheme="minorEastAsia" w:eastAsiaTheme="minorEastAsia"/>
                <w:snapToGrid w:val="0"/>
                <w:color w:val="000000" w:themeColor="text1"/>
                <w:sz w:val="21"/>
                <w:szCs w:val="21"/>
                <w14:textFill>
                  <w14:solidFill>
                    <w14:schemeClr w14:val="tx1"/>
                  </w14:solidFill>
                </w14:textFill>
              </w:rPr>
              <w:t>。</w:t>
            </w:r>
          </w:p>
        </w:tc>
      </w:tr>
      <w:tr w14:paraId="65DFCF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5" w:hRule="atLeast"/>
          <w:jc w:val="center"/>
        </w:trPr>
        <w:tc>
          <w:tcPr>
            <w:tcW w:w="927" w:type="dxa"/>
            <w:vAlign w:val="center"/>
          </w:tcPr>
          <w:p w14:paraId="4359DC32">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*A1.2.3.16</w:t>
            </w:r>
          </w:p>
        </w:tc>
        <w:tc>
          <w:tcPr>
            <w:tcW w:w="984" w:type="dxa"/>
            <w:vAlign w:val="center"/>
          </w:tcPr>
          <w:p w14:paraId="6F89FC24">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优先召回</w:t>
            </w:r>
          </w:p>
        </w:tc>
        <w:tc>
          <w:tcPr>
            <w:tcW w:w="6316" w:type="dxa"/>
            <w:vAlign w:val="center"/>
          </w:tcPr>
          <w:p w14:paraId="3DC3260F">
            <w:pPr>
              <w:pStyle w:val="19"/>
              <w:spacing w:line="32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检查当消防员电梯进入优先召回阶段后，是否符合以下要求：</w:t>
            </w:r>
          </w:p>
          <w:p w14:paraId="54485323">
            <w:pPr>
              <w:pStyle w:val="19"/>
              <w:spacing w:line="32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）层站控制和轿内控制以及受热、烟影响的门再开启保护装置均无效，已登记的呼梯均被取消，但开门和紧急报警按钮以及开门超时报警装置均保持有效；</w:t>
            </w:r>
          </w:p>
          <w:p w14:paraId="2617E0BE">
            <w:pPr>
              <w:pStyle w:val="19"/>
              <w:spacing w:line="32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）轿厢内的听觉信号鸣响，直至门关闭；</w:t>
            </w:r>
          </w:p>
          <w:p w14:paraId="6C14A5FB">
            <w:pPr>
              <w:pStyle w:val="19"/>
              <w:spacing w:line="32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）电梯脱离群组独立运行；</w:t>
            </w:r>
          </w:p>
          <w:p w14:paraId="70EE8167">
            <w:pPr>
              <w:pStyle w:val="19"/>
              <w:spacing w:line="32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4</w:t>
            </w:r>
            <w:r>
              <w:rPr>
                <w:rFonts w:hAnsiTheme="minorEastAsia" w:eastAsiaTheme="minorEastAsia"/>
                <w:snapToGrid w:val="0"/>
                <w:color w:val="000000" w:themeColor="text1"/>
                <w:sz w:val="21"/>
                <w:szCs w:val="21"/>
                <w14:textFill>
                  <w14:solidFill>
                    <w14:schemeClr w14:val="tx1"/>
                  </w14:solidFill>
                </w14:textFill>
              </w:rPr>
              <w:t>）正在离开消防员入口层的消防员电梯，在可以正常停站的最近楼层作一次停站，不开门，然后返回到消防员入口层；正在驶向消防员入口层的消防员电梯，向消防员入口层不停站继续运行，如果已经开始停站，消防员电梯可在正常停站后不开门继续向消防员入口层运行；到达后，停靠在该层，设置有消防员电梯开关一侧的轿门和层门保持在完全打开位置</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55037E79">
            <w:pPr>
              <w:pStyle w:val="19"/>
              <w:spacing w:line="32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消防员电梯适用。</w:t>
            </w:r>
          </w:p>
          <w:p w14:paraId="04636490">
            <w:pPr>
              <w:pStyle w:val="19"/>
              <w:spacing w:line="32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在消防员电梯进入优先召回阶段后，目测和功能验证，满足以下要求时判定为符合：</w:t>
            </w:r>
          </w:p>
          <w:p w14:paraId="422414BA">
            <w:pPr>
              <w:pStyle w:val="19"/>
              <w:spacing w:line="32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）满足以下要求：</w:t>
            </w:r>
          </w:p>
          <w:p w14:paraId="5645456C">
            <w:pPr>
              <w:pStyle w:val="19"/>
              <w:spacing w:line="32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①所有层站控制无效；</w:t>
            </w:r>
          </w:p>
          <w:p w14:paraId="25A18EA1">
            <w:pPr>
              <w:pStyle w:val="19"/>
              <w:spacing w:line="32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②所有轿内控制无效；</w:t>
            </w:r>
          </w:p>
          <w:p w14:paraId="08CF1FE8">
            <w:pPr>
              <w:pStyle w:val="19"/>
              <w:spacing w:line="32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③受热、烟影响的门再开启保护装置无效，以允许门关闭；</w:t>
            </w:r>
          </w:p>
          <w:p w14:paraId="410EACD1">
            <w:pPr>
              <w:pStyle w:val="19"/>
              <w:spacing w:line="32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④已登记的呼梯信号被取消；</w:t>
            </w:r>
          </w:p>
          <w:p w14:paraId="26F46D75">
            <w:pPr>
              <w:pStyle w:val="19"/>
              <w:spacing w:line="32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⑤开门按钮功能有效；</w:t>
            </w:r>
          </w:p>
          <w:p w14:paraId="5406F44F">
            <w:pPr>
              <w:pStyle w:val="19"/>
              <w:spacing w:line="32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⑥紧急报警按钮功能有效；</w:t>
            </w:r>
          </w:p>
          <w:p w14:paraId="4B503A9C">
            <w:pPr>
              <w:pStyle w:val="19"/>
              <w:spacing w:line="32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⑦开门超时报警装置功能有效。</w:t>
            </w:r>
          </w:p>
          <w:p w14:paraId="7A83A2C2">
            <w:pPr>
              <w:pStyle w:val="19"/>
              <w:spacing w:line="32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w:t>
            </w:r>
            <w:r>
              <w:rPr>
                <w:rFonts w:hint="eastAsia" w:hAnsiTheme="minorEastAsia"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4</w:t>
            </w:r>
            <w:r>
              <w:rPr>
                <w:rFonts w:hAnsiTheme="minorEastAsia" w:eastAsiaTheme="minorEastAsia"/>
                <w:snapToGrid w:val="0"/>
                <w:color w:val="000000" w:themeColor="text1"/>
                <w:sz w:val="21"/>
                <w:szCs w:val="21"/>
                <w14:textFill>
                  <w14:solidFill>
                    <w14:schemeClr w14:val="tx1"/>
                  </w14:solidFill>
                </w14:textFill>
              </w:rPr>
              <w:t>）功能验证</w:t>
            </w:r>
            <w:r>
              <w:rPr>
                <w:rFonts w:hint="eastAsia" w:hAnsiTheme="minorEastAsia" w:eastAsiaTheme="minorEastAsia"/>
                <w:snapToGrid w:val="0"/>
                <w:color w:val="000000" w:themeColor="text1"/>
                <w:sz w:val="21"/>
                <w:szCs w:val="21"/>
                <w14:textFill>
                  <w14:solidFill>
                    <w14:schemeClr w14:val="tx1"/>
                  </w14:solidFill>
                </w14:textFill>
              </w:rPr>
              <w:t>。</w:t>
            </w:r>
          </w:p>
        </w:tc>
      </w:tr>
      <w:tr w14:paraId="2EC753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25" w:hRule="atLeast"/>
          <w:jc w:val="center"/>
        </w:trPr>
        <w:tc>
          <w:tcPr>
            <w:tcW w:w="927" w:type="dxa"/>
            <w:vAlign w:val="center"/>
          </w:tcPr>
          <w:p w14:paraId="4465CDA3">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*A1.2.3.17</w:t>
            </w:r>
          </w:p>
        </w:tc>
        <w:tc>
          <w:tcPr>
            <w:tcW w:w="984" w:type="dxa"/>
            <w:vAlign w:val="center"/>
          </w:tcPr>
          <w:p w14:paraId="2AFD8DF2">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消防服务</w:t>
            </w:r>
          </w:p>
        </w:tc>
        <w:tc>
          <w:tcPr>
            <w:tcW w:w="6316" w:type="dxa"/>
            <w:vAlign w:val="center"/>
          </w:tcPr>
          <w:p w14:paraId="5AB355C2">
            <w:pPr>
              <w:pStyle w:val="19"/>
              <w:spacing w:line="32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检查在消防员控制下使用消防员电梯时，是否符合以下要求：</w:t>
            </w:r>
          </w:p>
          <w:p w14:paraId="41233004">
            <w:pPr>
              <w:pStyle w:val="19"/>
              <w:spacing w:line="32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持续按压轿厢内选层按钮或者关门按钮，使门关闭，在门完全关闭前，如果释放按钮，门能够自动再打开：如果轿厢停靠在层站、仅能通过持续按压轿厢内开门按钮控制门打开，如果在距离门完全打开不超过50mm之前释放轿厢内开门按钮，门自动再关闭；</w:t>
            </w:r>
          </w:p>
          <w:p w14:paraId="53585351">
            <w:pPr>
              <w:pStyle w:val="19"/>
              <w:spacing w:line="32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（2）轿厢内选层指令每次只能登记一个，已登记的轿厢内指令显示在轿厢内控制装置上；登记一个新的轿厢内选层指令时，原来的指令被取消，并且在最短的时间内运行到新登记的层站；</w:t>
            </w:r>
          </w:p>
          <w:p w14:paraId="4EBDEC2F">
            <w:pPr>
              <w:pStyle w:val="19"/>
              <w:spacing w:line="32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（3）供电电源有效时，在轿厢内和消防员入口层均显示出轿厢的位置；</w:t>
            </w:r>
          </w:p>
          <w:p w14:paraId="469E4985">
            <w:pPr>
              <w:pStyle w:val="19"/>
              <w:spacing w:line="32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（4）受热、烟影响的门再开启保护装置无效，但是轿门重开门功能和开门按钮保持有效状态</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0C3A443B">
            <w:pPr>
              <w:pStyle w:val="19"/>
              <w:spacing w:line="32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消防员电梯适用。</w:t>
            </w:r>
          </w:p>
          <w:p w14:paraId="75FD4129">
            <w:pPr>
              <w:pStyle w:val="19"/>
              <w:spacing w:line="32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在消防员控制下使用消防员电梯时，目测和功能验证，满足以下要求时判定为符合：</w:t>
            </w:r>
          </w:p>
          <w:p w14:paraId="591692E3">
            <w:pPr>
              <w:pStyle w:val="19"/>
              <w:spacing w:line="32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（1）分别进行开、关门手动控制试验，满足要求判定为符合；</w:t>
            </w:r>
          </w:p>
          <w:p w14:paraId="085C25E2">
            <w:pPr>
              <w:pStyle w:val="19"/>
              <w:spacing w:line="32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（2）分别在轿厢内进行一个或多个选层登记指令试验，满足要求判定为符合；</w:t>
            </w:r>
          </w:p>
          <w:p w14:paraId="1CA2D791">
            <w:pPr>
              <w:pStyle w:val="19"/>
              <w:spacing w:line="32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（3）应满足要求；</w:t>
            </w:r>
          </w:p>
          <w:p w14:paraId="6D40143E">
            <w:pPr>
              <w:pStyle w:val="19"/>
              <w:spacing w:line="32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（4）满足以下要求判定为符合：</w:t>
            </w:r>
          </w:p>
          <w:p w14:paraId="660F3475">
            <w:pPr>
              <w:pStyle w:val="19"/>
              <w:spacing w:line="32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①受热、烟影响的门再开启保护装置不起作用；</w:t>
            </w:r>
          </w:p>
          <w:p w14:paraId="364B90B1">
            <w:pPr>
              <w:pStyle w:val="19"/>
              <w:spacing w:line="32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②轿门重开门功能有效；</w:t>
            </w:r>
          </w:p>
          <w:p w14:paraId="48BBE6DD">
            <w:pPr>
              <w:pStyle w:val="19"/>
              <w:spacing w:line="32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③轿内开门按钮功能有效</w:t>
            </w:r>
            <w:r>
              <w:rPr>
                <w:rFonts w:hint="eastAsia" w:hAnsiTheme="minorEastAsia" w:eastAsiaTheme="minorEastAsia"/>
                <w:snapToGrid w:val="0"/>
                <w:color w:val="000000" w:themeColor="text1"/>
                <w:sz w:val="21"/>
                <w:szCs w:val="21"/>
                <w14:textFill>
                  <w14:solidFill>
                    <w14:schemeClr w14:val="tx1"/>
                  </w14:solidFill>
                </w14:textFill>
              </w:rPr>
              <w:t>。</w:t>
            </w:r>
          </w:p>
        </w:tc>
      </w:tr>
      <w:tr w14:paraId="46CC6F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55" w:hRule="atLeast"/>
          <w:jc w:val="center"/>
        </w:trPr>
        <w:tc>
          <w:tcPr>
            <w:tcW w:w="927" w:type="dxa"/>
            <w:vAlign w:val="center"/>
          </w:tcPr>
          <w:p w14:paraId="1450F468">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*A1.2.3.18</w:t>
            </w:r>
          </w:p>
        </w:tc>
        <w:tc>
          <w:tcPr>
            <w:tcW w:w="984" w:type="dxa"/>
            <w:vAlign w:val="center"/>
          </w:tcPr>
          <w:p w14:paraId="3DC7282B">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恢复正常服务</w:t>
            </w:r>
          </w:p>
        </w:tc>
        <w:tc>
          <w:tcPr>
            <w:tcW w:w="6316" w:type="dxa"/>
            <w:vAlign w:val="center"/>
          </w:tcPr>
          <w:p w14:paraId="3F66A5B1">
            <w:pPr>
              <w:pStyle w:val="19"/>
              <w:spacing w:line="32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检查是否只有当消防员电梯开关被转换到位置“0”，并且电梯已回到消防员入口层时，消防员电梯才能恢复到正常服务状态</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1FD8FFCC">
            <w:pPr>
              <w:pStyle w:val="19"/>
              <w:spacing w:line="32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消防员电梯适用。</w:t>
            </w:r>
          </w:p>
          <w:p w14:paraId="67662D05">
            <w:pPr>
              <w:pStyle w:val="19"/>
              <w:spacing w:line="32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功能验证，满足以下要求时判定为符合：</w:t>
            </w:r>
          </w:p>
          <w:p w14:paraId="752BC856">
            <w:pPr>
              <w:pStyle w:val="19"/>
              <w:spacing w:line="32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①将电梯运行到非消防员入口层，先操作消防员电梯开关，使之置于“0”位置，后在轿内外进行呼梯操作，电梯应不能正常运行；</w:t>
            </w:r>
          </w:p>
          <w:p w14:paraId="57FF3FDE">
            <w:pPr>
              <w:pStyle w:val="19"/>
              <w:spacing w:line="32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②将电梯运行到消防员入口层，先操作消防员电梯开关，使之置于“0”位置，后在轿内外进行呼梯操作，电梯能恢复正常运行；</w:t>
            </w:r>
          </w:p>
          <w:p w14:paraId="42535D4D">
            <w:pPr>
              <w:pStyle w:val="19"/>
              <w:spacing w:line="32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③除了②以外的其他操作，均不能使消防员电梯恢复到正常服务状态</w:t>
            </w:r>
            <w:r>
              <w:rPr>
                <w:rFonts w:hint="eastAsia" w:hAnsiTheme="minorEastAsia" w:eastAsiaTheme="minorEastAsia"/>
                <w:snapToGrid w:val="0"/>
                <w:color w:val="000000" w:themeColor="text1"/>
                <w:sz w:val="21"/>
                <w:szCs w:val="21"/>
                <w14:textFill>
                  <w14:solidFill>
                    <w14:schemeClr w14:val="tx1"/>
                  </w14:solidFill>
                </w14:textFill>
              </w:rPr>
              <w:t>。</w:t>
            </w:r>
          </w:p>
        </w:tc>
      </w:tr>
      <w:tr w14:paraId="61992C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65" w:hRule="atLeast"/>
          <w:jc w:val="center"/>
        </w:trPr>
        <w:tc>
          <w:tcPr>
            <w:tcW w:w="927" w:type="dxa"/>
            <w:vAlign w:val="center"/>
          </w:tcPr>
          <w:p w14:paraId="0D7B69E3">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*A1.2.3.19</w:t>
            </w:r>
          </w:p>
        </w:tc>
        <w:tc>
          <w:tcPr>
            <w:tcW w:w="984" w:type="dxa"/>
            <w:vAlign w:val="center"/>
          </w:tcPr>
          <w:p w14:paraId="4028D896">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再次优先召回</w:t>
            </w:r>
          </w:p>
        </w:tc>
        <w:tc>
          <w:tcPr>
            <w:tcW w:w="6316" w:type="dxa"/>
            <w:vAlign w:val="center"/>
          </w:tcPr>
          <w:p w14:paraId="078FD209">
            <w:pPr>
              <w:pStyle w:val="19"/>
              <w:spacing w:line="280" w:lineRule="exact"/>
              <w:ind w:left="79" w:right="137"/>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检查是否只有当操作消防员电梯开关从位置</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到</w:t>
            </w:r>
            <w:r>
              <w:rPr>
                <w:rFonts w:eastAsiaTheme="minorEastAsia"/>
                <w:snapToGrid w:val="0"/>
                <w:color w:val="000000" w:themeColor="text1"/>
                <w:sz w:val="21"/>
                <w:szCs w:val="21"/>
                <w14:textFill>
                  <w14:solidFill>
                    <w14:schemeClr w14:val="tx1"/>
                  </w14:solidFill>
                </w14:textFill>
              </w:rPr>
              <w:t>“0”</w:t>
            </w:r>
            <w:r>
              <w:rPr>
                <w:rFonts w:hAnsiTheme="minorEastAsia" w:eastAsiaTheme="minorEastAsia"/>
                <w:snapToGrid w:val="0"/>
                <w:color w:val="000000" w:themeColor="text1"/>
                <w:sz w:val="21"/>
                <w:szCs w:val="21"/>
                <w14:textFill>
                  <w14:solidFill>
                    <w14:schemeClr w14:val="tx1"/>
                  </w14:solidFill>
                </w14:textFill>
              </w:rPr>
              <w:t>，保持至少</w:t>
            </w:r>
            <w:r>
              <w:rPr>
                <w:rFonts w:eastAsiaTheme="minorEastAsia"/>
                <w:snapToGrid w:val="0"/>
                <w:color w:val="000000" w:themeColor="text1"/>
                <w:sz w:val="21"/>
                <w:szCs w:val="21"/>
                <w14:textFill>
                  <w14:solidFill>
                    <w14:schemeClr w14:val="tx1"/>
                  </w14:solidFill>
                </w14:textFill>
              </w:rPr>
              <w:t>5s</w:t>
            </w:r>
            <w:r>
              <w:rPr>
                <w:rFonts w:hAnsiTheme="minorEastAsia" w:eastAsiaTheme="minorEastAsia"/>
                <w:snapToGrid w:val="0"/>
                <w:color w:val="000000" w:themeColor="text1"/>
                <w:sz w:val="21"/>
                <w:szCs w:val="21"/>
                <w14:textFill>
                  <w14:solidFill>
                    <w14:schemeClr w14:val="tx1"/>
                  </w14:solidFill>
                </w14:textFill>
              </w:rPr>
              <w:t>，再回到</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时，消防员电梯才能重新处于优先召回阶段，并且返回到消防员入口层。</w:t>
            </w:r>
          </w:p>
          <w:p w14:paraId="5247D075">
            <w:pPr>
              <w:pStyle w:val="19"/>
              <w:spacing w:line="280" w:lineRule="exact"/>
              <w:ind w:left="79" w:right="137"/>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w:t>
            </w:r>
            <w:r>
              <w:rPr>
                <w:rFonts w:eastAsiaTheme="minorEastAsia"/>
                <w:snapToGrid w:val="0"/>
                <w:color w:val="000000" w:themeColor="text1"/>
                <w:sz w:val="21"/>
                <w:szCs w:val="21"/>
                <w14:textFill>
                  <w14:solidFill>
                    <w14:schemeClr w14:val="tx1"/>
                  </w14:solidFill>
                </w14:textFill>
              </w:rPr>
              <w:t>A1-10</w:t>
            </w:r>
            <w:r>
              <w:rPr>
                <w:rFonts w:hAnsiTheme="minorEastAsia" w:eastAsiaTheme="minorEastAsia"/>
                <w:snapToGrid w:val="0"/>
                <w:color w:val="000000" w:themeColor="text1"/>
                <w:sz w:val="21"/>
                <w:szCs w:val="21"/>
                <w14:textFill>
                  <w14:solidFill>
                    <w14:schemeClr w14:val="tx1"/>
                  </w14:solidFill>
                </w14:textFill>
              </w:rPr>
              <w:t>：本条不适用于设置轿厢内消防员钥匙开关的消防员电梯</w:t>
            </w:r>
          </w:p>
        </w:tc>
        <w:tc>
          <w:tcPr>
            <w:tcW w:w="5791" w:type="dxa"/>
            <w:gridSpan w:val="4"/>
            <w:vAlign w:val="center"/>
          </w:tcPr>
          <w:p w14:paraId="7F89F4C5">
            <w:pPr>
              <w:pStyle w:val="19"/>
              <w:spacing w:line="280" w:lineRule="exact"/>
              <w:ind w:left="79" w:right="137"/>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未设置轿厢内消防员钥匙开关的消防员电梯适用。</w:t>
            </w:r>
          </w:p>
          <w:p w14:paraId="195A659E">
            <w:pPr>
              <w:pStyle w:val="19"/>
              <w:spacing w:line="280" w:lineRule="exact"/>
              <w:ind w:left="79" w:right="137"/>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目测和功能验证，必要时测量，满足要求时判定为符合</w:t>
            </w:r>
            <w:r>
              <w:rPr>
                <w:rFonts w:hint="eastAsia" w:hAnsiTheme="minorEastAsia" w:eastAsiaTheme="minorEastAsia"/>
                <w:snapToGrid w:val="0"/>
                <w:color w:val="000000" w:themeColor="text1"/>
                <w:sz w:val="21"/>
                <w:szCs w:val="21"/>
                <w14:textFill>
                  <w14:solidFill>
                    <w14:schemeClr w14:val="tx1"/>
                  </w14:solidFill>
                </w14:textFill>
              </w:rPr>
              <w:t>。</w:t>
            </w:r>
          </w:p>
        </w:tc>
      </w:tr>
      <w:tr w14:paraId="0420DB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30" w:hRule="atLeast"/>
          <w:jc w:val="center"/>
        </w:trPr>
        <w:tc>
          <w:tcPr>
            <w:tcW w:w="927" w:type="dxa"/>
            <w:vAlign w:val="center"/>
          </w:tcPr>
          <w:p w14:paraId="4DA7C768">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A1.2.4.1</w:t>
            </w:r>
          </w:p>
        </w:tc>
        <w:tc>
          <w:tcPr>
            <w:tcW w:w="984" w:type="dxa"/>
            <w:vAlign w:val="center"/>
          </w:tcPr>
          <w:p w14:paraId="6C8A340C">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驱动主机停止装置</w:t>
            </w:r>
          </w:p>
        </w:tc>
        <w:tc>
          <w:tcPr>
            <w:tcW w:w="6316" w:type="dxa"/>
            <w:vAlign w:val="center"/>
          </w:tcPr>
          <w:p w14:paraId="43EE3AC9">
            <w:pPr>
              <w:pStyle w:val="19"/>
              <w:spacing w:line="280" w:lineRule="exact"/>
              <w:ind w:left="79" w:right="137"/>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检查在驱动主机附近</w:t>
            </w:r>
            <w:r>
              <w:rPr>
                <w:rFonts w:eastAsiaTheme="minorEastAsia"/>
                <w:snapToGrid w:val="0"/>
                <w:color w:val="000000" w:themeColor="text1"/>
                <w:sz w:val="21"/>
                <w:szCs w:val="21"/>
                <w14:textFill>
                  <w14:solidFill>
                    <w14:schemeClr w14:val="tx1"/>
                  </w14:solidFill>
                </w14:textFill>
              </w:rPr>
              <w:t>1m</w:t>
            </w:r>
            <w:r>
              <w:rPr>
                <w:rFonts w:hAnsiTheme="minorEastAsia" w:eastAsiaTheme="minorEastAsia"/>
                <w:snapToGrid w:val="0"/>
                <w:color w:val="000000" w:themeColor="text1"/>
                <w:sz w:val="21"/>
                <w:szCs w:val="21"/>
                <w14:textFill>
                  <w14:solidFill>
                    <w14:schemeClr w14:val="tx1"/>
                  </w14:solidFill>
                </w14:textFill>
              </w:rPr>
              <w:t>之内是否设有可以直接接近的主开关或者其他停止装置，并且功能有效</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28D30B91">
            <w:pPr>
              <w:pStyle w:val="19"/>
              <w:spacing w:line="280" w:lineRule="exact"/>
              <w:ind w:left="79" w:right="137"/>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曳引与强制驱动电梯适用。</w:t>
            </w:r>
          </w:p>
          <w:p w14:paraId="6306D7E3">
            <w:pPr>
              <w:pStyle w:val="19"/>
              <w:spacing w:line="280" w:lineRule="exact"/>
              <w:ind w:left="79" w:right="137"/>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目测和功能验证，必要时测量，满足要求时判定为符合</w:t>
            </w:r>
            <w:r>
              <w:rPr>
                <w:rFonts w:hint="eastAsia" w:hAnsiTheme="minorEastAsia" w:eastAsiaTheme="minorEastAsia"/>
                <w:snapToGrid w:val="0"/>
                <w:color w:val="000000" w:themeColor="text1"/>
                <w:sz w:val="21"/>
                <w:szCs w:val="21"/>
                <w14:textFill>
                  <w14:solidFill>
                    <w14:schemeClr w14:val="tx1"/>
                  </w14:solidFill>
                </w14:textFill>
              </w:rPr>
              <w:t>。</w:t>
            </w:r>
          </w:p>
        </w:tc>
      </w:tr>
      <w:tr w14:paraId="2E133B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24" w:hRule="atLeast"/>
          <w:jc w:val="center"/>
        </w:trPr>
        <w:tc>
          <w:tcPr>
            <w:tcW w:w="927" w:type="dxa"/>
            <w:vAlign w:val="center"/>
          </w:tcPr>
          <w:p w14:paraId="542D73DF">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*A1.2.4.3</w:t>
            </w:r>
          </w:p>
        </w:tc>
        <w:tc>
          <w:tcPr>
            <w:tcW w:w="984" w:type="dxa"/>
            <w:vAlign w:val="center"/>
          </w:tcPr>
          <w:p w14:paraId="259864CD">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制动器</w:t>
            </w:r>
          </w:p>
        </w:tc>
        <w:tc>
          <w:tcPr>
            <w:tcW w:w="6316" w:type="dxa"/>
            <w:vAlign w:val="center"/>
          </w:tcPr>
          <w:p w14:paraId="123EE025">
            <w:pPr>
              <w:pStyle w:val="19"/>
              <w:spacing w:line="280" w:lineRule="exact"/>
              <w:ind w:left="79" w:right="137"/>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检查其是否符合以下要求：</w:t>
            </w:r>
          </w:p>
          <w:p w14:paraId="010A7169">
            <w:pPr>
              <w:pStyle w:val="19"/>
              <w:spacing w:line="280" w:lineRule="exact"/>
              <w:ind w:left="79" w:right="137"/>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）能够从井道外独立地测试每个制动组；</w:t>
            </w:r>
          </w:p>
          <w:p w14:paraId="1207F25C">
            <w:pPr>
              <w:pStyle w:val="19"/>
              <w:spacing w:line="280" w:lineRule="exact"/>
              <w:ind w:left="79" w:right="137"/>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制动器动作灵活，制动时制动闸瓦（制动钳）紧密、均匀地贴合在制动轮（制动盘）上，电梯运行时制动闸瓦（制动钳）与制动轮（制动盘）不发生摩擦，制动闸瓦（制动钳）以及制动轮（制动盘）工作面上无油污；</w:t>
            </w:r>
          </w:p>
          <w:p w14:paraId="37755680">
            <w:pPr>
              <w:pStyle w:val="19"/>
              <w:spacing w:line="280" w:lineRule="exact"/>
              <w:ind w:left="79" w:right="137"/>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对于需要定期拆解保养的柱塞式电磁铁型式的杠杆鼓式制动器，维护保养单位按照受检电梯制造（改造）单位（该单位已经注销时，按照相应驱动主机的制造单位或者型式试验机构）的要求进行了拆解保养，并且提供了拆解保养过程的视频或者照片等见证资料</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1A83CB01">
            <w:pPr>
              <w:pStyle w:val="19"/>
              <w:spacing w:line="26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曳引与强制驱动电梯适用。</w:t>
            </w:r>
          </w:p>
          <w:p w14:paraId="57E0C71D">
            <w:pPr>
              <w:pStyle w:val="19"/>
              <w:spacing w:line="26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）功能验证，满足要求时判定为符合。</w:t>
            </w:r>
            <w:r>
              <w:rPr>
                <w:rFonts w:eastAsiaTheme="minorEastAsia"/>
                <w:snapToGrid w:val="0"/>
                <w:color w:val="000000" w:themeColor="text1"/>
                <w:sz w:val="21"/>
                <w:szCs w:val="21"/>
                <w14:textFill>
                  <w14:solidFill>
                    <w14:schemeClr w14:val="tx1"/>
                  </w14:solidFill>
                </w14:textFill>
              </w:rPr>
              <w:t>2023</w:t>
            </w:r>
            <w:r>
              <w:rPr>
                <w:rFonts w:hAnsiTheme="minorEastAsia" w:eastAsiaTheme="minorEastAsia"/>
                <w:snapToGrid w:val="0"/>
                <w:color w:val="000000" w:themeColor="text1"/>
                <w:sz w:val="21"/>
                <w:szCs w:val="21"/>
                <w14:textFill>
                  <w14:solidFill>
                    <w14:schemeClr w14:val="tx1"/>
                  </w14:solidFill>
                </w14:textFill>
              </w:rPr>
              <w:t>年</w:t>
            </w:r>
            <w:r>
              <w:rPr>
                <w:rFonts w:eastAsiaTheme="minorEastAsia"/>
                <w:snapToGrid w:val="0"/>
                <w:color w:val="000000" w:themeColor="text1"/>
                <w:sz w:val="21"/>
                <w:szCs w:val="21"/>
                <w14:textFill>
                  <w14:solidFill>
                    <w14:schemeClr w14:val="tx1"/>
                  </w14:solidFill>
                </w14:textFill>
              </w:rPr>
              <w:t>7</w:t>
            </w:r>
            <w:r>
              <w:rPr>
                <w:rFonts w:hAnsiTheme="minorEastAsia" w:eastAsiaTheme="minorEastAsia"/>
                <w:snapToGrid w:val="0"/>
                <w:color w:val="000000" w:themeColor="text1"/>
                <w:sz w:val="21"/>
                <w:szCs w:val="21"/>
                <w14:textFill>
                  <w14:solidFill>
                    <w14:schemeClr w14:val="tx1"/>
                  </w14:solidFill>
                </w14:textFill>
              </w:rPr>
              <w:t>月</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日前备案的电梯，此项不适用；</w:t>
            </w:r>
          </w:p>
          <w:p w14:paraId="63182097">
            <w:pPr>
              <w:pStyle w:val="19"/>
              <w:spacing w:line="26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）目测，满足要求判定为符合：</w:t>
            </w:r>
          </w:p>
          <w:p w14:paraId="35677E18">
            <w:pPr>
              <w:pStyle w:val="19"/>
              <w:spacing w:line="26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对于制动闸瓦（制动钳）、制动轮（制动盘）可直接观察到的电梯，操纵轿厢以检修速度运行一段距离后停止，在此运行过程中制动器动作灵活，制动闸瓦（制动钳）以及制动轮（制动盘）工作面上没有油污，电梯运行时制动闸瓦（制动钳）与制动轮（制动盘）不发生摩擦，制动时制动闸瓦（制动钳）紧密、均匀地贴合在制动轮（制动盘）上；</w:t>
            </w:r>
          </w:p>
          <w:p w14:paraId="13D861D7">
            <w:pPr>
              <w:pStyle w:val="19"/>
              <w:spacing w:line="26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②对于制动闸瓦（制动钳）、制动轮（制动盘）不可直接观察到的电梯，由施工单位按照电梯整机制造单位规定的方法对制动器进行检查，检验人员现场观察、确认，满足要求判定为符合；</w:t>
            </w:r>
          </w:p>
          <w:p w14:paraId="186DAE1A">
            <w:pPr>
              <w:pStyle w:val="19"/>
              <w:spacing w:line="26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）安装监督检验不适用。</w:t>
            </w:r>
          </w:p>
          <w:p w14:paraId="4EAC16BB">
            <w:pPr>
              <w:pStyle w:val="19"/>
              <w:spacing w:line="26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改造或者重大修理监督检验以及定期检验时，对于</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需要定期拆解保养的柱塞式电磁铁型式的杠杆鼓式制动器</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查看维护保养单位提供的受检电梯的拆解保养过程的视频或照片，满足要求判定为符合；其余型式制动器不适用。</w:t>
            </w:r>
          </w:p>
        </w:tc>
      </w:tr>
      <w:tr w14:paraId="59B05D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23" w:hRule="atLeast"/>
          <w:jc w:val="center"/>
        </w:trPr>
        <w:tc>
          <w:tcPr>
            <w:tcW w:w="927" w:type="dxa"/>
            <w:vAlign w:val="center"/>
          </w:tcPr>
          <w:p w14:paraId="29231DD3">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A1.2.4.4</w:t>
            </w:r>
          </w:p>
        </w:tc>
        <w:tc>
          <w:tcPr>
            <w:tcW w:w="984" w:type="dxa"/>
            <w:vAlign w:val="center"/>
          </w:tcPr>
          <w:p w14:paraId="132DA75E">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溢流阀工作压力</w:t>
            </w:r>
          </w:p>
        </w:tc>
        <w:tc>
          <w:tcPr>
            <w:tcW w:w="6316" w:type="dxa"/>
            <w:vAlign w:val="center"/>
          </w:tcPr>
          <w:p w14:paraId="3BC3F34C">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检查通常情况下溢流阀的调定工作压力不超过满载工作压力的140%，最大不高于满载压力的170%[在此情况下需提供相应的液压管路（包括液压缸）计算说明]</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16044DD0">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液压驱动电梯适用。</w:t>
            </w:r>
          </w:p>
          <w:p w14:paraId="05CE721B">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按下述步骤进行功能验证，满足要求时判定为符合。</w:t>
            </w:r>
          </w:p>
          <w:p w14:paraId="5DD6EB5D">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查阅出厂随机资料或进行满载试验（载有额定载重量的轿厢停靠在顶层端站），确认溢流阀的调定工作压力不超过满载工作压力的140%；</w:t>
            </w:r>
          </w:p>
          <w:p w14:paraId="65772BF6">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②在机房将截止阀关闭；</w:t>
            </w:r>
          </w:p>
          <w:p w14:paraId="7FC4D182">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③检修点动上行，让液压泵站系统压力缓慢上升；</w:t>
            </w:r>
          </w:p>
          <w:p w14:paraId="1DD94B40">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④当压力表的压力值不再上升时，压力表显示的压力值即为溢流阀的调定工作压力值；</w:t>
            </w:r>
          </w:p>
          <w:p w14:paraId="6861A9D5">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⑤计算压力表上显示的溢流阀调定工作压力与满载工作压力值的比值，不超过1.4，最大不超过1.7[在此情况下需提供相应的液压管路（包括液压缸）计算说明]。</w:t>
            </w:r>
          </w:p>
          <w:p w14:paraId="24C33519">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注：在检验过程中，如设备上的压力表有异常状况，则应采用外接经校验且在校验有效期内的压力表进行检验。</w:t>
            </w:r>
          </w:p>
        </w:tc>
      </w:tr>
      <w:tr w14:paraId="3C573E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70" w:hRule="atLeast"/>
          <w:jc w:val="center"/>
        </w:trPr>
        <w:tc>
          <w:tcPr>
            <w:tcW w:w="927" w:type="dxa"/>
            <w:vAlign w:val="center"/>
          </w:tcPr>
          <w:p w14:paraId="34408F55">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*A1.2.4.7</w:t>
            </w:r>
          </w:p>
        </w:tc>
        <w:tc>
          <w:tcPr>
            <w:tcW w:w="984" w:type="dxa"/>
            <w:vAlign w:val="center"/>
          </w:tcPr>
          <w:p w14:paraId="36A5F3C1">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手动紧急</w:t>
            </w:r>
          </w:p>
          <w:p w14:paraId="21B5DC09">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操作装置</w:t>
            </w:r>
          </w:p>
        </w:tc>
        <w:tc>
          <w:tcPr>
            <w:tcW w:w="6316" w:type="dxa"/>
            <w:vAlign w:val="center"/>
          </w:tcPr>
          <w:p w14:paraId="710B2ED5">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检查其是否符合以下要求：</w:t>
            </w:r>
          </w:p>
          <w:p w14:paraId="21843103">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（1）对于曳引与强制驱动电梯，能够通过持续手动操作的机械装置或者由自动充电的紧急电源供电的电气装置打开驱动主机制动器，并且该装置的失效不会导致制动功能的失效；</w:t>
            </w:r>
          </w:p>
          <w:p w14:paraId="45858CF9">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（2）手动松开制动器后仅在重力作用下轿厢（运载装置）不能移动时，能够通过手动机械装置、独立于主电源供电的手动操作电动装置或者其他措施将轿厢（运载装置）移动到附近层站；</w:t>
            </w:r>
          </w:p>
          <w:p w14:paraId="1EBEC27D">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（3）如果电梯的移动可能带动手动机械装置，该装置是平滑和无辐条的轮子；</w:t>
            </w:r>
          </w:p>
          <w:p w14:paraId="0DB2B2A9">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（4）如果手动机械装置可以从驱动主机上拆卸或者脱出，设有最迟在其连接到驱动主机时起作用的电气安全装置；</w:t>
            </w:r>
          </w:p>
          <w:p w14:paraId="27F67480">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（5）液压驱动电梯设有手动操作的紧急下降阀，以在失电时操纵该阀使轿厢向下移动至层站；</w:t>
            </w:r>
          </w:p>
          <w:p w14:paraId="5B9B0A5A">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（6）对于轿厢上装有安全钳或者夹紧装置的液压驱动电梯，永久性地安装手动泵，以通过操纵该泵使轿厢向上移动；</w:t>
            </w:r>
          </w:p>
          <w:p w14:paraId="3E7181BB">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（7）在紧急操作处，易于检查轿厢是否在开锁区域</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12C03FEF">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w:t>
            </w:r>
            <w:r>
              <w:rPr>
                <w:rFonts w:hint="eastAsia" w:hAnsiTheme="minorEastAsia"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（4）曳引与强制驱动电梯适用。</w:t>
            </w:r>
          </w:p>
          <w:p w14:paraId="27537B98">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（5）</w:t>
            </w:r>
            <w:r>
              <w:rPr>
                <w:rFonts w:hint="eastAsia" w:hAnsiTheme="minorEastAsia"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（6）液压驱动电梯适用。</w:t>
            </w:r>
          </w:p>
          <w:p w14:paraId="09A36927">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（7）所有电梯适用。</w:t>
            </w:r>
          </w:p>
          <w:p w14:paraId="3EFB1118">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（1）断开主电源并验电，验证手动紧急操作的功能，满足以下“①③”或者“②③”的要求时判定为符合：</w:t>
            </w:r>
          </w:p>
          <w:p w14:paraId="5258C1AF">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①通过操纵手动机械装置（如杠杆）打开驱动主机制动器，并且需要以一持续力保持其打开状态；</w:t>
            </w:r>
          </w:p>
          <w:p w14:paraId="297D1E56">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②通过操纵电气装置打开驱动主机制动器，该电气装置应由自动充电的紧急电源供电；需要持续操纵电气装置以保持制动器打开状态；</w:t>
            </w:r>
          </w:p>
          <w:p w14:paraId="41B2B374">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③手动机械装置或电气装置的失效（或故障）不会导致制动功能的失效；</w:t>
            </w:r>
          </w:p>
          <w:p w14:paraId="01EFB10F">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（2）当轿厢和对重处于平衡载荷状态下，手动释放制动器，可采用以下方式之一将轿厢移动到附近层站，满足以下要求时判定为符合：</w:t>
            </w:r>
          </w:p>
          <w:p w14:paraId="63910CE8">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①手动机械装置（如盘车手轮）；</w:t>
            </w:r>
          </w:p>
          <w:p w14:paraId="11B72EFF">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②独立于主电源供电的手动操作电动装置（如备用电源运行）；</w:t>
            </w:r>
          </w:p>
          <w:p w14:paraId="7C7B4F5F">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③其他措施（如在轿厢或对重放置配重，利用重力差移动轿厢，此时应考虑端站平衡情况）。</w:t>
            </w:r>
          </w:p>
          <w:p w14:paraId="05AAAAD5">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（3）配置盘车手轮时适用。目测盘车手轮外观，满足要求时判定为符合；</w:t>
            </w:r>
          </w:p>
          <w:p w14:paraId="34518469">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（4）配置可拆卸的盘车手轮时适用。目测和功能验证，满足要求时判定为符合。对于按照</w:t>
            </w:r>
            <w:r>
              <w:rPr>
                <w:rFonts w:hint="eastAsia" w:hAnsiTheme="minorEastAsia" w:eastAsiaTheme="minorEastAsia"/>
                <w:snapToGrid w:val="0"/>
                <w:color w:val="000000" w:themeColor="text1"/>
                <w:sz w:val="21"/>
                <w:szCs w:val="21"/>
                <w14:textFill>
                  <w14:solidFill>
                    <w14:schemeClr w14:val="tx1"/>
                  </w14:solidFill>
                </w14:textFill>
              </w:rPr>
              <w:t xml:space="preserve">GB </w:t>
            </w:r>
            <w:r>
              <w:rPr>
                <w:rFonts w:hAnsiTheme="minorEastAsia" w:eastAsiaTheme="minorEastAsia"/>
                <w:snapToGrid w:val="0"/>
                <w:color w:val="000000" w:themeColor="text1"/>
                <w:sz w:val="21"/>
                <w:szCs w:val="21"/>
                <w14:textFill>
                  <w14:solidFill>
                    <w14:schemeClr w14:val="tx1"/>
                  </w14:solidFill>
                </w14:textFill>
              </w:rPr>
              <w:t>7588-1995及更早期标准生产且未按照</w:t>
            </w:r>
            <w:r>
              <w:rPr>
                <w:rFonts w:hint="eastAsia" w:hAnsiTheme="minorEastAsia" w:eastAsiaTheme="minorEastAsia"/>
                <w:snapToGrid w:val="0"/>
                <w:color w:val="000000" w:themeColor="text1"/>
                <w:sz w:val="21"/>
                <w:szCs w:val="21"/>
                <w14:textFill>
                  <w14:solidFill>
                    <w14:schemeClr w14:val="tx1"/>
                  </w14:solidFill>
                </w14:textFill>
              </w:rPr>
              <w:t xml:space="preserve">TSG </w:t>
            </w:r>
            <w:r>
              <w:rPr>
                <w:rFonts w:hAnsiTheme="minorEastAsia" w:eastAsiaTheme="minorEastAsia"/>
                <w:snapToGrid w:val="0"/>
                <w:color w:val="000000" w:themeColor="text1"/>
                <w:sz w:val="21"/>
                <w:szCs w:val="21"/>
                <w14:textFill>
                  <w14:solidFill>
                    <w14:schemeClr w14:val="tx1"/>
                  </w14:solidFill>
                </w14:textFill>
              </w:rPr>
              <w:t>T7001-2009进行过检验的电梯，本条定期检验可以不检，但是按本规则进行的改造大修监督检验涉及此项目时应予以检查和判定。</w:t>
            </w:r>
          </w:p>
          <w:p w14:paraId="0B475836">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（5）目测和功能验证，并按下述方法和步骤验证向下移动轿厢功能，满足要求时判定为符合：</w:t>
            </w:r>
          </w:p>
          <w:p w14:paraId="318D8BF3">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①在机房内、机器柜内或紧急和测试操作屏上设置有紧急下降阀，并标有“注意--紧急下降”字样；</w:t>
            </w:r>
          </w:p>
          <w:p w14:paraId="43980518">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②操纵电梯并停在开锁区域以上的任意位置；</w:t>
            </w:r>
          </w:p>
          <w:p w14:paraId="18B34D08">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③断开主电源；</w:t>
            </w:r>
          </w:p>
          <w:p w14:paraId="57364620">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④手动操作紧急下降阀，使轿厢向下移动至最近层站。</w:t>
            </w:r>
          </w:p>
          <w:p w14:paraId="1F1EDFC1">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（6）轿厢上装有安全钳或者夹紧装置的液压驱动电梯适用。</w:t>
            </w:r>
          </w:p>
          <w:p w14:paraId="3457546D">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目测，并按下述方法和步骤验证向上移动轿厢功能，满足</w:t>
            </w:r>
          </w:p>
          <w:p w14:paraId="5277AE04">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要求时判定为符合：</w:t>
            </w:r>
          </w:p>
          <w:p w14:paraId="09562B20">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①应永久性地安装有手动泵，通常安装在机房内、机器柜内或紧急和测试操作屏上，附近标有“注意--紧急上行”字样；</w:t>
            </w:r>
          </w:p>
          <w:p w14:paraId="31485C64">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②轿厢空载；</w:t>
            </w:r>
          </w:p>
          <w:p w14:paraId="5BCF0295">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③操纵手动泵使轿厢向上移动；</w:t>
            </w:r>
          </w:p>
          <w:p w14:paraId="71F9770E">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注：该试验可结合A1.3.4“轿厢（运载装置）限速器-安全钳试验”进行</w:t>
            </w:r>
            <w:r>
              <w:rPr>
                <w:rFonts w:hint="eastAsia" w:hAnsiTheme="minorEastAsia" w:eastAsiaTheme="minorEastAsia"/>
                <w:snapToGrid w:val="0"/>
                <w:color w:val="000000" w:themeColor="text1"/>
                <w:sz w:val="21"/>
                <w:szCs w:val="21"/>
                <w14:textFill>
                  <w14:solidFill>
                    <w14:schemeClr w14:val="tx1"/>
                  </w14:solidFill>
                </w14:textFill>
              </w:rPr>
              <w:t>。</w:t>
            </w:r>
          </w:p>
          <w:p w14:paraId="21142616">
            <w:pPr>
              <w:pStyle w:val="19"/>
              <w:spacing w:line="280" w:lineRule="exact"/>
              <w:ind w:left="79" w:right="137"/>
              <w:jc w:val="both"/>
              <w:rPr>
                <w:rFonts w:hint="eastAsia"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（7）在紧急操作处，能易于检查（如直接观察、观察窗或通过显示装置）轿厢是否在开锁区域，满足要求时判定为符合</w:t>
            </w:r>
            <w:r>
              <w:rPr>
                <w:rFonts w:hint="eastAsia" w:hAnsiTheme="minorEastAsia" w:eastAsiaTheme="minorEastAsia"/>
                <w:snapToGrid w:val="0"/>
                <w:color w:val="000000" w:themeColor="text1"/>
                <w:sz w:val="21"/>
                <w:szCs w:val="21"/>
                <w14:textFill>
                  <w14:solidFill>
                    <w14:schemeClr w14:val="tx1"/>
                  </w14:solidFill>
                </w14:textFill>
              </w:rPr>
              <w:t>。</w:t>
            </w:r>
          </w:p>
          <w:p w14:paraId="5230ED49">
            <w:pPr>
              <w:pStyle w:val="19"/>
              <w:spacing w:line="280" w:lineRule="exact"/>
              <w:ind w:left="79" w:right="137"/>
              <w:jc w:val="both"/>
              <w:rPr>
                <w:rFonts w:hint="eastAsia" w:hAnsiTheme="minorEastAsia" w:eastAsiaTheme="minorEastAsia"/>
                <w:snapToGrid w:val="0"/>
                <w:color w:val="000000" w:themeColor="text1"/>
                <w:sz w:val="21"/>
                <w:szCs w:val="21"/>
                <w14:textFill>
                  <w14:solidFill>
                    <w14:schemeClr w14:val="tx1"/>
                  </w14:solidFill>
                </w14:textFill>
              </w:rPr>
            </w:pPr>
          </w:p>
          <w:p w14:paraId="4A46D90F">
            <w:pPr>
              <w:pStyle w:val="19"/>
              <w:spacing w:line="280" w:lineRule="exact"/>
              <w:ind w:left="79" w:right="137"/>
              <w:jc w:val="both"/>
              <w:rPr>
                <w:rFonts w:hint="eastAsia" w:hAnsiTheme="minorEastAsia" w:eastAsiaTheme="minorEastAsia"/>
                <w:snapToGrid w:val="0"/>
                <w:color w:val="000000" w:themeColor="text1"/>
                <w:sz w:val="21"/>
                <w:szCs w:val="21"/>
                <w14:textFill>
                  <w14:solidFill>
                    <w14:schemeClr w14:val="tx1"/>
                  </w14:solidFill>
                </w14:textFill>
              </w:rPr>
            </w:pPr>
          </w:p>
          <w:p w14:paraId="167FBC13">
            <w:pPr>
              <w:pStyle w:val="19"/>
              <w:spacing w:line="280" w:lineRule="exact"/>
              <w:ind w:left="79" w:right="137"/>
              <w:jc w:val="both"/>
              <w:rPr>
                <w:rFonts w:hint="eastAsia" w:hAnsiTheme="minorEastAsia" w:eastAsiaTheme="minorEastAsia"/>
                <w:snapToGrid w:val="0"/>
                <w:color w:val="000000" w:themeColor="text1"/>
                <w:sz w:val="21"/>
                <w:szCs w:val="21"/>
                <w14:textFill>
                  <w14:solidFill>
                    <w14:schemeClr w14:val="tx1"/>
                  </w14:solidFill>
                </w14:textFill>
              </w:rPr>
            </w:pPr>
          </w:p>
          <w:p w14:paraId="42CE3314">
            <w:pPr>
              <w:pStyle w:val="19"/>
              <w:spacing w:line="280" w:lineRule="exact"/>
              <w:ind w:left="79" w:right="137"/>
              <w:jc w:val="both"/>
              <w:rPr>
                <w:rFonts w:hint="eastAsia" w:hAnsiTheme="minorEastAsia" w:eastAsiaTheme="minorEastAsia"/>
                <w:snapToGrid w:val="0"/>
                <w:color w:val="000000" w:themeColor="text1"/>
                <w:sz w:val="21"/>
                <w:szCs w:val="21"/>
                <w14:textFill>
                  <w14:solidFill>
                    <w14:schemeClr w14:val="tx1"/>
                  </w14:solidFill>
                </w14:textFill>
              </w:rPr>
            </w:pPr>
          </w:p>
          <w:p w14:paraId="15926B0F">
            <w:pPr>
              <w:pStyle w:val="19"/>
              <w:spacing w:line="280" w:lineRule="exact"/>
              <w:ind w:left="79" w:right="137"/>
              <w:jc w:val="both"/>
              <w:rPr>
                <w:rFonts w:hint="eastAsia" w:hAnsiTheme="minorEastAsia" w:eastAsiaTheme="minorEastAsia"/>
                <w:snapToGrid w:val="0"/>
                <w:color w:val="000000" w:themeColor="text1"/>
                <w:sz w:val="21"/>
                <w:szCs w:val="21"/>
                <w14:textFill>
                  <w14:solidFill>
                    <w14:schemeClr w14:val="tx1"/>
                  </w14:solidFill>
                </w14:textFill>
              </w:rPr>
            </w:pPr>
          </w:p>
          <w:p w14:paraId="5A0EF5A3">
            <w:pPr>
              <w:pStyle w:val="19"/>
              <w:spacing w:line="280" w:lineRule="exact"/>
              <w:ind w:left="79" w:right="137"/>
              <w:jc w:val="both"/>
              <w:rPr>
                <w:rFonts w:hint="eastAsia" w:hAnsiTheme="minorEastAsia" w:eastAsiaTheme="minorEastAsia"/>
                <w:snapToGrid w:val="0"/>
                <w:color w:val="000000" w:themeColor="text1"/>
                <w:sz w:val="21"/>
                <w:szCs w:val="21"/>
                <w14:textFill>
                  <w14:solidFill>
                    <w14:schemeClr w14:val="tx1"/>
                  </w14:solidFill>
                </w14:textFill>
              </w:rPr>
            </w:pPr>
          </w:p>
          <w:p w14:paraId="2C1A20D2">
            <w:pPr>
              <w:pStyle w:val="19"/>
              <w:spacing w:line="280" w:lineRule="exact"/>
              <w:ind w:left="79" w:right="137"/>
              <w:jc w:val="both"/>
              <w:rPr>
                <w:rFonts w:hint="eastAsia" w:hAnsiTheme="minorEastAsia" w:eastAsiaTheme="minorEastAsia"/>
                <w:snapToGrid w:val="0"/>
                <w:color w:val="000000" w:themeColor="text1"/>
                <w:sz w:val="21"/>
                <w:szCs w:val="21"/>
                <w14:textFill>
                  <w14:solidFill>
                    <w14:schemeClr w14:val="tx1"/>
                  </w14:solidFill>
                </w14:textFill>
              </w:rPr>
            </w:pPr>
          </w:p>
          <w:p w14:paraId="0CEC6DE7">
            <w:pPr>
              <w:pStyle w:val="19"/>
              <w:spacing w:line="280" w:lineRule="exact"/>
              <w:ind w:left="79" w:right="137"/>
              <w:jc w:val="both"/>
              <w:rPr>
                <w:rFonts w:hint="eastAsia" w:hAnsiTheme="minorEastAsia" w:eastAsiaTheme="minorEastAsia"/>
                <w:snapToGrid w:val="0"/>
                <w:color w:val="000000" w:themeColor="text1"/>
                <w:sz w:val="21"/>
                <w:szCs w:val="21"/>
                <w14:textFill>
                  <w14:solidFill>
                    <w14:schemeClr w14:val="tx1"/>
                  </w14:solidFill>
                </w14:textFill>
              </w:rPr>
            </w:pPr>
          </w:p>
          <w:p w14:paraId="01765EEF">
            <w:pPr>
              <w:pStyle w:val="19"/>
              <w:spacing w:line="280" w:lineRule="exact"/>
              <w:ind w:left="79" w:right="137"/>
              <w:jc w:val="both"/>
              <w:rPr>
                <w:rFonts w:hint="eastAsia" w:hAnsiTheme="minorEastAsia" w:eastAsiaTheme="minorEastAsia"/>
                <w:snapToGrid w:val="0"/>
                <w:color w:val="000000" w:themeColor="text1"/>
                <w:sz w:val="21"/>
                <w:szCs w:val="21"/>
                <w14:textFill>
                  <w14:solidFill>
                    <w14:schemeClr w14:val="tx1"/>
                  </w14:solidFill>
                </w14:textFill>
              </w:rPr>
            </w:pPr>
          </w:p>
          <w:p w14:paraId="6D512D58">
            <w:pPr>
              <w:pStyle w:val="19"/>
              <w:spacing w:line="280" w:lineRule="exact"/>
              <w:ind w:left="79" w:right="137"/>
              <w:jc w:val="both"/>
              <w:rPr>
                <w:rFonts w:hint="eastAsia" w:hAnsiTheme="minorEastAsia" w:eastAsiaTheme="minorEastAsia"/>
                <w:snapToGrid w:val="0"/>
                <w:color w:val="000000" w:themeColor="text1"/>
                <w:sz w:val="21"/>
                <w:szCs w:val="21"/>
                <w14:textFill>
                  <w14:solidFill>
                    <w14:schemeClr w14:val="tx1"/>
                  </w14:solidFill>
                </w14:textFill>
              </w:rPr>
            </w:pPr>
          </w:p>
          <w:p w14:paraId="7F4066A5">
            <w:pPr>
              <w:pStyle w:val="19"/>
              <w:spacing w:line="280" w:lineRule="exact"/>
              <w:ind w:left="79" w:right="137"/>
              <w:jc w:val="both"/>
              <w:rPr>
                <w:rFonts w:hint="eastAsia" w:hAnsiTheme="minorEastAsia" w:eastAsiaTheme="minorEastAsia"/>
                <w:snapToGrid w:val="0"/>
                <w:color w:val="000000" w:themeColor="text1"/>
                <w:sz w:val="21"/>
                <w:szCs w:val="21"/>
                <w14:textFill>
                  <w14:solidFill>
                    <w14:schemeClr w14:val="tx1"/>
                  </w14:solidFill>
                </w14:textFill>
              </w:rPr>
            </w:pPr>
          </w:p>
          <w:p w14:paraId="7754DC0F">
            <w:pPr>
              <w:pStyle w:val="19"/>
              <w:spacing w:line="280" w:lineRule="exact"/>
              <w:ind w:left="79" w:right="137"/>
              <w:jc w:val="both"/>
              <w:rPr>
                <w:rFonts w:hint="eastAsia" w:hAnsiTheme="minorEastAsia" w:eastAsiaTheme="minorEastAsia"/>
                <w:snapToGrid w:val="0"/>
                <w:color w:val="000000" w:themeColor="text1"/>
                <w:sz w:val="21"/>
                <w:szCs w:val="21"/>
                <w14:textFill>
                  <w14:solidFill>
                    <w14:schemeClr w14:val="tx1"/>
                  </w14:solidFill>
                </w14:textFill>
              </w:rPr>
            </w:pPr>
          </w:p>
          <w:p w14:paraId="7F45BEC2">
            <w:pPr>
              <w:pStyle w:val="19"/>
              <w:spacing w:line="280" w:lineRule="exact"/>
              <w:ind w:right="137"/>
              <w:jc w:val="both"/>
              <w:rPr>
                <w:rFonts w:hAnsiTheme="minorEastAsia" w:eastAsiaTheme="minorEastAsia"/>
                <w:snapToGrid w:val="0"/>
                <w:color w:val="000000" w:themeColor="text1"/>
                <w:sz w:val="21"/>
                <w:szCs w:val="21"/>
                <w14:textFill>
                  <w14:solidFill>
                    <w14:schemeClr w14:val="tx1"/>
                  </w14:solidFill>
                </w14:textFill>
              </w:rPr>
            </w:pPr>
          </w:p>
        </w:tc>
      </w:tr>
      <w:tr w14:paraId="55A1AC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50" w:hRule="atLeast"/>
          <w:jc w:val="center"/>
        </w:trPr>
        <w:tc>
          <w:tcPr>
            <w:tcW w:w="927" w:type="dxa"/>
            <w:vAlign w:val="center"/>
          </w:tcPr>
          <w:p w14:paraId="28BA288E">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A1.2.4.8</w:t>
            </w:r>
          </w:p>
        </w:tc>
        <w:tc>
          <w:tcPr>
            <w:tcW w:w="984" w:type="dxa"/>
            <w:vAlign w:val="center"/>
          </w:tcPr>
          <w:p w14:paraId="28A0EC30">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表面温度</w:t>
            </w:r>
          </w:p>
        </w:tc>
        <w:tc>
          <w:tcPr>
            <w:tcW w:w="6316" w:type="dxa"/>
            <w:vAlign w:val="center"/>
          </w:tcPr>
          <w:p w14:paraId="48C6F746">
            <w:pPr>
              <w:pStyle w:val="19"/>
              <w:spacing w:line="280" w:lineRule="exact"/>
              <w:ind w:left="79" w:right="137"/>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检查防爆电梯的电动机、减速器、液压泵站、制动部件的外壳以及防爆电气部件外壳的表面最高温度是否低于整机防爆标志中的温度组别要求</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3DC3EB28">
            <w:pPr>
              <w:pStyle w:val="19"/>
              <w:spacing w:line="32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防爆电梯适用。</w:t>
            </w:r>
          </w:p>
          <w:p w14:paraId="5E373924">
            <w:pPr>
              <w:pStyle w:val="19"/>
              <w:spacing w:line="32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按以下方法检查或测量部件表面温度，并与整机防爆标志中温度组别所对应的最高表面温度比较，低于允许值的判定为符合：</w:t>
            </w:r>
          </w:p>
          <w:p w14:paraId="65AF4C8D">
            <w:pPr>
              <w:pStyle w:val="19"/>
              <w:spacing w:line="32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①额定工况下，运行一段时间后；</w:t>
            </w:r>
          </w:p>
          <w:p w14:paraId="3331D483">
            <w:pPr>
              <w:pStyle w:val="19"/>
              <w:spacing w:line="32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②检查电动机、减速器、液压泵站、制动部件的外壳以及防爆电气部件外壳的表面温度，必要时使用防爆温度计测量；</w:t>
            </w:r>
          </w:p>
          <w:p w14:paraId="0A4EFC28">
            <w:pPr>
              <w:pStyle w:val="19"/>
              <w:spacing w:line="320" w:lineRule="exact"/>
              <w:ind w:left="79" w:right="136"/>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③防爆环境等级符合温度组别对应的允许最高表面温度，见下表</w:t>
            </w:r>
            <w:r>
              <w:rPr>
                <w:rFonts w:eastAsiaTheme="minorEastAsia"/>
                <w:snapToGrid w:val="0"/>
                <w:color w:val="000000" w:themeColor="text1"/>
                <w:sz w:val="21"/>
                <w:szCs w:val="21"/>
                <w14:textFill>
                  <w14:solidFill>
                    <w14:schemeClr w14:val="tx1"/>
                  </w14:solidFill>
                </w14:textFill>
              </w:rPr>
              <w:t>A1-12</w:t>
            </w:r>
            <w:r>
              <w:rPr>
                <w:rFonts w:hAnsiTheme="minorEastAsia" w:eastAsiaTheme="minorEastAsia"/>
                <w:snapToGrid w:val="0"/>
                <w:color w:val="000000" w:themeColor="text1"/>
                <w:sz w:val="21"/>
                <w:szCs w:val="21"/>
                <w14:textFill>
                  <w14:solidFill>
                    <w14:schemeClr w14:val="tx1"/>
                  </w14:solidFill>
                </w14:textFill>
              </w:rPr>
              <w:t>。</w:t>
            </w:r>
          </w:p>
          <w:p w14:paraId="65F3381D">
            <w:pPr>
              <w:pStyle w:val="19"/>
              <w:spacing w:line="320" w:lineRule="exact"/>
              <w:ind w:left="79" w:right="136"/>
              <w:jc w:val="center"/>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表</w:t>
            </w:r>
            <w:r>
              <w:rPr>
                <w:rFonts w:eastAsiaTheme="minorEastAsia"/>
                <w:snapToGrid w:val="0"/>
                <w:color w:val="000000" w:themeColor="text1"/>
                <w:sz w:val="21"/>
                <w:szCs w:val="21"/>
                <w14:textFill>
                  <w14:solidFill>
                    <w14:schemeClr w14:val="tx1"/>
                  </w14:solidFill>
                </w14:textFill>
              </w:rPr>
              <w:t>A1-12</w:t>
            </w:r>
            <w:r>
              <w:rPr>
                <w:rFonts w:hAnsiTheme="minorEastAsia" w:eastAsiaTheme="minorEastAsia"/>
                <w:snapToGrid w:val="0"/>
                <w:color w:val="000000" w:themeColor="text1"/>
                <w:sz w:val="21"/>
                <w:szCs w:val="21"/>
                <w14:textFill>
                  <w14:solidFill>
                    <w14:schemeClr w14:val="tx1"/>
                  </w14:solidFill>
                </w14:textFill>
              </w:rPr>
              <w:t>防爆温度组别及选用</w:t>
            </w:r>
          </w:p>
          <w:tbl>
            <w:tblPr>
              <w:tblStyle w:val="11"/>
              <w:tblW w:w="5387"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410"/>
              <w:gridCol w:w="1985"/>
              <w:gridCol w:w="1992"/>
            </w:tblGrid>
            <w:tr w14:paraId="2899FA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1410" w:type="dxa"/>
                  <w:vAlign w:val="center"/>
                </w:tcPr>
                <w:p w14:paraId="72CA700E">
                  <w:pPr>
                    <w:pStyle w:val="19"/>
                    <w:spacing w:line="280" w:lineRule="exact"/>
                    <w:jc w:val="center"/>
                    <w:rPr>
                      <w:rFonts w:eastAsiaTheme="minorEastAsia"/>
                      <w:snapToGrid w:val="0"/>
                      <w:sz w:val="21"/>
                    </w:rPr>
                  </w:pPr>
                  <w:r>
                    <w:rPr>
                      <w:rFonts w:hAnsiTheme="minorEastAsia" w:eastAsiaTheme="minorEastAsia"/>
                      <w:snapToGrid w:val="0"/>
                      <w:sz w:val="21"/>
                    </w:rPr>
                    <w:t>温度组别</w:t>
                  </w:r>
                </w:p>
              </w:tc>
              <w:tc>
                <w:tcPr>
                  <w:tcW w:w="1985" w:type="dxa"/>
                  <w:vAlign w:val="center"/>
                </w:tcPr>
                <w:p w14:paraId="14D0D5D1">
                  <w:pPr>
                    <w:pStyle w:val="19"/>
                    <w:spacing w:line="280" w:lineRule="exact"/>
                    <w:jc w:val="center"/>
                    <w:rPr>
                      <w:rFonts w:eastAsiaTheme="minorEastAsia"/>
                      <w:snapToGrid w:val="0"/>
                      <w:sz w:val="21"/>
                    </w:rPr>
                  </w:pPr>
                  <w:r>
                    <w:rPr>
                      <w:rFonts w:hAnsiTheme="minorEastAsia" w:eastAsiaTheme="minorEastAsia"/>
                      <w:snapToGrid w:val="0"/>
                      <w:sz w:val="21"/>
                    </w:rPr>
                    <w:t>最高表面温度</w:t>
                  </w:r>
                  <w:r>
                    <w:rPr>
                      <w:rFonts w:eastAsiaTheme="minorEastAsia"/>
                      <w:snapToGrid w:val="0"/>
                      <w:sz w:val="21"/>
                    </w:rPr>
                    <w:t>℃</w:t>
                  </w:r>
                </w:p>
              </w:tc>
              <w:tc>
                <w:tcPr>
                  <w:tcW w:w="1992" w:type="dxa"/>
                  <w:vAlign w:val="center"/>
                </w:tcPr>
                <w:p w14:paraId="2EF0DC61">
                  <w:pPr>
                    <w:pStyle w:val="19"/>
                    <w:spacing w:line="280" w:lineRule="exact"/>
                    <w:jc w:val="center"/>
                    <w:rPr>
                      <w:rFonts w:eastAsiaTheme="minorEastAsia"/>
                      <w:snapToGrid w:val="0"/>
                      <w:sz w:val="21"/>
                    </w:rPr>
                  </w:pPr>
                  <w:r>
                    <w:rPr>
                      <w:rFonts w:hAnsiTheme="minorEastAsia" w:eastAsiaTheme="minorEastAsia"/>
                      <w:snapToGrid w:val="0"/>
                      <w:sz w:val="21"/>
                    </w:rPr>
                    <w:t>适合选用的温度组别</w:t>
                  </w:r>
                </w:p>
              </w:tc>
            </w:tr>
            <w:tr w14:paraId="2625BB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1410" w:type="dxa"/>
                  <w:vAlign w:val="center"/>
                </w:tcPr>
                <w:p w14:paraId="64656E9B">
                  <w:pPr>
                    <w:pStyle w:val="19"/>
                    <w:spacing w:line="280" w:lineRule="exact"/>
                    <w:jc w:val="center"/>
                    <w:rPr>
                      <w:rFonts w:eastAsiaTheme="minorEastAsia"/>
                      <w:snapToGrid w:val="0"/>
                      <w:sz w:val="21"/>
                    </w:rPr>
                  </w:pPr>
                  <w:r>
                    <w:rPr>
                      <w:rFonts w:eastAsiaTheme="minorEastAsia"/>
                      <w:snapToGrid w:val="0"/>
                      <w:sz w:val="21"/>
                    </w:rPr>
                    <w:t>T1</w:t>
                  </w:r>
                </w:p>
              </w:tc>
              <w:tc>
                <w:tcPr>
                  <w:tcW w:w="1985" w:type="dxa"/>
                  <w:vAlign w:val="center"/>
                </w:tcPr>
                <w:p w14:paraId="006A3E10">
                  <w:pPr>
                    <w:pStyle w:val="19"/>
                    <w:spacing w:line="280" w:lineRule="exact"/>
                    <w:jc w:val="center"/>
                    <w:rPr>
                      <w:rFonts w:eastAsiaTheme="minorEastAsia"/>
                      <w:snapToGrid w:val="0"/>
                      <w:sz w:val="21"/>
                    </w:rPr>
                  </w:pPr>
                  <w:r>
                    <w:rPr>
                      <w:rFonts w:eastAsiaTheme="minorEastAsia"/>
                      <w:snapToGrid w:val="0"/>
                      <w:sz w:val="21"/>
                    </w:rPr>
                    <w:t>450</w:t>
                  </w:r>
                </w:p>
              </w:tc>
              <w:tc>
                <w:tcPr>
                  <w:tcW w:w="1992" w:type="dxa"/>
                  <w:vAlign w:val="center"/>
                </w:tcPr>
                <w:p w14:paraId="1D8BF968">
                  <w:pPr>
                    <w:pStyle w:val="19"/>
                    <w:spacing w:line="280" w:lineRule="exact"/>
                    <w:jc w:val="center"/>
                    <w:rPr>
                      <w:rFonts w:eastAsiaTheme="minorEastAsia"/>
                      <w:snapToGrid w:val="0"/>
                      <w:sz w:val="21"/>
                    </w:rPr>
                  </w:pPr>
                  <w:r>
                    <w:rPr>
                      <w:rFonts w:eastAsiaTheme="minorEastAsia"/>
                      <w:snapToGrid w:val="0"/>
                      <w:sz w:val="21"/>
                    </w:rPr>
                    <w:t>T1~T6</w:t>
                  </w:r>
                </w:p>
              </w:tc>
            </w:tr>
            <w:tr w14:paraId="034C8E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1410" w:type="dxa"/>
                  <w:vAlign w:val="center"/>
                </w:tcPr>
                <w:p w14:paraId="2C2BE27E">
                  <w:pPr>
                    <w:pStyle w:val="19"/>
                    <w:spacing w:line="280" w:lineRule="exact"/>
                    <w:jc w:val="center"/>
                    <w:rPr>
                      <w:rFonts w:eastAsiaTheme="minorEastAsia"/>
                      <w:snapToGrid w:val="0"/>
                      <w:sz w:val="21"/>
                    </w:rPr>
                  </w:pPr>
                  <w:r>
                    <w:rPr>
                      <w:rFonts w:eastAsiaTheme="minorEastAsia"/>
                      <w:snapToGrid w:val="0"/>
                      <w:sz w:val="21"/>
                    </w:rPr>
                    <w:t>T2</w:t>
                  </w:r>
                </w:p>
              </w:tc>
              <w:tc>
                <w:tcPr>
                  <w:tcW w:w="1985" w:type="dxa"/>
                  <w:vAlign w:val="center"/>
                </w:tcPr>
                <w:p w14:paraId="72D88F7F">
                  <w:pPr>
                    <w:pStyle w:val="19"/>
                    <w:spacing w:line="280" w:lineRule="exact"/>
                    <w:jc w:val="center"/>
                    <w:rPr>
                      <w:rFonts w:eastAsiaTheme="minorEastAsia"/>
                      <w:snapToGrid w:val="0"/>
                      <w:sz w:val="21"/>
                    </w:rPr>
                  </w:pPr>
                  <w:r>
                    <w:rPr>
                      <w:rFonts w:eastAsiaTheme="minorEastAsia"/>
                      <w:snapToGrid w:val="0"/>
                      <w:sz w:val="21"/>
                    </w:rPr>
                    <w:t>300</w:t>
                  </w:r>
                </w:p>
              </w:tc>
              <w:tc>
                <w:tcPr>
                  <w:tcW w:w="1992" w:type="dxa"/>
                  <w:vAlign w:val="center"/>
                </w:tcPr>
                <w:p w14:paraId="3BB492C8">
                  <w:pPr>
                    <w:pStyle w:val="19"/>
                    <w:spacing w:line="280" w:lineRule="exact"/>
                    <w:jc w:val="center"/>
                    <w:rPr>
                      <w:rFonts w:eastAsiaTheme="minorEastAsia"/>
                      <w:snapToGrid w:val="0"/>
                      <w:sz w:val="21"/>
                    </w:rPr>
                  </w:pPr>
                  <w:r>
                    <w:rPr>
                      <w:rFonts w:eastAsiaTheme="minorEastAsia"/>
                      <w:snapToGrid w:val="0"/>
                      <w:sz w:val="21"/>
                    </w:rPr>
                    <w:t>T2~T6</w:t>
                  </w:r>
                </w:p>
              </w:tc>
            </w:tr>
            <w:tr w14:paraId="219A24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1410" w:type="dxa"/>
                  <w:vAlign w:val="center"/>
                </w:tcPr>
                <w:p w14:paraId="553FEE5D">
                  <w:pPr>
                    <w:pStyle w:val="19"/>
                    <w:spacing w:line="280" w:lineRule="exact"/>
                    <w:jc w:val="center"/>
                    <w:rPr>
                      <w:rFonts w:eastAsiaTheme="minorEastAsia"/>
                      <w:snapToGrid w:val="0"/>
                      <w:sz w:val="21"/>
                    </w:rPr>
                  </w:pPr>
                  <w:r>
                    <w:rPr>
                      <w:rFonts w:eastAsiaTheme="minorEastAsia"/>
                      <w:snapToGrid w:val="0"/>
                      <w:sz w:val="21"/>
                    </w:rPr>
                    <w:t>T3</w:t>
                  </w:r>
                </w:p>
              </w:tc>
              <w:tc>
                <w:tcPr>
                  <w:tcW w:w="1985" w:type="dxa"/>
                  <w:vAlign w:val="center"/>
                </w:tcPr>
                <w:p w14:paraId="729B09D8">
                  <w:pPr>
                    <w:pStyle w:val="19"/>
                    <w:spacing w:line="280" w:lineRule="exact"/>
                    <w:jc w:val="center"/>
                    <w:rPr>
                      <w:rFonts w:eastAsiaTheme="minorEastAsia"/>
                      <w:snapToGrid w:val="0"/>
                      <w:sz w:val="21"/>
                    </w:rPr>
                  </w:pPr>
                  <w:r>
                    <w:rPr>
                      <w:rFonts w:eastAsiaTheme="minorEastAsia"/>
                      <w:snapToGrid w:val="0"/>
                      <w:sz w:val="21"/>
                    </w:rPr>
                    <w:t>200</w:t>
                  </w:r>
                </w:p>
              </w:tc>
              <w:tc>
                <w:tcPr>
                  <w:tcW w:w="1992" w:type="dxa"/>
                  <w:vAlign w:val="center"/>
                </w:tcPr>
                <w:p w14:paraId="19B4956F">
                  <w:pPr>
                    <w:pStyle w:val="19"/>
                    <w:spacing w:line="280" w:lineRule="exact"/>
                    <w:jc w:val="center"/>
                    <w:rPr>
                      <w:rFonts w:eastAsiaTheme="minorEastAsia"/>
                      <w:snapToGrid w:val="0"/>
                      <w:sz w:val="21"/>
                    </w:rPr>
                  </w:pPr>
                  <w:r>
                    <w:rPr>
                      <w:rFonts w:eastAsiaTheme="minorEastAsia"/>
                      <w:snapToGrid w:val="0"/>
                      <w:sz w:val="21"/>
                    </w:rPr>
                    <w:t>T3~T6</w:t>
                  </w:r>
                </w:p>
              </w:tc>
            </w:tr>
            <w:tr w14:paraId="2299FB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1410" w:type="dxa"/>
                  <w:vAlign w:val="center"/>
                </w:tcPr>
                <w:p w14:paraId="526A9254">
                  <w:pPr>
                    <w:pStyle w:val="19"/>
                    <w:spacing w:line="280" w:lineRule="exact"/>
                    <w:jc w:val="center"/>
                    <w:rPr>
                      <w:rFonts w:eastAsiaTheme="minorEastAsia"/>
                      <w:snapToGrid w:val="0"/>
                      <w:sz w:val="21"/>
                    </w:rPr>
                  </w:pPr>
                  <w:r>
                    <w:rPr>
                      <w:rFonts w:eastAsiaTheme="minorEastAsia"/>
                      <w:snapToGrid w:val="0"/>
                      <w:sz w:val="21"/>
                    </w:rPr>
                    <w:t>T4</w:t>
                  </w:r>
                </w:p>
              </w:tc>
              <w:tc>
                <w:tcPr>
                  <w:tcW w:w="1985" w:type="dxa"/>
                  <w:vAlign w:val="center"/>
                </w:tcPr>
                <w:p w14:paraId="1142B766">
                  <w:pPr>
                    <w:pStyle w:val="19"/>
                    <w:spacing w:line="280" w:lineRule="exact"/>
                    <w:jc w:val="center"/>
                    <w:rPr>
                      <w:rFonts w:eastAsiaTheme="minorEastAsia"/>
                      <w:snapToGrid w:val="0"/>
                      <w:sz w:val="21"/>
                    </w:rPr>
                  </w:pPr>
                  <w:r>
                    <w:rPr>
                      <w:rFonts w:eastAsiaTheme="minorEastAsia"/>
                      <w:snapToGrid w:val="0"/>
                      <w:sz w:val="21"/>
                    </w:rPr>
                    <w:t>135</w:t>
                  </w:r>
                </w:p>
              </w:tc>
              <w:tc>
                <w:tcPr>
                  <w:tcW w:w="1992" w:type="dxa"/>
                  <w:vAlign w:val="center"/>
                </w:tcPr>
                <w:p w14:paraId="58F32863">
                  <w:pPr>
                    <w:pStyle w:val="19"/>
                    <w:spacing w:line="280" w:lineRule="exact"/>
                    <w:jc w:val="center"/>
                    <w:rPr>
                      <w:rFonts w:eastAsiaTheme="minorEastAsia"/>
                      <w:snapToGrid w:val="0"/>
                      <w:sz w:val="21"/>
                    </w:rPr>
                  </w:pPr>
                  <w:r>
                    <w:rPr>
                      <w:rFonts w:eastAsiaTheme="minorEastAsia"/>
                      <w:snapToGrid w:val="0"/>
                      <w:sz w:val="21"/>
                    </w:rPr>
                    <w:t>T4~T6</w:t>
                  </w:r>
                </w:p>
              </w:tc>
            </w:tr>
            <w:tr w14:paraId="1A4767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1410" w:type="dxa"/>
                  <w:vAlign w:val="center"/>
                </w:tcPr>
                <w:p w14:paraId="7F9F8373">
                  <w:pPr>
                    <w:pStyle w:val="19"/>
                    <w:spacing w:line="280" w:lineRule="exact"/>
                    <w:jc w:val="center"/>
                    <w:rPr>
                      <w:rFonts w:eastAsiaTheme="minorEastAsia"/>
                      <w:snapToGrid w:val="0"/>
                      <w:sz w:val="21"/>
                    </w:rPr>
                  </w:pPr>
                  <w:r>
                    <w:rPr>
                      <w:rFonts w:eastAsiaTheme="minorEastAsia"/>
                      <w:snapToGrid w:val="0"/>
                      <w:sz w:val="21"/>
                    </w:rPr>
                    <w:t>T5</w:t>
                  </w:r>
                </w:p>
              </w:tc>
              <w:tc>
                <w:tcPr>
                  <w:tcW w:w="1985" w:type="dxa"/>
                  <w:vAlign w:val="center"/>
                </w:tcPr>
                <w:p w14:paraId="01DBD25C">
                  <w:pPr>
                    <w:pStyle w:val="19"/>
                    <w:spacing w:line="280" w:lineRule="exact"/>
                    <w:jc w:val="center"/>
                    <w:rPr>
                      <w:rFonts w:eastAsiaTheme="minorEastAsia"/>
                      <w:snapToGrid w:val="0"/>
                      <w:sz w:val="21"/>
                    </w:rPr>
                  </w:pPr>
                  <w:r>
                    <w:rPr>
                      <w:rFonts w:eastAsiaTheme="minorEastAsia"/>
                      <w:snapToGrid w:val="0"/>
                      <w:sz w:val="21"/>
                    </w:rPr>
                    <w:t>100</w:t>
                  </w:r>
                </w:p>
              </w:tc>
              <w:tc>
                <w:tcPr>
                  <w:tcW w:w="1992" w:type="dxa"/>
                  <w:vAlign w:val="center"/>
                </w:tcPr>
                <w:p w14:paraId="15D2BBA4">
                  <w:pPr>
                    <w:pStyle w:val="19"/>
                    <w:spacing w:line="280" w:lineRule="exact"/>
                    <w:jc w:val="center"/>
                    <w:rPr>
                      <w:rFonts w:eastAsiaTheme="minorEastAsia"/>
                      <w:snapToGrid w:val="0"/>
                      <w:sz w:val="21"/>
                    </w:rPr>
                  </w:pPr>
                  <w:r>
                    <w:rPr>
                      <w:rFonts w:eastAsiaTheme="minorEastAsia"/>
                      <w:snapToGrid w:val="0"/>
                      <w:sz w:val="21"/>
                    </w:rPr>
                    <w:t>T5~T6</w:t>
                  </w:r>
                </w:p>
              </w:tc>
            </w:tr>
            <w:tr w14:paraId="68BD57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1410" w:type="dxa"/>
                  <w:vAlign w:val="center"/>
                </w:tcPr>
                <w:p w14:paraId="396D9B47">
                  <w:pPr>
                    <w:pStyle w:val="19"/>
                    <w:spacing w:line="280" w:lineRule="exact"/>
                    <w:jc w:val="center"/>
                    <w:rPr>
                      <w:rFonts w:eastAsiaTheme="minorEastAsia"/>
                      <w:snapToGrid w:val="0"/>
                      <w:sz w:val="21"/>
                    </w:rPr>
                  </w:pPr>
                  <w:r>
                    <w:rPr>
                      <w:rFonts w:eastAsiaTheme="minorEastAsia"/>
                      <w:snapToGrid w:val="0"/>
                      <w:sz w:val="21"/>
                    </w:rPr>
                    <w:t>T6</w:t>
                  </w:r>
                </w:p>
              </w:tc>
              <w:tc>
                <w:tcPr>
                  <w:tcW w:w="1985" w:type="dxa"/>
                  <w:vAlign w:val="center"/>
                </w:tcPr>
                <w:p w14:paraId="600DF5F7">
                  <w:pPr>
                    <w:pStyle w:val="19"/>
                    <w:spacing w:line="280" w:lineRule="exact"/>
                    <w:jc w:val="center"/>
                    <w:rPr>
                      <w:rFonts w:eastAsiaTheme="minorEastAsia"/>
                      <w:snapToGrid w:val="0"/>
                      <w:sz w:val="21"/>
                    </w:rPr>
                  </w:pPr>
                  <w:r>
                    <w:rPr>
                      <w:rFonts w:eastAsiaTheme="minorEastAsia"/>
                      <w:snapToGrid w:val="0"/>
                      <w:sz w:val="21"/>
                    </w:rPr>
                    <w:t>85</w:t>
                  </w:r>
                </w:p>
              </w:tc>
              <w:tc>
                <w:tcPr>
                  <w:tcW w:w="1992" w:type="dxa"/>
                  <w:vAlign w:val="center"/>
                </w:tcPr>
                <w:p w14:paraId="53BB1D6E">
                  <w:pPr>
                    <w:pStyle w:val="19"/>
                    <w:spacing w:line="280" w:lineRule="exact"/>
                    <w:jc w:val="center"/>
                    <w:rPr>
                      <w:rFonts w:eastAsiaTheme="minorEastAsia"/>
                      <w:snapToGrid w:val="0"/>
                      <w:sz w:val="21"/>
                    </w:rPr>
                  </w:pPr>
                  <w:r>
                    <w:rPr>
                      <w:rFonts w:eastAsiaTheme="minorEastAsia"/>
                      <w:snapToGrid w:val="0"/>
                      <w:sz w:val="21"/>
                    </w:rPr>
                    <w:t>T6</w:t>
                  </w:r>
                </w:p>
              </w:tc>
            </w:tr>
          </w:tbl>
          <w:p w14:paraId="55D0DDA0">
            <w:pPr>
              <w:pStyle w:val="19"/>
              <w:spacing w:line="280" w:lineRule="exact"/>
              <w:ind w:left="79" w:right="137"/>
              <w:jc w:val="center"/>
              <w:rPr>
                <w:rFonts w:eastAsiaTheme="minorEastAsia"/>
                <w:snapToGrid w:val="0"/>
                <w:color w:val="000000" w:themeColor="text1"/>
                <w:sz w:val="21"/>
                <w:szCs w:val="21"/>
                <w14:textFill>
                  <w14:solidFill>
                    <w14:schemeClr w14:val="tx1"/>
                  </w14:solidFill>
                </w14:textFill>
              </w:rPr>
            </w:pPr>
          </w:p>
        </w:tc>
      </w:tr>
      <w:tr w14:paraId="54EE5C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30" w:hRule="atLeast"/>
          <w:jc w:val="center"/>
        </w:trPr>
        <w:tc>
          <w:tcPr>
            <w:tcW w:w="927" w:type="dxa"/>
            <w:vAlign w:val="center"/>
          </w:tcPr>
          <w:p w14:paraId="52D58969">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A1.2.5.1</w:t>
            </w:r>
          </w:p>
        </w:tc>
        <w:tc>
          <w:tcPr>
            <w:tcW w:w="984" w:type="dxa"/>
            <w:vAlign w:val="center"/>
          </w:tcPr>
          <w:p w14:paraId="62673899">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钢丝绳</w:t>
            </w:r>
          </w:p>
        </w:tc>
        <w:tc>
          <w:tcPr>
            <w:tcW w:w="6316" w:type="dxa"/>
            <w:vAlign w:val="center"/>
          </w:tcPr>
          <w:p w14:paraId="7FBA85E5">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检查悬挂钢丝绳、补偿钢丝绳是否符合以下要求：</w:t>
            </w:r>
          </w:p>
          <w:p w14:paraId="40D24BAB">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（无笼状畸变、绳股挤出、扭结、部分压扁、弯折、严重锈蚀、铁锈填满绳股间隙、直径小于其公称直径的90%等达到报废条件的现象；</w:t>
            </w:r>
          </w:p>
          <w:p w14:paraId="2F34FC38">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（2）一个捻距内的断丝数（注A1-11）不超过表A1-3所列数值。</w:t>
            </w:r>
          </w:p>
          <w:p w14:paraId="2439A60D">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表A1-3一个捻距内的断丝数量</w:t>
            </w:r>
          </w:p>
          <w:tbl>
            <w:tblPr>
              <w:tblStyle w:val="11"/>
              <w:tblW w:w="5670"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069"/>
              <w:gridCol w:w="867"/>
              <w:gridCol w:w="867"/>
              <w:gridCol w:w="867"/>
            </w:tblGrid>
            <w:tr w14:paraId="3B7495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3069" w:type="dxa"/>
                  <w:vMerge w:val="restart"/>
                  <w:vAlign w:val="center"/>
                </w:tcPr>
                <w:p w14:paraId="768B9E8C">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断丝的形式</w:t>
                  </w:r>
                </w:p>
              </w:tc>
              <w:tc>
                <w:tcPr>
                  <w:tcW w:w="2601" w:type="dxa"/>
                  <w:gridSpan w:val="3"/>
                  <w:vAlign w:val="center"/>
                </w:tcPr>
                <w:p w14:paraId="2978D532">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钢丝绳类型</w:t>
                  </w:r>
                </w:p>
              </w:tc>
            </w:tr>
            <w:tr w14:paraId="2C9A43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3069" w:type="dxa"/>
                  <w:vMerge w:val="continue"/>
                  <w:vAlign w:val="center"/>
                </w:tcPr>
                <w:p w14:paraId="33A1A357">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p>
              </w:tc>
              <w:tc>
                <w:tcPr>
                  <w:tcW w:w="867" w:type="dxa"/>
                  <w:vAlign w:val="center"/>
                </w:tcPr>
                <w:p w14:paraId="3184473D">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6×19</w:t>
                  </w:r>
                </w:p>
              </w:tc>
              <w:tc>
                <w:tcPr>
                  <w:tcW w:w="867" w:type="dxa"/>
                  <w:vAlign w:val="center"/>
                </w:tcPr>
                <w:p w14:paraId="36032745">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8×19</w:t>
                  </w:r>
                </w:p>
              </w:tc>
              <w:tc>
                <w:tcPr>
                  <w:tcW w:w="867" w:type="dxa"/>
                  <w:vAlign w:val="center"/>
                </w:tcPr>
                <w:p w14:paraId="0992EFD4">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9×19</w:t>
                  </w:r>
                </w:p>
              </w:tc>
            </w:tr>
            <w:tr w14:paraId="03794F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3069" w:type="dxa"/>
                  <w:vAlign w:val="center"/>
                </w:tcPr>
                <w:p w14:paraId="60576DB6">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均布在外层绳股上</w:t>
                  </w:r>
                </w:p>
              </w:tc>
              <w:tc>
                <w:tcPr>
                  <w:tcW w:w="867" w:type="dxa"/>
                  <w:vAlign w:val="center"/>
                </w:tcPr>
                <w:p w14:paraId="408A381E">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24</w:t>
                  </w:r>
                </w:p>
              </w:tc>
              <w:tc>
                <w:tcPr>
                  <w:tcW w:w="867" w:type="dxa"/>
                  <w:vAlign w:val="center"/>
                </w:tcPr>
                <w:p w14:paraId="4F58C0F8">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30</w:t>
                  </w:r>
                </w:p>
              </w:tc>
              <w:tc>
                <w:tcPr>
                  <w:tcW w:w="867" w:type="dxa"/>
                  <w:vAlign w:val="center"/>
                </w:tcPr>
                <w:p w14:paraId="3C54A1AA">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34</w:t>
                  </w:r>
                </w:p>
              </w:tc>
            </w:tr>
            <w:tr w14:paraId="41FC92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3069" w:type="dxa"/>
                  <w:vAlign w:val="center"/>
                </w:tcPr>
                <w:p w14:paraId="3500BB46">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集中在一根或者两根外层绳股上</w:t>
                  </w:r>
                </w:p>
              </w:tc>
              <w:tc>
                <w:tcPr>
                  <w:tcW w:w="867" w:type="dxa"/>
                  <w:vAlign w:val="center"/>
                </w:tcPr>
                <w:p w14:paraId="2AD13364">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8</w:t>
                  </w:r>
                </w:p>
              </w:tc>
              <w:tc>
                <w:tcPr>
                  <w:tcW w:w="867" w:type="dxa"/>
                  <w:vAlign w:val="center"/>
                </w:tcPr>
                <w:p w14:paraId="66A03613">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10</w:t>
                  </w:r>
                </w:p>
              </w:tc>
              <w:tc>
                <w:tcPr>
                  <w:tcW w:w="867" w:type="dxa"/>
                  <w:vAlign w:val="center"/>
                </w:tcPr>
                <w:p w14:paraId="1AB5438F">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11</w:t>
                  </w:r>
                </w:p>
              </w:tc>
            </w:tr>
            <w:tr w14:paraId="01F60F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3069" w:type="dxa"/>
                  <w:vAlign w:val="center"/>
                </w:tcPr>
                <w:p w14:paraId="19A9979C">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一根外层绳股上相邻的断丝</w:t>
                  </w:r>
                </w:p>
              </w:tc>
              <w:tc>
                <w:tcPr>
                  <w:tcW w:w="867" w:type="dxa"/>
                  <w:vAlign w:val="center"/>
                </w:tcPr>
                <w:p w14:paraId="4DD422C3">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4</w:t>
                  </w:r>
                </w:p>
              </w:tc>
              <w:tc>
                <w:tcPr>
                  <w:tcW w:w="867" w:type="dxa"/>
                  <w:vAlign w:val="center"/>
                </w:tcPr>
                <w:p w14:paraId="28A28993">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4</w:t>
                  </w:r>
                </w:p>
              </w:tc>
              <w:tc>
                <w:tcPr>
                  <w:tcW w:w="867" w:type="dxa"/>
                  <w:vAlign w:val="center"/>
                </w:tcPr>
                <w:p w14:paraId="4F6AE35E">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4</w:t>
                  </w:r>
                </w:p>
              </w:tc>
            </w:tr>
            <w:tr w14:paraId="773A83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3069" w:type="dxa"/>
                  <w:vAlign w:val="center"/>
                </w:tcPr>
                <w:p w14:paraId="250EF031">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股谷（缝）断丝</w:t>
                  </w:r>
                </w:p>
              </w:tc>
              <w:tc>
                <w:tcPr>
                  <w:tcW w:w="867" w:type="dxa"/>
                  <w:vAlign w:val="center"/>
                </w:tcPr>
                <w:p w14:paraId="651D24BB">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w:t>
                  </w:r>
                </w:p>
              </w:tc>
              <w:tc>
                <w:tcPr>
                  <w:tcW w:w="867" w:type="dxa"/>
                  <w:vAlign w:val="center"/>
                </w:tcPr>
                <w:p w14:paraId="324C847C">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w:t>
                  </w:r>
                </w:p>
              </w:tc>
              <w:tc>
                <w:tcPr>
                  <w:tcW w:w="867" w:type="dxa"/>
                  <w:vAlign w:val="center"/>
                </w:tcPr>
                <w:p w14:paraId="2DDF80E7">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w:t>
                  </w:r>
                </w:p>
              </w:tc>
            </w:tr>
          </w:tbl>
          <w:p w14:paraId="5799C362">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注A1-11：断丝数的参考长度为一个捻距，约为6d［d表示钢丝绳的公称直径，单位为毫米（mm）］</w:t>
            </w:r>
          </w:p>
        </w:tc>
        <w:tc>
          <w:tcPr>
            <w:tcW w:w="5791" w:type="dxa"/>
            <w:gridSpan w:val="4"/>
            <w:vAlign w:val="center"/>
          </w:tcPr>
          <w:p w14:paraId="355762AE">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当采用钢丝绳作为悬挂和补偿装置时适用。</w:t>
            </w:r>
          </w:p>
          <w:p w14:paraId="7BFB7361">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（1）目测，必要时测量，满足要求时判定为符合。钢丝绳直径减少程度的测量和判定方法如下：</w:t>
            </w:r>
          </w:p>
          <w:p w14:paraId="6CE41F2C">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①目测钢丝绳直径变化情况；</w:t>
            </w:r>
          </w:p>
          <w:p w14:paraId="06DD970C">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②选择钢丝绳使用段直径减小严重的部位分段测量，以相距至少1m的两点进行，在每点相互垂直方向上使用宽钳口游标卡尺测量两次，四次测量值取平均值；</w:t>
            </w:r>
          </w:p>
          <w:p w14:paraId="769CA328">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③查阅配置说明或钢丝绳产品合格证，确定钢丝绳的公称直</w:t>
            </w:r>
          </w:p>
          <w:p w14:paraId="0B4302F2">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径；</w:t>
            </w:r>
          </w:p>
          <w:p w14:paraId="276DB6A5">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④判断实测最小值与钢丝绳公称直径的偏差是否达到报废标准；</w:t>
            </w:r>
          </w:p>
          <w:p w14:paraId="34735AC2">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（2）在一个捻距内目测钢丝绳的断丝情况，必要时可使用钢丝绳探伤仪或放大镜检查，满足要求时判定为符合</w:t>
            </w:r>
            <w:r>
              <w:rPr>
                <w:rFonts w:hint="eastAsia" w:hAnsiTheme="minorEastAsia" w:eastAsiaTheme="minorEastAsia"/>
                <w:snapToGrid w:val="0"/>
                <w:color w:val="000000" w:themeColor="text1"/>
                <w:sz w:val="21"/>
                <w:szCs w:val="21"/>
                <w14:textFill>
                  <w14:solidFill>
                    <w14:schemeClr w14:val="tx1"/>
                  </w14:solidFill>
                </w14:textFill>
              </w:rPr>
              <w:t>。</w:t>
            </w:r>
          </w:p>
        </w:tc>
      </w:tr>
      <w:tr w14:paraId="39EF6F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21" w:hRule="atLeast"/>
          <w:jc w:val="center"/>
        </w:trPr>
        <w:tc>
          <w:tcPr>
            <w:tcW w:w="927" w:type="dxa"/>
            <w:vAlign w:val="center"/>
          </w:tcPr>
          <w:p w14:paraId="01460292">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A1.2.5.2</w:t>
            </w:r>
          </w:p>
        </w:tc>
        <w:tc>
          <w:tcPr>
            <w:tcW w:w="984" w:type="dxa"/>
            <w:vAlign w:val="center"/>
          </w:tcPr>
          <w:p w14:paraId="469DD936">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包覆带</w:t>
            </w:r>
          </w:p>
        </w:tc>
        <w:tc>
          <w:tcPr>
            <w:tcW w:w="6316" w:type="dxa"/>
            <w:vAlign w:val="center"/>
          </w:tcPr>
          <w:p w14:paraId="4C874096">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检查其是否符合以下要求：</w:t>
            </w:r>
          </w:p>
          <w:p w14:paraId="1D2E264C">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（1）无包覆层变形（如鼓包、压痕、折痕、凹陷等）、包覆带承载体外露或者刺出、承载体断裂等达到报废条件的现象；</w:t>
            </w:r>
          </w:p>
          <w:p w14:paraId="630AE5D7">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（2）设有监测每根包覆带承载体强度的装置，当检测到任一根承载体破断时，能够防止电梯的下一次正常启动；</w:t>
            </w:r>
          </w:p>
          <w:p w14:paraId="7731C89F">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（3）用于查看包覆带使用时间或者电梯启动次数的装置完好</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5BBD1742">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当采用包覆带作为悬挂装置时适用。</w:t>
            </w:r>
          </w:p>
          <w:p w14:paraId="191B7FB4">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（1）目测，必要时使用放大镜辅助检查，满足要求时判定为符合；</w:t>
            </w:r>
          </w:p>
          <w:p w14:paraId="3897D1FE">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（2）目测，功能验证，满足以下要求时判定为符合：</w:t>
            </w:r>
          </w:p>
          <w:p w14:paraId="6988146C">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①设有监测装置；</w:t>
            </w:r>
          </w:p>
          <w:p w14:paraId="2E4F81E5">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②可以监测每根包覆带承载体强度变化；</w:t>
            </w:r>
          </w:p>
          <w:p w14:paraId="21C90DDC">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③当检测到任一根承载体破断时，能够防止电梯的下一次正常启动</w:t>
            </w:r>
            <w:r>
              <w:rPr>
                <w:rFonts w:hint="eastAsia" w:hAnsiTheme="minorEastAsia" w:eastAsiaTheme="minorEastAsia"/>
                <w:snapToGrid w:val="0"/>
                <w:color w:val="000000" w:themeColor="text1"/>
                <w:sz w:val="21"/>
                <w:szCs w:val="21"/>
                <w14:textFill>
                  <w14:solidFill>
                    <w14:schemeClr w14:val="tx1"/>
                  </w14:solidFill>
                </w14:textFill>
              </w:rPr>
              <w:t>；</w:t>
            </w:r>
          </w:p>
          <w:p w14:paraId="450DFE69">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（3）目测，满足要求判定为符合</w:t>
            </w:r>
            <w:r>
              <w:rPr>
                <w:rFonts w:hint="eastAsia" w:hAnsiTheme="minorEastAsia" w:eastAsiaTheme="minorEastAsia"/>
                <w:snapToGrid w:val="0"/>
                <w:color w:val="000000" w:themeColor="text1"/>
                <w:sz w:val="21"/>
                <w:szCs w:val="21"/>
                <w14:textFill>
                  <w14:solidFill>
                    <w14:schemeClr w14:val="tx1"/>
                  </w14:solidFill>
                </w14:textFill>
              </w:rPr>
              <w:t>。</w:t>
            </w:r>
          </w:p>
        </w:tc>
      </w:tr>
      <w:tr w14:paraId="404712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927" w:type="dxa"/>
            <w:vAlign w:val="center"/>
          </w:tcPr>
          <w:p w14:paraId="1CEE5648">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A1.2.5.3</w:t>
            </w:r>
          </w:p>
        </w:tc>
        <w:tc>
          <w:tcPr>
            <w:tcW w:w="984" w:type="dxa"/>
            <w:vAlign w:val="center"/>
          </w:tcPr>
          <w:p w14:paraId="7ECF3ABD">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悬挂装置端部固定</w:t>
            </w:r>
          </w:p>
        </w:tc>
        <w:tc>
          <w:tcPr>
            <w:tcW w:w="6316" w:type="dxa"/>
            <w:vAlign w:val="center"/>
          </w:tcPr>
          <w:p w14:paraId="29265A13">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检查其是否符合以下要求：</w:t>
            </w:r>
          </w:p>
          <w:p w14:paraId="574A8A49">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（1）悬挂装置的端部固定部件无裂纹、松动等现象，端接装置的弹簧、螺母、开口销等连接部件无缺损；</w:t>
            </w:r>
          </w:p>
          <w:p w14:paraId="62B5C19A">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（2）对于强制驱动电梯，采用带楔块的压紧装置或者至少用两个绳夹将悬挂装置固定在卷筒上</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54E2270D">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（1）具有悬挂装置的电梯适用。</w:t>
            </w:r>
          </w:p>
          <w:p w14:paraId="4B9CFBBA">
            <w:pPr>
              <w:pStyle w:val="19"/>
              <w:spacing w:line="280" w:lineRule="exact"/>
              <w:ind w:left="79" w:right="137"/>
              <w:jc w:val="both"/>
              <w:rPr>
                <w:rFonts w:hAnsiTheme="minorEastAsia" w:eastAsiaTheme="minorEastAsia"/>
                <w:snapToGrid w:val="0"/>
                <w:color w:val="000000" w:themeColor="text1"/>
                <w:spacing w:val="-6"/>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r>
              <w:rPr>
                <w:rFonts w:hAnsiTheme="minorEastAsia" w:eastAsiaTheme="minorEastAsia"/>
                <w:snapToGrid w:val="0"/>
                <w:color w:val="000000" w:themeColor="text1"/>
                <w:spacing w:val="-6"/>
                <w:sz w:val="21"/>
                <w:szCs w:val="21"/>
                <w14:textFill>
                  <w14:solidFill>
                    <w14:schemeClr w14:val="tx1"/>
                  </w14:solidFill>
                </w14:textFill>
              </w:rPr>
              <w:t>必要时可使用放大镜辅助检查，满足要求时判定为符合；</w:t>
            </w:r>
          </w:p>
          <w:p w14:paraId="3307963B">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（2）强制驱动电梯适用。</w:t>
            </w:r>
          </w:p>
          <w:p w14:paraId="6F6304F4">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采用带楔块的压紧装置或者至少用两个绳夹将悬挂装置固定在卷筒上时，目测，满足要求判定为符合</w:t>
            </w:r>
            <w:r>
              <w:rPr>
                <w:rFonts w:hint="eastAsia" w:hAnsiTheme="minorEastAsia" w:eastAsiaTheme="minorEastAsia"/>
                <w:snapToGrid w:val="0"/>
                <w:color w:val="000000" w:themeColor="text1"/>
                <w:sz w:val="21"/>
                <w:szCs w:val="21"/>
                <w14:textFill>
                  <w14:solidFill>
                    <w14:schemeClr w14:val="tx1"/>
                  </w14:solidFill>
                </w14:textFill>
              </w:rPr>
              <w:t>。</w:t>
            </w:r>
          </w:p>
        </w:tc>
      </w:tr>
      <w:tr w14:paraId="0CDECF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927" w:type="dxa"/>
            <w:vAlign w:val="center"/>
          </w:tcPr>
          <w:p w14:paraId="4BD3E704">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A1.2.5.6</w:t>
            </w:r>
          </w:p>
        </w:tc>
        <w:tc>
          <w:tcPr>
            <w:tcW w:w="984" w:type="dxa"/>
            <w:vAlign w:val="center"/>
          </w:tcPr>
          <w:p w14:paraId="084F3ADE">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异常伸长保护措施</w:t>
            </w:r>
          </w:p>
        </w:tc>
        <w:tc>
          <w:tcPr>
            <w:tcW w:w="6316" w:type="dxa"/>
            <w:vAlign w:val="center"/>
          </w:tcPr>
          <w:p w14:paraId="649C4F75">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如果轿厢（运载装置）悬挂在包覆带或者两根钢丝绳上，检查当任意一根悬挂装置发生异常相对伸长时，是否能够通过电气安全装置防止电梯的正常运行</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4FFCA96B">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当轿厢（运载装置）悬挂在包覆带或者两根钢丝绳上时适用。目测，功能验证，满足要求时判定为符合。</w:t>
            </w:r>
          </w:p>
          <w:p w14:paraId="24D12FC4">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①设置了电气安全装置；</w:t>
            </w:r>
          </w:p>
          <w:p w14:paraId="231E06DE">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②当轿厢（运载装置）悬挂在包覆带上时，任意一根包覆带发生异常相对伸长，电气安全装置动作，能防止电梯的正常运行；</w:t>
            </w:r>
          </w:p>
          <w:p w14:paraId="647F1DBE">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③当轿厢（运载装置）悬挂在两根钢丝绳上时，任意一根钢丝绳发生异常相对伸长，电气安全装置动作，能防止电梯的正常运行</w:t>
            </w:r>
            <w:r>
              <w:rPr>
                <w:rFonts w:hint="eastAsia" w:hAnsiTheme="minorEastAsia" w:eastAsiaTheme="minorEastAsia"/>
                <w:snapToGrid w:val="0"/>
                <w:color w:val="000000" w:themeColor="text1"/>
                <w:sz w:val="21"/>
                <w:szCs w:val="21"/>
                <w14:textFill>
                  <w14:solidFill>
                    <w14:schemeClr w14:val="tx1"/>
                  </w14:solidFill>
                </w14:textFill>
              </w:rPr>
              <w:t>。</w:t>
            </w:r>
          </w:p>
        </w:tc>
      </w:tr>
      <w:tr w14:paraId="203595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927" w:type="dxa"/>
            <w:vAlign w:val="center"/>
          </w:tcPr>
          <w:p w14:paraId="2C545DBB">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*A1.2.5.7</w:t>
            </w:r>
          </w:p>
        </w:tc>
        <w:tc>
          <w:tcPr>
            <w:tcW w:w="984" w:type="dxa"/>
            <w:vAlign w:val="center"/>
          </w:tcPr>
          <w:p w14:paraId="62F1B45D">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非金属材质反绳轮</w:t>
            </w:r>
          </w:p>
        </w:tc>
        <w:tc>
          <w:tcPr>
            <w:tcW w:w="6316" w:type="dxa"/>
            <w:vAlign w:val="center"/>
          </w:tcPr>
          <w:p w14:paraId="7862F64F">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检查其是否符合以下要求：</w:t>
            </w:r>
          </w:p>
          <w:p w14:paraId="13D465F5">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（1）电梯的额定速度不大于1.75m/s；</w:t>
            </w:r>
          </w:p>
          <w:p w14:paraId="09707D73">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（2）反绳轮上或者附近设有永久固定和清晰的标识，标明反绳轮制造单位名称或者商标、制造日期、维护保养要求（如润滑方法与周期）及报废条件；</w:t>
            </w:r>
          </w:p>
          <w:p w14:paraId="49158ACD">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（3）维护保养单位按照要求进行了维护保养，并且提供了维护保养过程的视频或者照片等见证资料；</w:t>
            </w:r>
          </w:p>
          <w:p w14:paraId="02FFE24B">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（4）在进行A1.3条所述的各项试验前、后，均未出现悬挂装置脱离绳槽（带槽）、轮及轮轴偏转、固定结构变形等现象。</w:t>
            </w:r>
          </w:p>
          <w:p w14:paraId="05AD6302">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对于未按照前款第（1）和第（2）项对非金属材质反绳轮进行过监督检验的电梯，应当至少符合前款第（3）和第（4）项的要求</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66EA490C">
            <w:pPr>
              <w:pStyle w:val="19"/>
              <w:spacing w:line="280" w:lineRule="exact"/>
              <w:ind w:left="79" w:right="137"/>
              <w:jc w:val="both"/>
              <w:rPr>
                <w:rFonts w:hAnsiTheme="minorEastAsia" w:eastAsiaTheme="minorEastAsia"/>
                <w:snapToGrid w:val="0"/>
                <w:color w:val="000000" w:themeColor="text1"/>
                <w:spacing w:val="-6"/>
                <w:sz w:val="21"/>
                <w:szCs w:val="21"/>
                <w14:textFill>
                  <w14:solidFill>
                    <w14:schemeClr w14:val="tx1"/>
                  </w14:solidFill>
                </w14:textFill>
              </w:rPr>
            </w:pPr>
            <w:r>
              <w:rPr>
                <w:rFonts w:hAnsiTheme="minorEastAsia" w:eastAsiaTheme="minorEastAsia"/>
                <w:snapToGrid w:val="0"/>
                <w:color w:val="000000" w:themeColor="text1"/>
                <w:spacing w:val="-6"/>
                <w:sz w:val="21"/>
                <w:szCs w:val="21"/>
                <w14:textFill>
                  <w14:solidFill>
                    <w14:schemeClr w14:val="tx1"/>
                  </w14:solidFill>
                </w14:textFill>
              </w:rPr>
              <w:t>采用非金属材质反绳轮（仅指反绳轮，不包括导向轮）时适用。</w:t>
            </w:r>
          </w:p>
          <w:p w14:paraId="636EA0F6">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（1）目测，查看限速器铭牌，满足要求时判定为符合。对未按本规则进行过监督检验的电梯，本项目可判定为无此项</w:t>
            </w:r>
          </w:p>
          <w:p w14:paraId="6A0CC53A">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（2）目测，反绳轮上或者附近的标识，满足以下要求时判定</w:t>
            </w:r>
          </w:p>
          <w:p w14:paraId="41616481">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为符合：</w:t>
            </w:r>
          </w:p>
          <w:p w14:paraId="508BC998">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①标识永久固定、文字图像清晰可识别；</w:t>
            </w:r>
          </w:p>
          <w:p w14:paraId="38D448CE">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②标识标明反绳轮制造单位名称或者商标；</w:t>
            </w:r>
          </w:p>
          <w:p w14:paraId="629AC676">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③标识标明反绳轮制造日期；</w:t>
            </w:r>
          </w:p>
          <w:p w14:paraId="2048820C">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④标识标明维护保养要求，如润滑方法与周期；</w:t>
            </w:r>
          </w:p>
          <w:p w14:paraId="0EAAD531">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⑤标识标明报废条件。</w:t>
            </w:r>
          </w:p>
          <w:p w14:paraId="3C1273D9">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对未按本规则进行过监督检验的电梯，本项目可视为不适用</w:t>
            </w:r>
          </w:p>
          <w:p w14:paraId="0C398281">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（3）检查维护保养单位提供的、有效的维护保养过程的视频或者照片等见证资料，满足要求时判定为符合；</w:t>
            </w:r>
          </w:p>
          <w:p w14:paraId="00E51492">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（4）在A1.3“试验项目”完成后判定，目测试验前后非金属材质反绳轮状态，满足要求时判定为符合</w:t>
            </w:r>
            <w:r>
              <w:rPr>
                <w:rFonts w:hint="eastAsia" w:hAnsiTheme="minorEastAsia" w:eastAsiaTheme="minorEastAsia"/>
                <w:snapToGrid w:val="0"/>
                <w:color w:val="000000" w:themeColor="text1"/>
                <w:sz w:val="21"/>
                <w:szCs w:val="21"/>
                <w14:textFill>
                  <w14:solidFill>
                    <w14:schemeClr w14:val="tx1"/>
                  </w14:solidFill>
                </w14:textFill>
              </w:rPr>
              <w:t>。</w:t>
            </w:r>
          </w:p>
        </w:tc>
      </w:tr>
      <w:tr w14:paraId="5E7651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927" w:type="dxa"/>
            <w:vAlign w:val="center"/>
          </w:tcPr>
          <w:p w14:paraId="79C3154C">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A1.2.6.3</w:t>
            </w: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w:t>
            </w:r>
          </w:p>
        </w:tc>
        <w:tc>
          <w:tcPr>
            <w:tcW w:w="984" w:type="dxa"/>
            <w:vAlign w:val="center"/>
          </w:tcPr>
          <w:p w14:paraId="262DEA5F">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轿厢安全窗电气安全装置</w:t>
            </w:r>
          </w:p>
        </w:tc>
        <w:tc>
          <w:tcPr>
            <w:tcW w:w="6316" w:type="dxa"/>
            <w:vAlign w:val="center"/>
          </w:tcPr>
          <w:p w14:paraId="1C848C54">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（3）安全窗的锁紧由电气安全装置验证，该装置动作后能够使电梯停止运行</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321A5FEB">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目测和功能验证，满足要求时判定为符合</w:t>
            </w:r>
            <w:r>
              <w:rPr>
                <w:rFonts w:hint="eastAsia" w:hAnsiTheme="minorEastAsia" w:eastAsiaTheme="minorEastAsia"/>
                <w:snapToGrid w:val="0"/>
                <w:color w:val="000000" w:themeColor="text1"/>
                <w:sz w:val="21"/>
                <w:szCs w:val="21"/>
                <w14:textFill>
                  <w14:solidFill>
                    <w14:schemeClr w14:val="tx1"/>
                  </w14:solidFill>
                </w14:textFill>
              </w:rPr>
              <w:t>。</w:t>
            </w:r>
          </w:p>
        </w:tc>
      </w:tr>
      <w:tr w14:paraId="55638E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927" w:type="dxa"/>
            <w:vAlign w:val="center"/>
          </w:tcPr>
          <w:p w14:paraId="08C132D2">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A1.2.6.4</w:t>
            </w: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w:t>
            </w:r>
          </w:p>
        </w:tc>
        <w:tc>
          <w:tcPr>
            <w:tcW w:w="984" w:type="dxa"/>
            <w:vAlign w:val="center"/>
          </w:tcPr>
          <w:p w14:paraId="454B4175">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轿厢安全门电气安全装置</w:t>
            </w:r>
          </w:p>
        </w:tc>
        <w:tc>
          <w:tcPr>
            <w:tcW w:w="6316" w:type="dxa"/>
            <w:vAlign w:val="center"/>
          </w:tcPr>
          <w:p w14:paraId="6D0ACAFB">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（3）安全门的锁紧由电气安全装置验证</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7199F179">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目测和功能验证，满足要求时判定为符合</w:t>
            </w:r>
            <w:r>
              <w:rPr>
                <w:rFonts w:hint="eastAsia" w:hAnsiTheme="minorEastAsia" w:eastAsiaTheme="minorEastAsia"/>
                <w:snapToGrid w:val="0"/>
                <w:color w:val="000000" w:themeColor="text1"/>
                <w:sz w:val="21"/>
                <w:szCs w:val="21"/>
                <w14:textFill>
                  <w14:solidFill>
                    <w14:schemeClr w14:val="tx1"/>
                  </w14:solidFill>
                </w14:textFill>
              </w:rPr>
              <w:t>。</w:t>
            </w:r>
          </w:p>
        </w:tc>
      </w:tr>
      <w:tr w14:paraId="1B6C63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927" w:type="dxa"/>
            <w:vAlign w:val="center"/>
          </w:tcPr>
          <w:p w14:paraId="2FF99EEA">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A1.2.6.6</w:t>
            </w:r>
          </w:p>
        </w:tc>
        <w:tc>
          <w:tcPr>
            <w:tcW w:w="984" w:type="dxa"/>
            <w:vAlign w:val="center"/>
          </w:tcPr>
          <w:p w14:paraId="7210BF40">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对重（平衡重）块</w:t>
            </w:r>
          </w:p>
        </w:tc>
        <w:tc>
          <w:tcPr>
            <w:tcW w:w="6316" w:type="dxa"/>
            <w:vAlign w:val="center"/>
          </w:tcPr>
          <w:p w14:paraId="51B23190">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检查其是否符合以下要求：</w:t>
            </w:r>
          </w:p>
          <w:p w14:paraId="45054928">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（1）对重（平衡重）块无松动、移位等现象；</w:t>
            </w:r>
          </w:p>
          <w:p w14:paraId="467CB82E">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（2）具有能够快速识别对重（平衡重）块数量的措施（例如标明数量或者总高度），并且该措施不会被混淆；</w:t>
            </w:r>
          </w:p>
          <w:p w14:paraId="33CBAF4E">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（3）非金属材质对重（平衡重）块（架）上、轿顶上或者底坑内有清晰的标识，标明对重（平衡重）块制造单位名称或者商标和报废条件；</w:t>
            </w:r>
          </w:p>
          <w:p w14:paraId="15966916">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（4）在进行A1.3条所述的各项试验前、后，对重（平衡重）块及其包覆物均无影响产品性能的开裂、破碎、剥落、腐蚀等现象。</w:t>
            </w:r>
          </w:p>
          <w:p w14:paraId="741396D4">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对于未按照前款第（3）项对非金属材质对重（平衡重）块进行过监督检验的电梯，应当至少符合前款第（1）、第（2）、第（4）项的要求</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49C88F93">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具有对重（平衡重）块时适用。</w:t>
            </w:r>
          </w:p>
          <w:p w14:paraId="4E01C9E5">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（1）目测，满足要求时判定为符合；</w:t>
            </w:r>
          </w:p>
          <w:p w14:paraId="78BDD980">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（2）目测，满足要求时判定为符合；</w:t>
            </w:r>
          </w:p>
          <w:p w14:paraId="691C1CCC">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（3）目测，满足以下要求时判定为符合：</w:t>
            </w:r>
          </w:p>
          <w:p w14:paraId="2A2DF24C">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①非金属材质对重（平衡重）块（架）上、轿顶上或底坑内有标识；</w:t>
            </w:r>
          </w:p>
          <w:p w14:paraId="2ABFEDD1">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②标识上文字、图像清晰可识别；</w:t>
            </w:r>
          </w:p>
          <w:p w14:paraId="41819DDB">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③标识上标明对重（平衡重）块制造单位名称或者商标；</w:t>
            </w:r>
          </w:p>
          <w:p w14:paraId="24791492">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④标识上标明对重（平衡重）块报废条件。</w:t>
            </w:r>
          </w:p>
          <w:p w14:paraId="21574341">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对未按本规则进行过监督检验的电梯，本项目可视为不适用。</w:t>
            </w:r>
          </w:p>
          <w:p w14:paraId="7D243B75">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（4）在A1.3“试验项目”完成后判定，目测试验前后对重（平衡重）块及其包覆物状态，满足要求时判定为符合</w:t>
            </w:r>
            <w:r>
              <w:rPr>
                <w:rFonts w:hint="eastAsia" w:hAnsiTheme="minorEastAsia" w:eastAsiaTheme="minorEastAsia"/>
                <w:snapToGrid w:val="0"/>
                <w:color w:val="000000" w:themeColor="text1"/>
                <w:sz w:val="21"/>
                <w:szCs w:val="21"/>
                <w14:textFill>
                  <w14:solidFill>
                    <w14:schemeClr w14:val="tx1"/>
                  </w14:solidFill>
                </w14:textFill>
              </w:rPr>
              <w:t>。</w:t>
            </w:r>
          </w:p>
        </w:tc>
      </w:tr>
      <w:tr w14:paraId="74F988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41" w:hRule="atLeast"/>
          <w:jc w:val="center"/>
        </w:trPr>
        <w:tc>
          <w:tcPr>
            <w:tcW w:w="927" w:type="dxa"/>
            <w:vAlign w:val="center"/>
          </w:tcPr>
          <w:p w14:paraId="07ACDEC4">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A1.2.6.8</w:t>
            </w:r>
          </w:p>
        </w:tc>
        <w:tc>
          <w:tcPr>
            <w:tcW w:w="984" w:type="dxa"/>
            <w:vAlign w:val="center"/>
          </w:tcPr>
          <w:p w14:paraId="2E6785D7">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轿厢照明及通风</w:t>
            </w:r>
          </w:p>
        </w:tc>
        <w:tc>
          <w:tcPr>
            <w:tcW w:w="6316" w:type="dxa"/>
            <w:vAlign w:val="center"/>
          </w:tcPr>
          <w:p w14:paraId="30752887">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检查其是否符合以下要求：</w:t>
            </w:r>
          </w:p>
          <w:p w14:paraId="551C1527">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（1）轿厢正常照明和通风有效；</w:t>
            </w:r>
          </w:p>
          <w:p w14:paraId="090A0BE7">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（2）在正常照明电源发生故障的情况下，由紧急电源供电的应急照明能够自动投入工作。</w:t>
            </w:r>
          </w:p>
        </w:tc>
        <w:tc>
          <w:tcPr>
            <w:tcW w:w="5791" w:type="dxa"/>
            <w:gridSpan w:val="4"/>
            <w:vAlign w:val="center"/>
          </w:tcPr>
          <w:p w14:paraId="32C4C580">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所有电梯适用。</w:t>
            </w:r>
          </w:p>
          <w:p w14:paraId="1C78D2ED">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（1）查看通风孔是否畅通，目测和功能验证，满足要求时判定为符合。</w:t>
            </w:r>
          </w:p>
          <w:p w14:paraId="62BEC6E9">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若轿厢照明使用节电模式（即在轿厢开门保持和关门到站的状态下，超过设定时间后，自动关闭轿内照明的功能），当乘客进入轿厢后可恢复正常轿厢照明，此项可视为符合。</w:t>
            </w:r>
          </w:p>
          <w:p w14:paraId="0959B960">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（2）断开轿厢照明电源，轿厢应急照明装置自动投入工作，该装置应由一个紧急电源供电，满足要求时判定为符合。</w:t>
            </w:r>
          </w:p>
        </w:tc>
      </w:tr>
      <w:tr w14:paraId="5CC6D4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33" w:hRule="atLeast"/>
          <w:jc w:val="center"/>
        </w:trPr>
        <w:tc>
          <w:tcPr>
            <w:tcW w:w="927" w:type="dxa"/>
            <w:vAlign w:val="center"/>
          </w:tcPr>
          <w:p w14:paraId="2479EBDC">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A1.2.6.9</w:t>
            </w:r>
          </w:p>
        </w:tc>
        <w:tc>
          <w:tcPr>
            <w:tcW w:w="984" w:type="dxa"/>
            <w:vAlign w:val="center"/>
          </w:tcPr>
          <w:p w14:paraId="5CDD07D5">
            <w:pPr>
              <w:pStyle w:val="19"/>
              <w:spacing w:line="32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轿厢语音播报系统</w:t>
            </w:r>
          </w:p>
        </w:tc>
        <w:tc>
          <w:tcPr>
            <w:tcW w:w="6316" w:type="dxa"/>
            <w:vAlign w:val="center"/>
          </w:tcPr>
          <w:p w14:paraId="3356CEF3">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检查在停电、故障停梯、轿厢位置校正（再平层除外）、自动救援操作装置启动以及接收火灾信号退出正常服务时，轿厢语音播报系统是否进行语音播报，提示、安抚轿厢内乘客。</w:t>
            </w:r>
          </w:p>
        </w:tc>
        <w:tc>
          <w:tcPr>
            <w:tcW w:w="5791" w:type="dxa"/>
            <w:gridSpan w:val="4"/>
            <w:vAlign w:val="center"/>
          </w:tcPr>
          <w:p w14:paraId="5863B52B">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所有电梯适用。</w:t>
            </w:r>
          </w:p>
          <w:p w14:paraId="33656466">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检查，满足要求时判定为符合。</w:t>
            </w:r>
          </w:p>
          <w:p w14:paraId="33AD9F04">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在以下情况下均能实现轿厢语音播报功能，且播报内容能起到提示、安抚轿厢内乘客的作用：</w:t>
            </w:r>
          </w:p>
          <w:p w14:paraId="751842B2">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①停电；</w:t>
            </w:r>
          </w:p>
          <w:p w14:paraId="14A35E3B">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②故障停梯；</w:t>
            </w:r>
          </w:p>
          <w:p w14:paraId="1FCBC2E7">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③轿厢位置校正（再平层除外）；</w:t>
            </w:r>
          </w:p>
          <w:p w14:paraId="1001B46F">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④自动救援操作装置启动；</w:t>
            </w:r>
          </w:p>
          <w:p w14:paraId="7A9DB657">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⑤接收到火灾信号退出正常服务</w:t>
            </w:r>
            <w:r>
              <w:rPr>
                <w:rFonts w:hint="eastAsia" w:hAnsiTheme="minorEastAsia" w:eastAsiaTheme="minorEastAsia"/>
                <w:snapToGrid w:val="0"/>
                <w:color w:val="000000" w:themeColor="text1"/>
                <w:sz w:val="21"/>
                <w:szCs w:val="21"/>
                <w14:textFill>
                  <w14:solidFill>
                    <w14:schemeClr w14:val="tx1"/>
                  </w14:solidFill>
                </w14:textFill>
              </w:rPr>
              <w:t>。</w:t>
            </w:r>
          </w:p>
        </w:tc>
      </w:tr>
      <w:tr w14:paraId="7C702D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63" w:hRule="atLeast"/>
          <w:jc w:val="center"/>
        </w:trPr>
        <w:tc>
          <w:tcPr>
            <w:tcW w:w="927" w:type="dxa"/>
            <w:vAlign w:val="center"/>
          </w:tcPr>
          <w:p w14:paraId="53838311">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*A1.2.7.2</w:t>
            </w:r>
          </w:p>
        </w:tc>
        <w:tc>
          <w:tcPr>
            <w:tcW w:w="984" w:type="dxa"/>
            <w:vAlign w:val="center"/>
          </w:tcPr>
          <w:p w14:paraId="2082A972">
            <w:pPr>
              <w:pStyle w:val="19"/>
              <w:spacing w:line="32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门间隙</w:t>
            </w:r>
          </w:p>
        </w:tc>
        <w:tc>
          <w:tcPr>
            <w:tcW w:w="6316" w:type="dxa"/>
            <w:vAlign w:val="center"/>
          </w:tcPr>
          <w:p w14:paraId="6BB3F332">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测量门关闭后的间隙是否符合以下要求：</w:t>
            </w:r>
          </w:p>
          <w:p w14:paraId="76D36E0E">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（1）门扇之间及门扇与立柱、门楣和地坎之间的间隙，对于乘客电梯不大于6mm；对于载货电梯不大于10mm；</w:t>
            </w:r>
          </w:p>
          <w:p w14:paraId="1592E946">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（2）在水平滑动层门和折叠层门最快门扇的开启方向，以150N的力施加在一个最不利的点，本条第（1）项所述的间隙对于旁开门不大于30mm，对于中分门其总和不大于45mm。</w:t>
            </w:r>
          </w:p>
          <w:p w14:paraId="7FB83975">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注A1-17：对层门进行检验时，可以抽取基站、端站以及至少20%其他层站的层门进行检查</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74792047">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所有电梯适用。</w:t>
            </w:r>
          </w:p>
          <w:p w14:paraId="221847E2">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测量检查，满足以下要求时判定为符合：</w:t>
            </w:r>
          </w:p>
          <w:p w14:paraId="66C339A4">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抽取基站、端站以及至少20%其</w:t>
            </w:r>
            <w:r>
              <w:rPr>
                <w:rFonts w:hint="eastAsia" w:hAnsiTheme="minorEastAsia" w:eastAsiaTheme="minorEastAsia"/>
                <w:snapToGrid w:val="0"/>
                <w:color w:val="000000" w:themeColor="text1"/>
                <w:sz w:val="21"/>
                <w:szCs w:val="21"/>
                <w14:textFill>
                  <w14:solidFill>
                    <w14:schemeClr w14:val="tx1"/>
                  </w14:solidFill>
                </w14:textFill>
              </w:rPr>
              <w:t>他</w:t>
            </w:r>
            <w:r>
              <w:rPr>
                <w:rFonts w:hAnsiTheme="minorEastAsia" w:eastAsiaTheme="minorEastAsia"/>
                <w:snapToGrid w:val="0"/>
                <w:color w:val="000000" w:themeColor="text1"/>
                <w:sz w:val="21"/>
                <w:szCs w:val="21"/>
                <w14:textFill>
                  <w14:solidFill>
                    <w14:schemeClr w14:val="tx1"/>
                  </w14:solidFill>
                </w14:textFill>
              </w:rPr>
              <w:t>层站的层门（计算如有小数应向上圆整）和轿门，在门关闭后用塞尺或钢直尺测量</w:t>
            </w:r>
            <w:r>
              <w:rPr>
                <w:rFonts w:hint="eastAsia" w:hAnsiTheme="minorEastAsia" w:eastAsiaTheme="minorEastAsia"/>
                <w:snapToGrid w:val="0"/>
                <w:color w:val="000000" w:themeColor="text1"/>
                <w:sz w:val="21"/>
                <w:szCs w:val="21"/>
                <w14:textFill>
                  <w14:solidFill>
                    <w14:schemeClr w14:val="tx1"/>
                  </w14:solidFill>
                </w14:textFill>
              </w:rPr>
              <w:t>：</w:t>
            </w:r>
          </w:p>
          <w:p w14:paraId="67C8608A">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①门扇之间的间隙；</w:t>
            </w:r>
          </w:p>
          <w:p w14:paraId="14EA67A9">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②门扇与立柱的间隙；</w:t>
            </w:r>
          </w:p>
          <w:p w14:paraId="7009421F">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③门扇与门楣的间隙；</w:t>
            </w:r>
          </w:p>
          <w:p w14:paraId="6DBE8E68">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④门扇与地坎的间隙</w:t>
            </w:r>
            <w:r>
              <w:rPr>
                <w:rFonts w:hint="eastAsia" w:hAnsiTheme="minorEastAsia" w:eastAsiaTheme="minorEastAsia"/>
                <w:snapToGrid w:val="0"/>
                <w:color w:val="000000" w:themeColor="text1"/>
                <w:sz w:val="21"/>
                <w:szCs w:val="21"/>
                <w14:textFill>
                  <w14:solidFill>
                    <w14:schemeClr w14:val="tx1"/>
                  </w14:solidFill>
                </w14:textFill>
              </w:rPr>
              <w:t>。</w:t>
            </w:r>
          </w:p>
          <w:p w14:paraId="26751A8F">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（1）上述4个间隙值，对于乘客电梯≤6mm，对于载货电梯</w:t>
            </w:r>
          </w:p>
          <w:p w14:paraId="1D371665">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≤10mm</w:t>
            </w:r>
            <w:r>
              <w:rPr>
                <w:rFonts w:hint="eastAsia" w:hAnsiTheme="minorEastAsia" w:eastAsiaTheme="minorEastAsia"/>
                <w:snapToGrid w:val="0"/>
                <w:color w:val="000000" w:themeColor="text1"/>
                <w:sz w:val="21"/>
                <w:szCs w:val="21"/>
                <w14:textFill>
                  <w14:solidFill>
                    <w14:schemeClr w14:val="tx1"/>
                  </w14:solidFill>
                </w14:textFill>
              </w:rPr>
              <w:t>;</w:t>
            </w:r>
          </w:p>
          <w:p w14:paraId="79F7E9A5">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（2）在水平滑动层门和折叠层门最快门扇的开启方向，以150N的力施加在一个最不利的点，上述4个间隙值，对于旁开门≤30mm；对于中分门门扇之间间隙总和≤45mm</w:t>
            </w:r>
            <w:r>
              <w:rPr>
                <w:rFonts w:hint="eastAsia" w:hAnsiTheme="minorEastAsia" w:eastAsiaTheme="minorEastAsia"/>
                <w:snapToGrid w:val="0"/>
                <w:color w:val="000000" w:themeColor="text1"/>
                <w:sz w:val="21"/>
                <w:szCs w:val="21"/>
                <w14:textFill>
                  <w14:solidFill>
                    <w14:schemeClr w14:val="tx1"/>
                  </w14:solidFill>
                </w14:textFill>
              </w:rPr>
              <w:t>。</w:t>
            </w:r>
          </w:p>
        </w:tc>
      </w:tr>
      <w:tr w14:paraId="258FAB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927" w:type="dxa"/>
            <w:vAlign w:val="center"/>
          </w:tcPr>
          <w:p w14:paraId="4D8BE3C8">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*A1.2.7.4</w:t>
            </w:r>
          </w:p>
        </w:tc>
        <w:tc>
          <w:tcPr>
            <w:tcW w:w="984" w:type="dxa"/>
            <w:vAlign w:val="center"/>
          </w:tcPr>
          <w:p w14:paraId="2EA18917">
            <w:pPr>
              <w:pStyle w:val="19"/>
              <w:spacing w:line="32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门再开启保护装置</w:t>
            </w:r>
          </w:p>
        </w:tc>
        <w:tc>
          <w:tcPr>
            <w:tcW w:w="6316" w:type="dxa"/>
            <w:vAlign w:val="center"/>
          </w:tcPr>
          <w:p w14:paraId="6FCDCF63">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检查自动水平滑动门关闭过程中人员通过入口时，保护装置是否能够自动使门重新开启。</w:t>
            </w:r>
          </w:p>
          <w:p w14:paraId="647CCCAA">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对于未按照前款要求对门再开启保护装置进行过监督检验的电梯，检查当人员通过入口被正在关闭的门扇撞击或者将被撞击时，保护装置是否能够自动使门重新开启</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2524D6F3">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采用自动水平滑动门的电梯适用。</w:t>
            </w:r>
          </w:p>
          <w:p w14:paraId="2E3F8FDE">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目测和功能验证，满足要求时判定为符合。</w:t>
            </w:r>
          </w:p>
        </w:tc>
      </w:tr>
      <w:tr w14:paraId="489B2A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927" w:type="dxa"/>
            <w:vAlign w:val="center"/>
          </w:tcPr>
          <w:p w14:paraId="06300B71">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*A1.2.7.5</w:t>
            </w:r>
          </w:p>
        </w:tc>
        <w:tc>
          <w:tcPr>
            <w:tcW w:w="984" w:type="dxa"/>
            <w:vAlign w:val="center"/>
          </w:tcPr>
          <w:p w14:paraId="1D36AAD2">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门的运行</w:t>
            </w:r>
          </w:p>
          <w:p w14:paraId="35443764">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与导向</w:t>
            </w:r>
          </w:p>
        </w:tc>
        <w:tc>
          <w:tcPr>
            <w:tcW w:w="6316" w:type="dxa"/>
            <w:vAlign w:val="center"/>
          </w:tcPr>
          <w:p w14:paraId="46E44603">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检查其是否符合以下要求：</w:t>
            </w:r>
          </w:p>
          <w:p w14:paraId="65D9BE6C">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（1）层门和轿门正常运行时无脱轨、机械卡阻或者错位现象；</w:t>
            </w:r>
          </w:p>
          <w:p w14:paraId="03031CA0">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（2）层门导向装置失效时，层门保持装置能够使层门保持在原有位置；</w:t>
            </w:r>
          </w:p>
          <w:p w14:paraId="0295693D">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（3）在层门底部保持装置上或者其附近设有识别保持装置最小啮合深度的标记，并且层门底部保持装置的啮合深度不小于标记所示的最小啮合深度。</w:t>
            </w:r>
          </w:p>
          <w:p w14:paraId="4AD99AEE">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注A1-17：对层门进行检验时，可以抽取基站、端站以及至少20%其他层站的层门进行检查</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00580358">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所有电梯适用。</w:t>
            </w:r>
          </w:p>
          <w:p w14:paraId="14067F00">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目测，满足以下要求时判定为符合。</w:t>
            </w:r>
          </w:p>
          <w:p w14:paraId="2762507D">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抽取基站、端站以及至少20%其</w:t>
            </w:r>
            <w:r>
              <w:rPr>
                <w:rFonts w:hint="eastAsia" w:hAnsiTheme="minorEastAsia" w:eastAsiaTheme="minorEastAsia"/>
                <w:snapToGrid w:val="0"/>
                <w:color w:val="000000" w:themeColor="text1"/>
                <w:sz w:val="21"/>
                <w:szCs w:val="21"/>
                <w14:textFill>
                  <w14:solidFill>
                    <w14:schemeClr w14:val="tx1"/>
                  </w14:solidFill>
                </w14:textFill>
              </w:rPr>
              <w:t>他</w:t>
            </w:r>
            <w:r>
              <w:rPr>
                <w:rFonts w:hAnsiTheme="minorEastAsia" w:eastAsiaTheme="minorEastAsia"/>
                <w:snapToGrid w:val="0"/>
                <w:color w:val="000000" w:themeColor="text1"/>
                <w:sz w:val="21"/>
                <w:szCs w:val="21"/>
                <w14:textFill>
                  <w14:solidFill>
                    <w14:schemeClr w14:val="tx1"/>
                  </w14:solidFill>
                </w14:textFill>
              </w:rPr>
              <w:t>层站的层门（计算如有小数应向上圆整）和轿门，按以下方法检查：</w:t>
            </w:r>
          </w:p>
          <w:p w14:paraId="73365B60">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（1）打开和关闭所抽取的层门和轿门，在轿顶、底坑等易于观察的位置检查，各层门和轿门应运行正常，无脱轨、机械卡阻或者错位现象；</w:t>
            </w:r>
          </w:p>
          <w:p w14:paraId="29D560D0">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（2）在轿顶、轿厢、底坑等易于观察的位置检查所抽取层站的层门导向装置（上/下导向装置）和保持装置，应能使层门保持在原有位置；</w:t>
            </w:r>
          </w:p>
          <w:p w14:paraId="2CFBB588">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3）在轿顶或底坑等易于观察的位置检查所抽取层站的底部保持装置上或者其附近的标记，应有“识别层门保持装置最小啮合深度的标记”，各层门底部保持装置的实际啮合深度均不小于标记所示的最小啮合深度。</w:t>
            </w:r>
          </w:p>
        </w:tc>
      </w:tr>
      <w:tr w14:paraId="0CD579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9" w:hRule="atLeast"/>
          <w:jc w:val="center"/>
        </w:trPr>
        <w:tc>
          <w:tcPr>
            <w:tcW w:w="927" w:type="dxa"/>
            <w:vAlign w:val="center"/>
          </w:tcPr>
          <w:p w14:paraId="5942110A">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*A1.2.7.6</w:t>
            </w:r>
          </w:p>
        </w:tc>
        <w:tc>
          <w:tcPr>
            <w:tcW w:w="984" w:type="dxa"/>
            <w:vAlign w:val="center"/>
          </w:tcPr>
          <w:p w14:paraId="4D76E89B">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自动关闭层门装置</w:t>
            </w:r>
          </w:p>
        </w:tc>
        <w:tc>
          <w:tcPr>
            <w:tcW w:w="6316" w:type="dxa"/>
            <w:vAlign w:val="center"/>
          </w:tcPr>
          <w:p w14:paraId="75C4F3F8">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检查其是否符合以下要求：</w:t>
            </w:r>
          </w:p>
          <w:p w14:paraId="718EA3E4">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（1）在轿门驱动层门的情况下，当轿厢在开锁区域之外时，自动关闭层门装置能够使开启的层门关闭；</w:t>
            </w:r>
          </w:p>
          <w:p w14:paraId="6DB1D2CD">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（2）自动关闭层门装置采用重块的，其防止重块坠落的措施保持有效；对于防爆电梯，无火花措施保持完好。</w:t>
            </w:r>
          </w:p>
          <w:p w14:paraId="7A6C0330">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注A1-17：对层门进行检验时，可以抽取基站、端站以及至少20%其他层站的层门进行检查</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49FABA00">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轿门驱动层门的电梯适用。</w:t>
            </w:r>
          </w:p>
          <w:p w14:paraId="74E1F6B5">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目测和功能验证，满足以下要求时判定为符合</w:t>
            </w:r>
            <w:r>
              <w:rPr>
                <w:rFonts w:hint="eastAsia" w:hAnsiTheme="minorEastAsia" w:eastAsiaTheme="minorEastAsia"/>
                <w:snapToGrid w:val="0"/>
                <w:color w:val="000000" w:themeColor="text1"/>
                <w:sz w:val="21"/>
                <w:szCs w:val="21"/>
                <w14:textFill>
                  <w14:solidFill>
                    <w14:schemeClr w14:val="tx1"/>
                  </w14:solidFill>
                </w14:textFill>
              </w:rPr>
              <w:t>：</w:t>
            </w:r>
          </w:p>
          <w:p w14:paraId="0EF8FACF">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抽取基站、端站以及至少20%其</w:t>
            </w:r>
            <w:r>
              <w:rPr>
                <w:rFonts w:hint="eastAsia" w:hAnsiTheme="minorEastAsia" w:eastAsiaTheme="minorEastAsia"/>
                <w:snapToGrid w:val="0"/>
                <w:color w:val="000000" w:themeColor="text1"/>
                <w:sz w:val="21"/>
                <w:szCs w:val="21"/>
                <w14:textFill>
                  <w14:solidFill>
                    <w14:schemeClr w14:val="tx1"/>
                  </w14:solidFill>
                </w14:textFill>
              </w:rPr>
              <w:t>他</w:t>
            </w:r>
            <w:r>
              <w:rPr>
                <w:rFonts w:hAnsiTheme="minorEastAsia" w:eastAsiaTheme="minorEastAsia"/>
                <w:snapToGrid w:val="0"/>
                <w:color w:val="000000" w:themeColor="text1"/>
                <w:sz w:val="21"/>
                <w:szCs w:val="21"/>
                <w14:textFill>
                  <w14:solidFill>
                    <w14:schemeClr w14:val="tx1"/>
                  </w14:solidFill>
                </w14:textFill>
              </w:rPr>
              <w:t>层站的层门（计算如有小数应向上圆整），轿厢停在被检查层站开锁区域外，在井道内或井道外打开层门，按以下要求检查和验证：</w:t>
            </w:r>
          </w:p>
          <w:p w14:paraId="2318ABE4">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（1）所抽取层站的自动关闭层门装置应能使开启的层门关闭；</w:t>
            </w:r>
          </w:p>
          <w:p w14:paraId="49638B6B">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（2）若采用重块作为自动关闭层门装置的，其防止重块坠落的措施保持有效对于防爆电梯，无火花措施保持完好</w:t>
            </w:r>
            <w:r>
              <w:rPr>
                <w:rFonts w:hint="eastAsia" w:hAnsiTheme="minorEastAsia" w:eastAsiaTheme="minorEastAsia"/>
                <w:snapToGrid w:val="0"/>
                <w:color w:val="000000" w:themeColor="text1"/>
                <w:sz w:val="21"/>
                <w:szCs w:val="21"/>
                <w14:textFill>
                  <w14:solidFill>
                    <w14:schemeClr w14:val="tx1"/>
                  </w14:solidFill>
                </w14:textFill>
              </w:rPr>
              <w:t>。</w:t>
            </w:r>
          </w:p>
        </w:tc>
      </w:tr>
      <w:tr w14:paraId="6170BD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65" w:hRule="atLeast"/>
          <w:jc w:val="center"/>
        </w:trPr>
        <w:tc>
          <w:tcPr>
            <w:tcW w:w="927" w:type="dxa"/>
            <w:vAlign w:val="center"/>
          </w:tcPr>
          <w:p w14:paraId="14E8ED3F">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*A1.2.7.7</w:t>
            </w:r>
          </w:p>
        </w:tc>
        <w:tc>
          <w:tcPr>
            <w:tcW w:w="984" w:type="dxa"/>
            <w:vAlign w:val="center"/>
          </w:tcPr>
          <w:p w14:paraId="6F2553D9">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紧急开锁</w:t>
            </w:r>
          </w:p>
        </w:tc>
        <w:tc>
          <w:tcPr>
            <w:tcW w:w="6316" w:type="dxa"/>
            <w:vAlign w:val="center"/>
          </w:tcPr>
          <w:p w14:paraId="2186A00E">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检查其是否符合以下要求：</w:t>
            </w:r>
          </w:p>
          <w:p w14:paraId="45DDDE18">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（1）每个层门均能够被专用钥匙从外面开启；紧急开锁后，在层门闭合时门锁装置未保持在开锁位置；</w:t>
            </w:r>
          </w:p>
          <w:p w14:paraId="08D61EBA">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（2）如果只能通过层门进入底坑，则从底坑爬梯并且在高度1.80m内和最大水平距离0.80m范围内能够安全地触及门锁，或者能够通过永久设置的装置从底坑中打开层门。</w:t>
            </w:r>
          </w:p>
          <w:p w14:paraId="016BC628">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注A1-17：对层门进行检验时，可以抽取基站、端站以及至少20%其他层站的层门进行检查</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4A5E1861">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所有电梯适用。</w:t>
            </w:r>
          </w:p>
          <w:p w14:paraId="155FE037">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目测、功能验证，必要时测量，满足以下要求时判定为符合：</w:t>
            </w:r>
          </w:p>
          <w:p w14:paraId="1E9B0F55">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抽取基站、端站以及至少20%其</w:t>
            </w:r>
            <w:r>
              <w:rPr>
                <w:rFonts w:hint="eastAsia" w:hAnsiTheme="minorEastAsia" w:eastAsiaTheme="minorEastAsia"/>
                <w:snapToGrid w:val="0"/>
                <w:color w:val="000000" w:themeColor="text1"/>
                <w:sz w:val="21"/>
                <w:szCs w:val="21"/>
                <w14:textFill>
                  <w14:solidFill>
                    <w14:schemeClr w14:val="tx1"/>
                  </w14:solidFill>
                </w14:textFill>
              </w:rPr>
              <w:t>他</w:t>
            </w:r>
            <w:r>
              <w:rPr>
                <w:rFonts w:hAnsiTheme="minorEastAsia" w:eastAsiaTheme="minorEastAsia"/>
                <w:snapToGrid w:val="0"/>
                <w:color w:val="000000" w:themeColor="text1"/>
                <w:sz w:val="21"/>
                <w:szCs w:val="21"/>
                <w14:textFill>
                  <w14:solidFill>
                    <w14:schemeClr w14:val="tx1"/>
                  </w14:solidFill>
                </w14:textFill>
              </w:rPr>
              <w:t>层站的层门（计算如有小数应向上圆整），轿厢停在被检查层站开锁区域外满足以下要求：</w:t>
            </w:r>
          </w:p>
          <w:p w14:paraId="7BDBA78C">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w:t>
            </w:r>
          </w:p>
          <w:p w14:paraId="4244F931">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①每个层门均能够被专用钥匙从外面开启；</w:t>
            </w:r>
          </w:p>
          <w:p w14:paraId="63BCF626">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②紧急开锁后，在层门闭合时门锁装置不应保持在开锁位置。</w:t>
            </w:r>
          </w:p>
          <w:p w14:paraId="5BA33648">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（2）对于只能通过层门进入底坑的电梯适用。</w:t>
            </w:r>
          </w:p>
          <w:p w14:paraId="6672CC41">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①处于底坑爬梯上最方便的位置，能够安全地触及门锁；必要时测量模拟开锁位置到门锁的距离，应满足高度≤1.80m、最大水平距离≤0.80m；</w:t>
            </w:r>
          </w:p>
          <w:p w14:paraId="2FCE38F7">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②能够通过永久设置的装置从底坑中打开层门</w:t>
            </w:r>
            <w:r>
              <w:rPr>
                <w:rFonts w:hint="eastAsia" w:hAnsiTheme="minorEastAsia" w:eastAsiaTheme="minorEastAsia"/>
                <w:snapToGrid w:val="0"/>
                <w:color w:val="000000" w:themeColor="text1"/>
                <w:sz w:val="21"/>
                <w:szCs w:val="21"/>
                <w14:textFill>
                  <w14:solidFill>
                    <w14:schemeClr w14:val="tx1"/>
                  </w14:solidFill>
                </w14:textFill>
              </w:rPr>
              <w:t>。</w:t>
            </w:r>
          </w:p>
        </w:tc>
      </w:tr>
      <w:tr w14:paraId="05F960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85" w:hRule="atLeast"/>
          <w:jc w:val="center"/>
        </w:trPr>
        <w:tc>
          <w:tcPr>
            <w:tcW w:w="927" w:type="dxa"/>
            <w:vAlign w:val="center"/>
          </w:tcPr>
          <w:p w14:paraId="3280D32C">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*A1.2.7.8</w:t>
            </w:r>
          </w:p>
        </w:tc>
        <w:tc>
          <w:tcPr>
            <w:tcW w:w="984" w:type="dxa"/>
            <w:vAlign w:val="center"/>
          </w:tcPr>
          <w:p w14:paraId="2951C122">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门的锁紧与闭合</w:t>
            </w:r>
          </w:p>
        </w:tc>
        <w:tc>
          <w:tcPr>
            <w:tcW w:w="6316" w:type="dxa"/>
            <w:vAlign w:val="center"/>
          </w:tcPr>
          <w:p w14:paraId="510C878E">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检查其是否符合以下要求：</w:t>
            </w:r>
          </w:p>
          <w:p w14:paraId="46F5950D">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（1）锁紧动作由重力、永久磁铁或者弹簧来产生和保持，即使永久磁铁或者弹簧失效，重力也不能导致开锁；</w:t>
            </w:r>
          </w:p>
          <w:p w14:paraId="4FF3675E">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（2）轿厢（运载装置）在锁紧元件啮合不小于7mm时才能启动；</w:t>
            </w:r>
          </w:p>
          <w:p w14:paraId="7166B479">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（3）检查层门、轿门锁紧状态的电气安全装置功能有效；</w:t>
            </w:r>
          </w:p>
          <w:p w14:paraId="3B6C59F2">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4）每个层门和轿门的闭合均由电气安全装置验证；如果滑动门是由数个间接机械连接的门扇组成，则未被锁住的门扇上设有电气安全装置以验证其闭合状态；与门的驱动部件直接机械连接的轿门门扇可以不设置电气安全装置</w:t>
            </w:r>
            <w:r>
              <w:rPr>
                <w:rFonts w:hint="eastAsia" w:hAnsiTheme="minorEastAsia" w:eastAsiaTheme="minorEastAsia"/>
                <w:snapToGrid w:val="0"/>
                <w:color w:val="000000" w:themeColor="text1"/>
                <w:sz w:val="21"/>
                <w:szCs w:val="21"/>
                <w14:textFill>
                  <w14:solidFill>
                    <w14:schemeClr w14:val="tx1"/>
                  </w14:solidFill>
                </w14:textFill>
              </w:rPr>
              <w:t>。</w:t>
            </w:r>
          </w:p>
          <w:p w14:paraId="0C858D82">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注A1-17：对层门进行检验时，可以抽取基站、端站以及至少20%其他层站的层门进行检查，A1.2.7.8条第（2）项除外。</w:t>
            </w:r>
          </w:p>
        </w:tc>
        <w:tc>
          <w:tcPr>
            <w:tcW w:w="5791" w:type="dxa"/>
            <w:gridSpan w:val="4"/>
            <w:vAlign w:val="center"/>
          </w:tcPr>
          <w:p w14:paraId="7F17A925">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所有电梯适用。</w:t>
            </w:r>
          </w:p>
          <w:p w14:paraId="46C66360">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目测，功能验证，和必要时测量，满足以下要求时判定为符合：</w:t>
            </w:r>
          </w:p>
          <w:p w14:paraId="42365C61">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抽取基站、端站以及至少20%其</w:t>
            </w:r>
            <w:r>
              <w:rPr>
                <w:rFonts w:hint="eastAsia" w:hAnsiTheme="minorEastAsia" w:eastAsiaTheme="minorEastAsia"/>
                <w:snapToGrid w:val="0"/>
                <w:color w:val="000000" w:themeColor="text1"/>
                <w:sz w:val="21"/>
                <w:szCs w:val="21"/>
                <w14:textFill>
                  <w14:solidFill>
                    <w14:schemeClr w14:val="tx1"/>
                  </w14:solidFill>
                </w14:textFill>
              </w:rPr>
              <w:t>他</w:t>
            </w:r>
            <w:r>
              <w:rPr>
                <w:rFonts w:hAnsiTheme="minorEastAsia" w:eastAsiaTheme="minorEastAsia"/>
                <w:snapToGrid w:val="0"/>
                <w:color w:val="000000" w:themeColor="text1"/>
                <w:sz w:val="21"/>
                <w:szCs w:val="21"/>
                <w14:textFill>
                  <w14:solidFill>
                    <w14:schemeClr w14:val="tx1"/>
                  </w14:solidFill>
                </w14:textFill>
              </w:rPr>
              <w:t>层站的层门（计算如有小数应向上圆整）门锁和轿门门锁（如果有）：</w:t>
            </w:r>
          </w:p>
          <w:p w14:paraId="25B37851">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（1）检查门锁装置与型式试验证书的一致性，必要时进行功能验证</w:t>
            </w:r>
            <w:r>
              <w:rPr>
                <w:rFonts w:hint="eastAsia" w:hAnsiTheme="minorEastAsia" w:eastAsiaTheme="minorEastAsia"/>
                <w:snapToGrid w:val="0"/>
                <w:color w:val="000000" w:themeColor="text1"/>
                <w:sz w:val="21"/>
                <w:szCs w:val="21"/>
                <w14:textFill>
                  <w14:solidFill>
                    <w14:schemeClr w14:val="tx1"/>
                  </w14:solidFill>
                </w14:textFill>
              </w:rPr>
              <w:t>；</w:t>
            </w:r>
          </w:p>
          <w:p w14:paraId="3A869343">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（2）目测检查所有层门门锁及轿门门锁（如果有）锁紧元件的啮合情况，认为啮合长度可能不足时测量电气触点刚闭合时锁紧元件的啮合深度；</w:t>
            </w:r>
          </w:p>
          <w:p w14:paraId="1ADCBCC6">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（3）人为使门锁电气触点断开，电梯不能启动；</w:t>
            </w:r>
          </w:p>
          <w:p w14:paraId="39CBE6F4">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（4）按下述方法进行检查满足以下要求：</w:t>
            </w:r>
          </w:p>
          <w:p w14:paraId="1C1CE35F">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①逐个检查验证层、轿门闭合的电气安全装置，采用拆除法或绝缘隔断法使该触点断开，在层门和轿门均关闭的情况下操纵电梯检修运行，应不能启动；</w:t>
            </w:r>
          </w:p>
          <w:p w14:paraId="57A75948">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②如果层、轿门是由数个间接机械连接（如采用绳、带或链条）的门扇组成，锁住的门扇和未被锁住的门扇上均设置了验证其闭合的电气安全装置（与门的驱动部件直接机械连接的轿门门扇除外）；</w:t>
            </w:r>
          </w:p>
          <w:p w14:paraId="52E23DAF">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如果层门滑动门是由数个直接机械连接的门扇组成，允许将验证层门闭合的电气安全装置设置在一个门扇上，但应在多折门门扇关闭位置钩住其他门扇，使该单一门扇的锁紧能防止其他门扇的开启。门在关闭位置时，多折门每个门扇的回折结构使快门钩住慢门，或者通过悬挂板上的钩达到相同的连接，认为是直接机械连接。即使在门导向装置损坏的情况下，该连接也应确保有效</w:t>
            </w:r>
            <w:r>
              <w:rPr>
                <w:rFonts w:hint="eastAsia" w:hAnsiTheme="minorEastAsia" w:eastAsiaTheme="minorEastAsia"/>
                <w:snapToGrid w:val="0"/>
                <w:color w:val="000000" w:themeColor="text1"/>
                <w:sz w:val="21"/>
                <w:szCs w:val="21"/>
                <w14:textFill>
                  <w14:solidFill>
                    <w14:schemeClr w14:val="tx1"/>
                  </w14:solidFill>
                </w14:textFill>
              </w:rPr>
              <w:t>；</w:t>
            </w:r>
          </w:p>
          <w:p w14:paraId="3ECCA304">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④如果轿门滑动门是由数个直接机械连接的门扇组成，验证轿门闭合位置的电气安全装置可以装在一个门扇上（对多折门为最快门扇），或者门的驱动部件上（对于门的驱动部件与门扇之间是直接机械连接的情况）；此时若安装了轿门门锁装置，对于多折门，在门扇关闭位置能够钩住其他门扇，使该单一门扇的锁紧能防止其他门扇开启的情况下，允许仅锁紧一个门扇；</w:t>
            </w:r>
          </w:p>
          <w:p w14:paraId="728D6EBF">
            <w:pPr>
              <w:pStyle w:val="19"/>
              <w:spacing w:line="280" w:lineRule="exact"/>
              <w:ind w:left="79" w:right="137"/>
              <w:jc w:val="both"/>
              <w:rPr>
                <w:rFonts w:hint="eastAsia"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⑤以上检查对于下端站以外层门门锁的检查可在轿顶进行，下端站层门门锁的检查可在轿厢内适当位置打开轿门进行，轿门门锁的检查可将轿厢停在适当位置在层门外进行</w:t>
            </w:r>
            <w:r>
              <w:rPr>
                <w:rFonts w:hint="eastAsia" w:hAnsiTheme="minorEastAsia" w:eastAsiaTheme="minorEastAsia"/>
                <w:snapToGrid w:val="0"/>
                <w:color w:val="000000" w:themeColor="text1"/>
                <w:sz w:val="21"/>
                <w:szCs w:val="21"/>
                <w14:textFill>
                  <w14:solidFill>
                    <w14:schemeClr w14:val="tx1"/>
                  </w14:solidFill>
                </w14:textFill>
              </w:rPr>
              <w:t>。</w:t>
            </w:r>
          </w:p>
          <w:p w14:paraId="65520CA2">
            <w:pPr>
              <w:pStyle w:val="19"/>
              <w:spacing w:line="280" w:lineRule="exact"/>
              <w:ind w:left="79" w:right="137"/>
              <w:jc w:val="both"/>
              <w:rPr>
                <w:rFonts w:hint="eastAsia" w:hAnsiTheme="minorEastAsia" w:eastAsiaTheme="minorEastAsia"/>
                <w:snapToGrid w:val="0"/>
                <w:color w:val="000000" w:themeColor="text1"/>
                <w:sz w:val="21"/>
                <w:szCs w:val="21"/>
                <w14:textFill>
                  <w14:solidFill>
                    <w14:schemeClr w14:val="tx1"/>
                  </w14:solidFill>
                </w14:textFill>
              </w:rPr>
            </w:pPr>
          </w:p>
          <w:p w14:paraId="6DC02A58">
            <w:pPr>
              <w:pStyle w:val="19"/>
              <w:spacing w:line="280" w:lineRule="exact"/>
              <w:ind w:left="79" w:right="137"/>
              <w:jc w:val="both"/>
              <w:rPr>
                <w:rFonts w:hint="eastAsia" w:hAnsiTheme="minorEastAsia" w:eastAsiaTheme="minorEastAsia"/>
                <w:snapToGrid w:val="0"/>
                <w:color w:val="000000" w:themeColor="text1"/>
                <w:sz w:val="21"/>
                <w:szCs w:val="21"/>
                <w14:textFill>
                  <w14:solidFill>
                    <w14:schemeClr w14:val="tx1"/>
                  </w14:solidFill>
                </w14:textFill>
              </w:rPr>
            </w:pPr>
          </w:p>
          <w:p w14:paraId="37304B98">
            <w:pPr>
              <w:pStyle w:val="19"/>
              <w:spacing w:line="280" w:lineRule="exact"/>
              <w:ind w:left="79" w:right="137"/>
              <w:jc w:val="both"/>
              <w:rPr>
                <w:rFonts w:hint="eastAsia" w:hAnsiTheme="minorEastAsia" w:eastAsiaTheme="minorEastAsia"/>
                <w:snapToGrid w:val="0"/>
                <w:color w:val="000000" w:themeColor="text1"/>
                <w:sz w:val="21"/>
                <w:szCs w:val="21"/>
                <w14:textFill>
                  <w14:solidFill>
                    <w14:schemeClr w14:val="tx1"/>
                  </w14:solidFill>
                </w14:textFill>
              </w:rPr>
            </w:pPr>
          </w:p>
          <w:p w14:paraId="3637EC04">
            <w:pPr>
              <w:pStyle w:val="19"/>
              <w:spacing w:line="280" w:lineRule="exact"/>
              <w:ind w:left="79" w:right="137"/>
              <w:jc w:val="both"/>
              <w:rPr>
                <w:rFonts w:hint="eastAsia" w:hAnsiTheme="minorEastAsia" w:eastAsiaTheme="minorEastAsia"/>
                <w:snapToGrid w:val="0"/>
                <w:color w:val="000000" w:themeColor="text1"/>
                <w:sz w:val="21"/>
                <w:szCs w:val="21"/>
                <w14:textFill>
                  <w14:solidFill>
                    <w14:schemeClr w14:val="tx1"/>
                  </w14:solidFill>
                </w14:textFill>
              </w:rPr>
            </w:pPr>
          </w:p>
          <w:p w14:paraId="3655630F">
            <w:pPr>
              <w:pStyle w:val="19"/>
              <w:spacing w:line="280" w:lineRule="exact"/>
              <w:ind w:left="79" w:right="137"/>
              <w:jc w:val="both"/>
              <w:rPr>
                <w:rFonts w:hint="eastAsia" w:hAnsiTheme="minorEastAsia" w:eastAsiaTheme="minorEastAsia"/>
                <w:snapToGrid w:val="0"/>
                <w:color w:val="000000" w:themeColor="text1"/>
                <w:sz w:val="21"/>
                <w:szCs w:val="21"/>
                <w14:textFill>
                  <w14:solidFill>
                    <w14:schemeClr w14:val="tx1"/>
                  </w14:solidFill>
                </w14:textFill>
              </w:rPr>
            </w:pPr>
          </w:p>
          <w:p w14:paraId="53619B3D">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p>
        </w:tc>
      </w:tr>
      <w:tr w14:paraId="4DB9ED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927" w:type="dxa"/>
            <w:vAlign w:val="center"/>
          </w:tcPr>
          <w:p w14:paraId="63600EA1">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*A1.3.1</w:t>
            </w:r>
          </w:p>
        </w:tc>
        <w:tc>
          <w:tcPr>
            <w:tcW w:w="984" w:type="dxa"/>
            <w:vAlign w:val="center"/>
          </w:tcPr>
          <w:p w14:paraId="6479088C">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应急救援试验</w:t>
            </w:r>
          </w:p>
        </w:tc>
        <w:tc>
          <w:tcPr>
            <w:tcW w:w="6316" w:type="dxa"/>
            <w:vAlign w:val="center"/>
          </w:tcPr>
          <w:p w14:paraId="18677062">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（1）检查机房内或者紧急和测试操作屏上是否设有清晰的应急救援程序；</w:t>
            </w:r>
          </w:p>
          <w:p w14:paraId="7C588A34">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（2）对于曳引驱动乘客电梯和消防员电梯、曳引与强制驱动载货电梯，检查建筑物内的救援通道是否保持通畅，应急救援人员是否能够无阻碍地抵达实施紧急操作的位置，以及各层站处（注A1-18）；</w:t>
            </w:r>
          </w:p>
          <w:p w14:paraId="245F81BB">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3）对于消防员电梯，检查用于消防员从轿厢内自救和从轿厢外救援使用的救援装置（如便携式梯子、绳梯、安全绳系统、轿厢内踩踏点等）功能是否正常，用于消防员从轿顶进入轿厢的梯子是否能够从轿顶展开；</w:t>
            </w:r>
          </w:p>
          <w:p w14:paraId="062356E5">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（4）在各种载荷工况下，按照本条第（1）项所述的应急救援程序实施操作，观察是否能够安全、及时地解救被困人员。</w:t>
            </w:r>
          </w:p>
          <w:p w14:paraId="1AD45D45">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注A1-18：对于《电梯监督检验和定期检验规则—曳引与强制驱动电梯》（</w:t>
            </w:r>
            <w:r>
              <w:rPr>
                <w:rFonts w:hint="eastAsia" w:hAnsiTheme="minorEastAsia" w:eastAsiaTheme="minorEastAsia"/>
                <w:snapToGrid w:val="0"/>
                <w:color w:val="000000" w:themeColor="text1"/>
                <w:sz w:val="21"/>
                <w:szCs w:val="21"/>
                <w14:textFill>
                  <w14:solidFill>
                    <w14:schemeClr w14:val="tx1"/>
                  </w14:solidFill>
                </w14:textFill>
              </w:rPr>
              <w:t xml:space="preserve">TSG </w:t>
            </w:r>
            <w:r>
              <w:rPr>
                <w:rFonts w:hAnsiTheme="minorEastAsia" w:eastAsiaTheme="minorEastAsia"/>
                <w:snapToGrid w:val="0"/>
                <w:color w:val="000000" w:themeColor="text1"/>
                <w:sz w:val="21"/>
                <w:szCs w:val="21"/>
                <w14:textFill>
                  <w14:solidFill>
                    <w14:schemeClr w14:val="tx1"/>
                  </w14:solidFill>
                </w14:textFill>
              </w:rPr>
              <w:t>T7001—2009，含第1、第2号修改单）、《电梯监督检验和定期检验规则——消防员电梯》（</w:t>
            </w:r>
            <w:r>
              <w:rPr>
                <w:rFonts w:hint="eastAsia" w:hAnsiTheme="minorEastAsia" w:eastAsiaTheme="minorEastAsia"/>
                <w:snapToGrid w:val="0"/>
                <w:color w:val="000000" w:themeColor="text1"/>
                <w:sz w:val="21"/>
                <w:szCs w:val="21"/>
                <w14:textFill>
                  <w14:solidFill>
                    <w14:schemeClr w14:val="tx1"/>
                  </w14:solidFill>
                </w14:textFill>
              </w:rPr>
              <w:t xml:space="preserve">TSG </w:t>
            </w:r>
            <w:r>
              <w:rPr>
                <w:rFonts w:hAnsiTheme="minorEastAsia" w:eastAsiaTheme="minorEastAsia"/>
                <w:snapToGrid w:val="0"/>
                <w:color w:val="000000" w:themeColor="text1"/>
                <w:sz w:val="21"/>
                <w:szCs w:val="21"/>
                <w14:textFill>
                  <w14:solidFill>
                    <w14:schemeClr w14:val="tx1"/>
                  </w14:solidFill>
                </w14:textFill>
              </w:rPr>
              <w:t>T7002—2011，含第1、第2号修改单）实施前监督检验合格的和在现有建筑物中增设的曳引驱动乘客电梯和消防员电梯、曳引与强制驱动载货电梯，因建筑结构等原因而难以达到本条中有关无阻碍地抵达各层站处这一要求时，如果使用单位采取了有效措施（例如：保证救援人员可以通过钥匙或者强制手段打开通往电梯层站的门窗等阻隔，及时到达实施救援的层站，并且按规定开展了应急救援演练）并且征得了相关利益方的同意，同时符合本条中的其他要求，可以判定本条的检验结果为符合要求</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7DE7C7A4">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（1）所有电梯适用，目测，满足要求时判定为符合</w:t>
            </w:r>
            <w:r>
              <w:rPr>
                <w:rFonts w:hint="eastAsia" w:hAnsiTheme="minorEastAsia" w:eastAsiaTheme="minorEastAsia"/>
                <w:snapToGrid w:val="0"/>
                <w:color w:val="000000" w:themeColor="text1"/>
                <w:sz w:val="21"/>
                <w:szCs w:val="21"/>
                <w14:textFill>
                  <w14:solidFill>
                    <w14:schemeClr w14:val="tx1"/>
                  </w14:solidFill>
                </w14:textFill>
              </w:rPr>
              <w:t>。</w:t>
            </w:r>
          </w:p>
          <w:p w14:paraId="422805DB">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（2）曳引驱动乘客与载货电梯、强制驱动载货电梯、曳引驱动消防员电梯适用，液压驱动电梯、防爆电梯、斜行电梯不适用。目测，同时满足以下条件之一时判定为符合：</w:t>
            </w:r>
          </w:p>
          <w:p w14:paraId="60089E7E">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①应急救援人员能够无阻碍地抵达各层站处；</w:t>
            </w:r>
          </w:p>
          <w:p w14:paraId="14F32419">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②对于“</w:t>
            </w:r>
            <w:r>
              <w:rPr>
                <w:rFonts w:hint="eastAsia" w:hAnsiTheme="minorEastAsia" w:eastAsiaTheme="minorEastAsia"/>
                <w:snapToGrid w:val="0"/>
                <w:color w:val="000000" w:themeColor="text1"/>
                <w:sz w:val="21"/>
                <w:szCs w:val="21"/>
                <w14:textFill>
                  <w14:solidFill>
                    <w14:schemeClr w14:val="tx1"/>
                  </w14:solidFill>
                </w14:textFill>
              </w:rPr>
              <w:t xml:space="preserve">TSG </w:t>
            </w:r>
            <w:r>
              <w:rPr>
                <w:rFonts w:hAnsiTheme="minorEastAsia" w:eastAsiaTheme="minorEastAsia"/>
                <w:snapToGrid w:val="0"/>
                <w:color w:val="000000" w:themeColor="text1"/>
                <w:sz w:val="21"/>
                <w:szCs w:val="21"/>
                <w14:textFill>
                  <w14:solidFill>
                    <w14:schemeClr w14:val="tx1"/>
                  </w14:solidFill>
                </w14:textFill>
              </w:rPr>
              <w:t>T7001-2009（含第1、2号修改单）、</w:t>
            </w:r>
            <w:r>
              <w:rPr>
                <w:rFonts w:hint="eastAsia" w:hAnsiTheme="minorEastAsia" w:eastAsiaTheme="minorEastAsia"/>
                <w:snapToGrid w:val="0"/>
                <w:color w:val="000000" w:themeColor="text1"/>
                <w:sz w:val="21"/>
                <w:szCs w:val="21"/>
                <w14:textFill>
                  <w14:solidFill>
                    <w14:schemeClr w14:val="tx1"/>
                  </w14:solidFill>
                </w14:textFill>
              </w:rPr>
              <w:t xml:space="preserve">TSG </w:t>
            </w:r>
            <w:r>
              <w:rPr>
                <w:rFonts w:hAnsiTheme="minorEastAsia" w:eastAsiaTheme="minorEastAsia"/>
                <w:snapToGrid w:val="0"/>
                <w:color w:val="000000" w:themeColor="text1"/>
                <w:sz w:val="21"/>
                <w:szCs w:val="21"/>
                <w14:textFill>
                  <w14:solidFill>
                    <w14:schemeClr w14:val="tx1"/>
                  </w14:solidFill>
                </w14:textFill>
              </w:rPr>
              <w:t>T7002-2011（含第1、2号修改单）实施前监督检验合格的电梯”以及“在现有建筑物中增设的电梯”，因建筑结构等原因而难以达到本条中有关无阻碍地抵达各层站处这一要求时，使用单位提供了满足以下所有要求的证明材料：</w:t>
            </w:r>
          </w:p>
          <w:p w14:paraId="027AA1A9">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a）救援措施的说明：保证救援人员可通过钥匙或强制手段打开通往电梯服务层站的门窗等阻隔，及时到达实施救援的服务层站；</w:t>
            </w:r>
          </w:p>
          <w:p w14:paraId="41803C31">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b）按规定开展了应急救援演练；</w:t>
            </w:r>
          </w:p>
          <w:p w14:paraId="48510E50">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c）上述a）提及的救援措施如涉及相关业主利益的，已征得相关业主的书面同意。</w:t>
            </w:r>
          </w:p>
          <w:p w14:paraId="63E2D550">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被检电梯原本满足“应急救援人员能够无阻碍地抵达实施紧急操作的位置（如机房、紧急操作和动态测试装置位置等），以及各层站处”要求的，通往服务层站的通道被人为封闭而导致救援通道不畅通的，必须通过整改恢复原救援通道功能，否则本项应判定为不符合。</w:t>
            </w:r>
          </w:p>
          <w:p w14:paraId="545747B7">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（3）消防员电梯适用。</w:t>
            </w:r>
          </w:p>
          <w:p w14:paraId="268D8C2C">
            <w:pPr>
              <w:pStyle w:val="19"/>
              <w:spacing w:line="24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目测和功能验证，满足要求时判定为符合；</w:t>
            </w:r>
          </w:p>
          <w:p w14:paraId="0471349B">
            <w:pPr>
              <w:pStyle w:val="19"/>
              <w:spacing w:line="24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（4）所有电梯适用</w:t>
            </w:r>
            <w:r>
              <w:rPr>
                <w:rFonts w:hint="eastAsia" w:hAnsiTheme="minorEastAsia" w:eastAsiaTheme="minorEastAsia"/>
                <w:snapToGrid w:val="0"/>
                <w:color w:val="000000" w:themeColor="text1"/>
                <w:sz w:val="21"/>
                <w:szCs w:val="21"/>
                <w14:textFill>
                  <w14:solidFill>
                    <w14:schemeClr w14:val="tx1"/>
                  </w14:solidFill>
                </w14:textFill>
              </w:rPr>
              <w:t>。</w:t>
            </w:r>
          </w:p>
          <w:p w14:paraId="45AE589D">
            <w:pPr>
              <w:pStyle w:val="19"/>
              <w:spacing w:line="24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按以下步骤功能验证，满足要求时判定为符合：</w:t>
            </w:r>
          </w:p>
          <w:p w14:paraId="44BFD621">
            <w:pPr>
              <w:pStyle w:val="19"/>
              <w:spacing w:line="24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①轿厢空载，由施工单位按照机房内或者紧急和测试操作屏上张贴的应急救援程序实施操作；</w:t>
            </w:r>
          </w:p>
          <w:p w14:paraId="7F407455">
            <w:pPr>
              <w:pStyle w:val="19"/>
              <w:spacing w:line="24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②按照救援程序的内容，判断电梯在半载、满载等其他工况（含轿厢与对重平衡的工况）救援程序的有效性，必要时由施工单位按照程序要求进行其他工况试验；</w:t>
            </w:r>
          </w:p>
          <w:p w14:paraId="21448F8D">
            <w:pPr>
              <w:pStyle w:val="19"/>
              <w:spacing w:line="24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③各种载荷工况下均能够安全、及时地解救被困人员</w:t>
            </w:r>
          </w:p>
          <w:p w14:paraId="77C8C6D5">
            <w:pPr>
              <w:pStyle w:val="19"/>
              <w:spacing w:line="24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注：定期检验时，以上功能验证可空载进行。</w:t>
            </w:r>
          </w:p>
        </w:tc>
      </w:tr>
      <w:tr w14:paraId="21A7DA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927" w:type="dxa"/>
            <w:vAlign w:val="center"/>
          </w:tcPr>
          <w:p w14:paraId="74F95F5A">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*A1.3.2</w:t>
            </w:r>
          </w:p>
        </w:tc>
        <w:tc>
          <w:tcPr>
            <w:tcW w:w="984" w:type="dxa"/>
            <w:vAlign w:val="center"/>
          </w:tcPr>
          <w:p w14:paraId="6AFD5770">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平衡系数测试</w:t>
            </w:r>
          </w:p>
        </w:tc>
        <w:tc>
          <w:tcPr>
            <w:tcW w:w="6316" w:type="dxa"/>
            <w:vAlign w:val="center"/>
          </w:tcPr>
          <w:p w14:paraId="56007F51">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监督检验时，以及对于当次定期检验需要进行本附件A1.3.12.2条所述试验的电梯，在轿厢内装载30%、40%、45%、50%、60%额定载重量的载荷运行，当轿厢与对重运行到同一水平位置时，测量电动机的电流值（对于直流电动机同时测量电压值），绘制电流（或者电压）——载荷曲线，以向上、向下运行曲线的交点确定平衡系数，确认平衡系数是否在0.40～0.50之间，并且符合制造（改造）单位的设计值；对于斜行电梯和未按照上述要求对平衡系数进行过监督检验的电梯，确认平衡系数是否在0.40～0.50之间，或者符合制造（改造）单位的设计值；</w:t>
            </w:r>
          </w:p>
          <w:p w14:paraId="04247996">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进行本条第（1）项所述之外的定期检验时，对平衡系数进行确认或者测试（注A1-20），判定其是否在0.40～0.50之间，并且符合制造（改造）单位的设计值；对于斜行电梯和未按照本条第（1）项对平衡系数进行过监督检验的电梯，判定其是否在0.40～0.50之间，或者符合制造（改造）单位的设计值。</w:t>
            </w:r>
          </w:p>
          <w:p w14:paraId="60990ACB">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注A1-19：只有当本条检验结果为符合时方可以进行后续各项试验。</w:t>
            </w:r>
          </w:p>
          <w:p w14:paraId="798F272A">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注A1-20：定期检验时，发现轿厢、对重或者其他部件（如补偿装置）的重量发生变化，并且可能导致平衡系数发生变化的，应当测试平衡系数</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291596E3">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曳引驱动电梯适用，且只有当本条检验结果为符合时方可以进行后续各项试验。</w:t>
            </w:r>
          </w:p>
          <w:p w14:paraId="66B16389">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试验，测量，满足以下要求时判定为符合：</w:t>
            </w:r>
          </w:p>
          <w:p w14:paraId="40A0D82C">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（1）监督检验适用。</w:t>
            </w:r>
          </w:p>
          <w:p w14:paraId="22FD81CB">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由施工单位按照以下步骤实施，检验人员现场观察确认，测量并记录相关试验数据：</w:t>
            </w:r>
          </w:p>
          <w:p w14:paraId="184BE6E2">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①轿厢分别装载额定载重量的30%、40%、45%、50%、60%</w:t>
            </w:r>
          </w:p>
          <w:p w14:paraId="4CF0A090">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作上、下全程运行；</w:t>
            </w:r>
          </w:p>
          <w:p w14:paraId="600F21A7">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②当轿厢和对重运行到同一水平位置时，用钳形电流表记录电动机的电流值（对于直流电动机同时测量电压值）；</w:t>
            </w:r>
          </w:p>
          <w:p w14:paraId="2DC8C4E4">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③绘制电流（或者电压）-负荷曲线；</w:t>
            </w:r>
          </w:p>
          <w:p w14:paraId="62CE1E89">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④以上、下行运行曲线的交点确定平衡系数。平衡系数应满足以下要求之一：</w:t>
            </w:r>
          </w:p>
          <w:p w14:paraId="498DB255">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a）在0.40～0.50之间并且符合制造（改造）单位的设计值（设计值可参照UCMP制停子系统型式试验证书上注明的平衡系数范围）；</w:t>
            </w:r>
          </w:p>
          <w:p w14:paraId="6985F318">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b）对于斜行电梯和未按照上述要求对平衡系数进行过监督检验的电梯，在0.40～0.50之间，或者符合制造（改造）单位的设计值。</w:t>
            </w:r>
          </w:p>
          <w:p w14:paraId="5D96D279">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定期检验或者按照定期检验要求进行的监督检验时适用。对平衡系数进行确认，当发现轿厢、对重或者其他部件（如补偿装置）的重量发生变化（如轿厢装潢等），并且可能导致平衡系数发生变化时，按照本条第（1）项的方法由施工单位进行平衡系数测试。</w:t>
            </w:r>
          </w:p>
          <w:p w14:paraId="62597A81">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平衡系数应满足以下要求之一：</w:t>
            </w:r>
          </w:p>
          <w:p w14:paraId="741F7752">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a）在0.40～0.50之间并且符合制造（改造）单位的设计值（设计值可参照UCMP制停子系统型式试验证书上注明的平衡系数范围）；</w:t>
            </w:r>
          </w:p>
          <w:p w14:paraId="6AE340B0">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b）对于斜行电梯和未按照第（1）项要求对平衡系数进行过监督检验的电梯，在0.40～0.50之间，或者符合制造（改造）单位的设计值</w:t>
            </w:r>
            <w:r>
              <w:rPr>
                <w:rFonts w:hint="eastAsia" w:hAnsiTheme="minorEastAsia" w:eastAsiaTheme="minorEastAsia"/>
                <w:snapToGrid w:val="0"/>
                <w:color w:val="000000" w:themeColor="text1"/>
                <w:sz w:val="21"/>
                <w:szCs w:val="21"/>
                <w14:textFill>
                  <w14:solidFill>
                    <w14:schemeClr w14:val="tx1"/>
                  </w14:solidFill>
                </w14:textFill>
              </w:rPr>
              <w:t>。</w:t>
            </w:r>
          </w:p>
        </w:tc>
      </w:tr>
      <w:tr w14:paraId="753EE6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82" w:hRule="atLeast"/>
          <w:jc w:val="center"/>
        </w:trPr>
        <w:tc>
          <w:tcPr>
            <w:tcW w:w="927" w:type="dxa"/>
            <w:vAlign w:val="center"/>
          </w:tcPr>
          <w:p w14:paraId="1107A5D5">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A1.3.3</w:t>
            </w:r>
          </w:p>
        </w:tc>
        <w:tc>
          <w:tcPr>
            <w:tcW w:w="984" w:type="dxa"/>
            <w:vAlign w:val="center"/>
          </w:tcPr>
          <w:p w14:paraId="30BA7FFD">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轿厢超载保护装置试验</w:t>
            </w:r>
          </w:p>
        </w:tc>
        <w:tc>
          <w:tcPr>
            <w:tcW w:w="6316" w:type="dxa"/>
            <w:vAlign w:val="center"/>
          </w:tcPr>
          <w:p w14:paraId="5073B33F">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监督检验时，以及对于当次定期检验需要进行A1.3.12.2条所述试验的电梯，或者发现轿厢自重发生变化等可能影响轿厢超载保护装置有效性的情况，采用在轿厢内施加载荷的方式进行轿厢超载保护装置试验（注A1-21），观察是否最迟在轿厢内载荷达到110%额定载重量时能够检测出超载，防止电梯正常启动及再平层（对于液压驱动电梯，防止电梯正常启动），并且轿厢内有听觉和视觉信号提示，自动门完全开启，手动门保持在未锁紧状态。</w:t>
            </w:r>
          </w:p>
          <w:p w14:paraId="28C0A7CE">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对于未按照前款要求对轿厢超载保护装置进行过监督检验的电梯，允许轿厢内只提供听觉信号或者视觉信号。</w:t>
            </w:r>
          </w:p>
          <w:p w14:paraId="1A6E75D9">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注A1-21：非本条所述的其他情况下，可以采用模拟超载状态的方式进行验证</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0A74BBDA">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所有电梯适用。</w:t>
            </w:r>
          </w:p>
          <w:p w14:paraId="70E1FD19">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监督检验以及当次定期检验需要进行A1.3.12.2（125%额定载重量制动试验）的电梯适用。</w:t>
            </w:r>
          </w:p>
          <w:p w14:paraId="3C8601F3">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试验，满足以下要求时判定为符合：</w:t>
            </w:r>
          </w:p>
          <w:p w14:paraId="2C4326EE">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由施工单位在轿厢内施加载荷，检验人员现场观察确认：</w:t>
            </w:r>
          </w:p>
          <w:p w14:paraId="4B838D80">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①最迟在轿厢内载荷达到110%额定载重量时能够检测出超载；</w:t>
            </w:r>
          </w:p>
          <w:p w14:paraId="1CBE52CC">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②超载时，能够防止电梯正常启动及再平层（对于液压驱动电梯，能够防止电梯正常启动但不妨碍再平层运行）；</w:t>
            </w:r>
          </w:p>
          <w:p w14:paraId="27BB0C0C">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③超载时，轿厢内应有听觉和视觉信号提示。以下情况除外：</w:t>
            </w:r>
          </w:p>
          <w:p w14:paraId="2C9F1512">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a）对于未按照前款要求对轿厢超载保护装置进行过监督检验的电梯，允许轿厢内只提供听觉信号或者视觉信号；</w:t>
            </w:r>
          </w:p>
          <w:p w14:paraId="6FAC8F99">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b）2023年7月1日前备案的电梯，监督检验时轿内有音响或者发光信号提示；</w:t>
            </w:r>
          </w:p>
          <w:p w14:paraId="281D3DEF">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④超载时，自动门完全开启、手动门保持在未锁紧状态</w:t>
            </w:r>
            <w:r>
              <w:rPr>
                <w:rFonts w:hint="eastAsia" w:hAnsiTheme="minorEastAsia" w:eastAsiaTheme="minorEastAsia"/>
                <w:snapToGrid w:val="0"/>
                <w:color w:val="000000" w:themeColor="text1"/>
                <w:sz w:val="21"/>
                <w:szCs w:val="21"/>
                <w14:textFill>
                  <w14:solidFill>
                    <w14:schemeClr w14:val="tx1"/>
                  </w14:solidFill>
                </w14:textFill>
              </w:rPr>
              <w:t>。</w:t>
            </w:r>
          </w:p>
        </w:tc>
      </w:tr>
      <w:tr w14:paraId="59208D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23" w:hRule="atLeast"/>
          <w:jc w:val="center"/>
        </w:trPr>
        <w:tc>
          <w:tcPr>
            <w:tcW w:w="927" w:type="dxa"/>
            <w:vAlign w:val="center"/>
          </w:tcPr>
          <w:p w14:paraId="1D85715B">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*A1.3.4.1</w:t>
            </w:r>
          </w:p>
        </w:tc>
        <w:tc>
          <w:tcPr>
            <w:tcW w:w="984" w:type="dxa"/>
            <w:vAlign w:val="center"/>
          </w:tcPr>
          <w:p w14:paraId="0D7DCD86">
            <w:pPr>
              <w:pStyle w:val="19"/>
              <w:spacing w:line="280" w:lineRule="exact"/>
              <w:jc w:val="center"/>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w:t>
            </w:r>
          </w:p>
          <w:p w14:paraId="72E0F900">
            <w:pPr>
              <w:pStyle w:val="19"/>
              <w:spacing w:line="280" w:lineRule="exact"/>
              <w:jc w:val="center"/>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（运载</w:t>
            </w:r>
          </w:p>
          <w:p w14:paraId="16E69D63">
            <w:pPr>
              <w:pStyle w:val="19"/>
              <w:spacing w:line="280" w:lineRule="exact"/>
              <w:jc w:val="center"/>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装置）</w:t>
            </w:r>
          </w:p>
          <w:p w14:paraId="0017F5C2">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限速器</w:t>
            </w:r>
          </w:p>
        </w:tc>
        <w:tc>
          <w:tcPr>
            <w:tcW w:w="6316" w:type="dxa"/>
            <w:vAlign w:val="center"/>
          </w:tcPr>
          <w:p w14:paraId="0B73E962">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检查其是否符合以下要求：</w:t>
            </w:r>
          </w:p>
          <w:p w14:paraId="43E8EFFC">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（1）各调节部位封记完好，运转时无碰擦、卡阻、转动不灵活等现象，动作正常；</w:t>
            </w:r>
          </w:p>
          <w:p w14:paraId="7D1FE86B">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（2）动作速度符合要求。</w:t>
            </w:r>
          </w:p>
          <w:p w14:paraId="0012F00A">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验时，可以通过查看限速器调试证书、校验记录，结合限速器的状态确认其动作速度是否符合要求；发现调节部位封记缺损等可能影响限速器动作速度的情况，检验人员应当通过现场见证施工单位或者维护保养单位测试的方式予以确认</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46CFF970">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设置了轿厢（运载装置）限速器-安全钳系统的电梯适用。目测，资料检查，必要时可使用限速器测试设备测量动作速度，满足以下要求时判定为符合：</w:t>
            </w:r>
          </w:p>
          <w:p w14:paraId="393C17F6">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（1）目测，各调节部位封记完好，运转时无碰擦、卡阻、转动不灵活等现象，结合轿厢限速器-安全钳联动试验判断动作是否正常；</w:t>
            </w:r>
          </w:p>
          <w:p w14:paraId="3FC1CA2D">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对照限速器铭牌上的相关参数，审查限速器调试证书、校验记录，并结合限速器的状态确认动作速度是否符合要求。当发现调节部位封记缺损等可能影响限速器动作速度的情况时，检验人员还应当通过现场见证施工单位或者维护保养单位测试的方式予以确认。</w:t>
            </w:r>
          </w:p>
          <w:p w14:paraId="451FF8E6">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动作速度应符合下述要求：</w:t>
            </w:r>
          </w:p>
          <w:p w14:paraId="40055503">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①限速器铭牌上的额定速度与受检电梯的额定速度一致；</w:t>
            </w:r>
          </w:p>
          <w:p w14:paraId="7A66F765">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②应至少等于额定速度的115%，且小于下列值：</w:t>
            </w:r>
          </w:p>
          <w:p w14:paraId="43AA2F55">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a）对于除了不可脱落滚柱式以外的瞬时式安全钳，为0.80m/s；</w:t>
            </w:r>
          </w:p>
          <w:p w14:paraId="06C00D29">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b）对于不可脱落滚柱式瞬时式安全钳，为1.00m/s；</w:t>
            </w:r>
          </w:p>
          <w:p w14:paraId="1CA31610">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c）对于额定速度≤1.00m/s的渐进式安全钳，为1.50m/s；</w:t>
            </w:r>
          </w:p>
          <w:p w14:paraId="6E90B38F">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d）对于额定速度&gt;1.00m/s的渐进式安全钳，为1.25v+0.25/vm/s。</w:t>
            </w:r>
          </w:p>
          <w:p w14:paraId="2404DB6D">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参考</w:t>
            </w:r>
            <w:r>
              <w:rPr>
                <w:rFonts w:hint="eastAsia" w:hAnsiTheme="minorEastAsia" w:eastAsiaTheme="minorEastAsia"/>
                <w:snapToGrid w:val="0"/>
                <w:color w:val="000000" w:themeColor="text1"/>
                <w:sz w:val="21"/>
                <w:szCs w:val="21"/>
                <w14:textFill>
                  <w14:solidFill>
                    <w14:schemeClr w14:val="tx1"/>
                  </w14:solidFill>
                </w14:textFill>
              </w:rPr>
              <w:t xml:space="preserve">TSG </w:t>
            </w:r>
            <w:r>
              <w:rPr>
                <w:rFonts w:hAnsiTheme="minorEastAsia" w:eastAsiaTheme="minorEastAsia"/>
                <w:snapToGrid w:val="0"/>
                <w:color w:val="000000" w:themeColor="text1"/>
                <w:sz w:val="21"/>
                <w:szCs w:val="21"/>
                <w14:textFill>
                  <w14:solidFill>
                    <w14:schemeClr w14:val="tx1"/>
                  </w14:solidFill>
                </w14:textFill>
              </w:rPr>
              <w:t>T5002-2017的附件A和附件B，定期校验周期应满足以下要求：</w:t>
            </w:r>
          </w:p>
          <w:p w14:paraId="140D3BA3">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对于曳引与强制驱动电梯，至少每2年进行一次速度校验；</w:t>
            </w:r>
          </w:p>
          <w:p w14:paraId="23EB0FEB">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②对于液压驱动电梯，每2年进行一次速度校验</w:t>
            </w:r>
            <w:r>
              <w:rPr>
                <w:rFonts w:hint="eastAsia" w:hAnsiTheme="minorEastAsia" w:eastAsiaTheme="minorEastAsia"/>
                <w:snapToGrid w:val="0"/>
                <w:color w:val="000000" w:themeColor="text1"/>
                <w:sz w:val="21"/>
                <w:szCs w:val="21"/>
                <w14:textFill>
                  <w14:solidFill>
                    <w14:schemeClr w14:val="tx1"/>
                  </w14:solidFill>
                </w14:textFill>
              </w:rPr>
              <w:t>。</w:t>
            </w:r>
          </w:p>
        </w:tc>
      </w:tr>
      <w:tr w14:paraId="3A2356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24" w:hRule="atLeast"/>
          <w:jc w:val="center"/>
        </w:trPr>
        <w:tc>
          <w:tcPr>
            <w:tcW w:w="927" w:type="dxa"/>
            <w:vAlign w:val="center"/>
          </w:tcPr>
          <w:p w14:paraId="325DEEAB">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*A1.3.4.2</w:t>
            </w:r>
          </w:p>
        </w:tc>
        <w:tc>
          <w:tcPr>
            <w:tcW w:w="984" w:type="dxa"/>
            <w:vAlign w:val="center"/>
          </w:tcPr>
          <w:p w14:paraId="5A741805">
            <w:pPr>
              <w:pStyle w:val="19"/>
              <w:spacing w:line="280" w:lineRule="exact"/>
              <w:jc w:val="center"/>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w:t>
            </w:r>
          </w:p>
          <w:p w14:paraId="6A1D6360">
            <w:pPr>
              <w:pStyle w:val="19"/>
              <w:spacing w:line="280" w:lineRule="exact"/>
              <w:jc w:val="center"/>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（运载</w:t>
            </w:r>
          </w:p>
          <w:p w14:paraId="418D149B">
            <w:pPr>
              <w:pStyle w:val="19"/>
              <w:spacing w:line="280" w:lineRule="exact"/>
              <w:jc w:val="center"/>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装置）</w:t>
            </w:r>
          </w:p>
          <w:p w14:paraId="0AEDE924">
            <w:pPr>
              <w:pStyle w:val="19"/>
              <w:spacing w:line="280" w:lineRule="exact"/>
              <w:jc w:val="center"/>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限速器、</w:t>
            </w:r>
          </w:p>
          <w:p w14:paraId="2111E42F">
            <w:pPr>
              <w:pStyle w:val="19"/>
              <w:spacing w:line="280" w:lineRule="exact"/>
              <w:jc w:val="center"/>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安全钳</w:t>
            </w:r>
          </w:p>
          <w:p w14:paraId="1D9AF2E8">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电气安全装置</w:t>
            </w:r>
          </w:p>
        </w:tc>
        <w:tc>
          <w:tcPr>
            <w:tcW w:w="6316" w:type="dxa"/>
            <w:vAlign w:val="center"/>
          </w:tcPr>
          <w:p w14:paraId="18D5AB48">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检查以下电气安全装置功能是否有效：</w:t>
            </w:r>
          </w:p>
          <w:p w14:paraId="58948386">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（1）限速器或者其他装置上设置的在轿厢（运载装置）上行、下行速度达到限速器动作速度之前动作的电气安全装置；</w:t>
            </w:r>
          </w:p>
          <w:p w14:paraId="77C6BD27">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（2）对于安全钳释放后限速器不能自动复位的，用于验证限速器复位状态</w:t>
            </w:r>
          </w:p>
          <w:p w14:paraId="04E40A0F">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的电气安全装置；</w:t>
            </w:r>
          </w:p>
          <w:p w14:paraId="7EB0D9DB">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（3）用于检查限速器绳断裂或者过分伸长的电气安全装置；</w:t>
            </w:r>
          </w:p>
          <w:p w14:paraId="71B4D17B">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（4）轿厢（运载装置）上设置的在轿厢（运载装置）安全钳动作以前或者同时使驱动主机停止运转的电气安全装置</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624C6C42">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设置了轿厢（运载装置）限速器-安全钳系统的电梯适用。目测和试验，满足以下要求时判定为符合：</w:t>
            </w:r>
          </w:p>
          <w:p w14:paraId="28D3E97F">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（1）动作该电气安全装置，该装置应在轿厢（运载装置）上行、下行速度达到限速器动作速度之前动作，动作后电梯不能启动。</w:t>
            </w:r>
          </w:p>
          <w:p w14:paraId="12B4D70F">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（2）对于安全钳释放后限速器不能自动复位的，验证限速器复位状态的电气安全装置设置及该开关动作后电梯应不能启动。参考</w:t>
            </w:r>
            <w:r>
              <w:rPr>
                <w:rFonts w:hint="eastAsia" w:hAnsiTheme="minorEastAsia" w:eastAsiaTheme="minorEastAsia"/>
                <w:snapToGrid w:val="0"/>
                <w:color w:val="000000" w:themeColor="text1"/>
                <w:sz w:val="21"/>
                <w:szCs w:val="21"/>
                <w14:textFill>
                  <w14:solidFill>
                    <w14:schemeClr w14:val="tx1"/>
                  </w14:solidFill>
                </w14:textFill>
              </w:rPr>
              <w:t xml:space="preserve">GB </w:t>
            </w:r>
            <w:r>
              <w:rPr>
                <w:rFonts w:hAnsiTheme="minorEastAsia" w:eastAsiaTheme="minorEastAsia"/>
                <w:snapToGrid w:val="0"/>
                <w:color w:val="000000" w:themeColor="text1"/>
                <w:sz w:val="21"/>
                <w:szCs w:val="21"/>
                <w14:textFill>
                  <w14:solidFill>
                    <w14:schemeClr w14:val="tx1"/>
                  </w14:solidFill>
                </w14:textFill>
              </w:rPr>
              <w:t>7588-2003INT024号解释单，对于部分通过甩块和棘爪动作的电梯限速器，虽未设置验证复位状态的电气安全装置，但应同时符合以下要求：</w:t>
            </w:r>
          </w:p>
          <w:p w14:paraId="128ADACD">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①安全钳被释放后，验证限速器动作的电气安全装置不能自动复位；</w:t>
            </w:r>
          </w:p>
          <w:p w14:paraId="624FE50E">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②产品使用说明书有复位操作步骤的说明内容用以告知用户；</w:t>
            </w:r>
          </w:p>
          <w:p w14:paraId="6440696F">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③限速器上或临近处有复位操作的说明；</w:t>
            </w:r>
          </w:p>
          <w:p w14:paraId="643277DE">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④复位操作说明至少包括先复位限速器的机械部件（棘爪机构），再复位限速器的电气安全装置的内容；</w:t>
            </w:r>
          </w:p>
          <w:p w14:paraId="4EE3CB85">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⑤必须由了解掌握正确完整复位过程的有资格的专业人员按操作说明的规定进行复位。</w:t>
            </w:r>
          </w:p>
          <w:p w14:paraId="5A026608">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（3）①设置的电气安全装置安装位置正确、动作行程适宜，限速器绳断裂或者过分伸长时能正确动作；</w:t>
            </w:r>
          </w:p>
          <w:p w14:paraId="3F6D21A4">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②该电气安全装置动作时，电梯不能启动。</w:t>
            </w:r>
          </w:p>
          <w:p w14:paraId="4F6C5E52">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（4）①电气安全装置的安装位置正确，机械结构上满足在轿厢（运载装置）安全钳动作以前或者同时被触发；</w:t>
            </w:r>
          </w:p>
          <w:p w14:paraId="524FED24">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②进行限速器-安全钳联动试验时，该电气安全装置能够被触发；</w:t>
            </w:r>
          </w:p>
          <w:p w14:paraId="5A490706">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③该电气安全装置动作时，电梯不能启动</w:t>
            </w:r>
            <w:r>
              <w:rPr>
                <w:rFonts w:hint="eastAsia" w:hAnsiTheme="minorEastAsia" w:eastAsiaTheme="minorEastAsia"/>
                <w:snapToGrid w:val="0"/>
                <w:color w:val="000000" w:themeColor="text1"/>
                <w:sz w:val="21"/>
                <w:szCs w:val="21"/>
                <w14:textFill>
                  <w14:solidFill>
                    <w14:schemeClr w14:val="tx1"/>
                  </w14:solidFill>
                </w14:textFill>
              </w:rPr>
              <w:t>。</w:t>
            </w:r>
          </w:p>
        </w:tc>
      </w:tr>
      <w:tr w14:paraId="080192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50" w:hRule="atLeast"/>
          <w:jc w:val="center"/>
        </w:trPr>
        <w:tc>
          <w:tcPr>
            <w:tcW w:w="927" w:type="dxa"/>
            <w:vMerge w:val="restart"/>
            <w:vAlign w:val="center"/>
          </w:tcPr>
          <w:p w14:paraId="6FC7F87C">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*A1.3.4.3</w:t>
            </w:r>
          </w:p>
        </w:tc>
        <w:tc>
          <w:tcPr>
            <w:tcW w:w="984" w:type="dxa"/>
            <w:vMerge w:val="restart"/>
            <w:vAlign w:val="center"/>
          </w:tcPr>
          <w:p w14:paraId="1EC2E28B">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轿厢（运载装置）限速器</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安全钳联动试验</w:t>
            </w:r>
          </w:p>
        </w:tc>
        <w:tc>
          <w:tcPr>
            <w:tcW w:w="6316" w:type="dxa"/>
            <w:vMerge w:val="restart"/>
            <w:vAlign w:val="center"/>
          </w:tcPr>
          <w:p w14:paraId="2F25A888">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以下列工况进行限速器-安全钳联动试验，观察限速器、安全钳动作是否可靠，试验后，未出现对电梯正常使用有不利影响的损坏（允许更换摩擦部件和玻璃部件）：</w:t>
            </w:r>
          </w:p>
          <w:p w14:paraId="4102C935">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监督检验时，采用瞬时式安全钳的，轿厢内装载额定载重量的载荷，以检修速度下行；采用渐进式安全钳的，轿厢内装载125%额定载重量的载荷，以额定速度下行，或者以较低速度（仅适用于额定速度大于4.0m/s的电梯）下行（注A1-22）；</w:t>
            </w:r>
          </w:p>
          <w:p w14:paraId="08F3B2D2">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（2）定期检验时，轿厢空载，以检修速度下行。</w:t>
            </w:r>
          </w:p>
          <w:p w14:paraId="29CBE9D2">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注A1-22：对于轿厢配有玻璃的电梯，监督检验时，在做好安全防护的条件下，允许不安装玻璃进行试验，但是应当在轿厢内增加与玻璃同等重量的载荷</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737BE168">
            <w:pPr>
              <w:pStyle w:val="19"/>
              <w:spacing w:line="32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设置了轿厢（运载装置）限速器-安全钳系统的电梯适用。试验，满足以下要求时判定为符合：</w:t>
            </w:r>
          </w:p>
          <w:p w14:paraId="7C7B4FE2">
            <w:pPr>
              <w:pStyle w:val="19"/>
              <w:spacing w:line="32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（1）监督检验适用，定期检验或者按照定期检验要求进行的监督检验的不适用。</w:t>
            </w:r>
          </w:p>
          <w:p w14:paraId="06F49366">
            <w:pPr>
              <w:pStyle w:val="19"/>
              <w:spacing w:line="32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由施工单位按照制造（改造）单位规定的方法进行，检验人员现场观察确认，此项目的检验可与施工单位安装竣工自检一并进行。</w:t>
            </w:r>
          </w:p>
          <w:p w14:paraId="2DD8D687">
            <w:pPr>
              <w:pStyle w:val="19"/>
              <w:spacing w:line="32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对于配置对重安全钳的电梯，试验时应充分考虑对重安全钳误动作的可能性。</w:t>
            </w:r>
          </w:p>
          <w:p w14:paraId="037C26CD">
            <w:pPr>
              <w:pStyle w:val="19"/>
              <w:spacing w:line="32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本项目检验时电梯应处于以下工况：</w:t>
            </w:r>
          </w:p>
          <w:p w14:paraId="1FECFABD">
            <w:pPr>
              <w:pStyle w:val="19"/>
              <w:spacing w:line="32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①如机械松闸，试验时，电梯运行后手动松闸；如电梯厂家有试验工艺，应按厂家试验工艺检测；如电动松闸，短接限速器、安全钳电气安全装置，减少制动器参与制动；</w:t>
            </w:r>
          </w:p>
          <w:p w14:paraId="3C767520">
            <w:pPr>
              <w:pStyle w:val="19"/>
              <w:spacing w:line="32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采用瞬时式安全钳为额定载荷；采用渐进式安全钳为125%额定载荷；对于轿厢配有玻璃的电梯，监督检验时，在做好安全防护的条件下，允许不安装玻璃进行试验，但是应当在轿厢内增加与玻璃同等重量的载荷；</w:t>
            </w:r>
          </w:p>
          <w:p w14:paraId="418F7D24">
            <w:pPr>
              <w:pStyle w:val="19"/>
              <w:spacing w:line="32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③采用瞬时式安全钳为检修速度；采用渐进式安全钳为额定速度或较低速度（仅适用于额定速度&gt;4.0m/s）；</w:t>
            </w:r>
          </w:p>
          <w:p w14:paraId="34C55124">
            <w:pPr>
              <w:pStyle w:val="19"/>
              <w:spacing w:line="32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④采用安全的措施触发限速器；</w:t>
            </w:r>
          </w:p>
          <w:p w14:paraId="05C48146">
            <w:pPr>
              <w:pStyle w:val="19"/>
              <w:spacing w:line="32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试验过程应进行音像记录，并满足表A1-14的内容和要求：</w:t>
            </w:r>
          </w:p>
          <w:p w14:paraId="4C0E206D">
            <w:pPr>
              <w:pStyle w:val="19"/>
              <w:spacing w:line="32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表A1-14轿厢限速器-安全钳联动试验音像记录要求</w:t>
            </w:r>
          </w:p>
        </w:tc>
      </w:tr>
      <w:tr w14:paraId="26227B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50" w:hRule="atLeast"/>
          <w:jc w:val="center"/>
        </w:trPr>
        <w:tc>
          <w:tcPr>
            <w:tcW w:w="927" w:type="dxa"/>
            <w:vMerge w:val="continue"/>
            <w:vAlign w:val="center"/>
          </w:tcPr>
          <w:p w14:paraId="22A94A76">
            <w:pPr>
              <w:spacing w:line="280" w:lineRule="exact"/>
              <w:ind w:left="-57" w:right="-57"/>
              <w:jc w:val="center"/>
              <w:rPr>
                <w:rFonts w:eastAsiaTheme="minorEastAsia"/>
                <w:snapToGrid w:val="0"/>
                <w:color w:val="000000" w:themeColor="text1"/>
                <w:kern w:val="0"/>
                <w:szCs w:val="21"/>
                <w14:textFill>
                  <w14:solidFill>
                    <w14:schemeClr w14:val="tx1"/>
                  </w14:solidFill>
                </w14:textFill>
              </w:rPr>
            </w:pPr>
          </w:p>
        </w:tc>
        <w:tc>
          <w:tcPr>
            <w:tcW w:w="984" w:type="dxa"/>
            <w:vMerge w:val="continue"/>
            <w:vAlign w:val="center"/>
          </w:tcPr>
          <w:p w14:paraId="5B95504D">
            <w:pPr>
              <w:spacing w:line="280" w:lineRule="exact"/>
              <w:jc w:val="center"/>
              <w:rPr>
                <w:rFonts w:eastAsiaTheme="minorEastAsia"/>
                <w:snapToGrid w:val="0"/>
                <w:color w:val="000000" w:themeColor="text1"/>
                <w:kern w:val="0"/>
                <w:szCs w:val="21"/>
                <w14:textFill>
                  <w14:solidFill>
                    <w14:schemeClr w14:val="tx1"/>
                  </w14:solidFill>
                </w14:textFill>
              </w:rPr>
            </w:pPr>
          </w:p>
        </w:tc>
        <w:tc>
          <w:tcPr>
            <w:tcW w:w="6316" w:type="dxa"/>
            <w:vMerge w:val="continue"/>
            <w:vAlign w:val="center"/>
          </w:tcPr>
          <w:p w14:paraId="4CB6A0B7">
            <w:pPr>
              <w:spacing w:line="280" w:lineRule="exact"/>
              <w:ind w:left="85"/>
              <w:rPr>
                <w:rFonts w:eastAsiaTheme="minorEastAsia"/>
                <w:snapToGrid w:val="0"/>
                <w:color w:val="000000" w:themeColor="text1"/>
                <w:kern w:val="0"/>
                <w:szCs w:val="21"/>
                <w14:textFill>
                  <w14:solidFill>
                    <w14:schemeClr w14:val="tx1"/>
                  </w14:solidFill>
                </w14:textFill>
              </w:rPr>
            </w:pPr>
          </w:p>
        </w:tc>
        <w:tc>
          <w:tcPr>
            <w:tcW w:w="5791" w:type="dxa"/>
            <w:gridSpan w:val="4"/>
            <w:vAlign w:val="center"/>
          </w:tcPr>
          <w:tbl>
            <w:tblPr>
              <w:tblStyle w:val="12"/>
              <w:tblW w:w="527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350"/>
              <w:gridCol w:w="1943"/>
              <w:gridCol w:w="1980"/>
            </w:tblGrid>
            <w:tr w14:paraId="773452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50" w:type="dxa"/>
                  <w:vAlign w:val="center"/>
                </w:tcPr>
                <w:p w14:paraId="51048D80">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试验过程</w:t>
                  </w:r>
                </w:p>
              </w:tc>
              <w:tc>
                <w:tcPr>
                  <w:tcW w:w="1943" w:type="dxa"/>
                  <w:vAlign w:val="center"/>
                </w:tcPr>
                <w:p w14:paraId="25005936">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音像记录内容</w:t>
                  </w:r>
                </w:p>
              </w:tc>
              <w:tc>
                <w:tcPr>
                  <w:tcW w:w="1980" w:type="dxa"/>
                  <w:vAlign w:val="center"/>
                </w:tcPr>
                <w:p w14:paraId="12F92334">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记录要求</w:t>
                  </w:r>
                </w:p>
              </w:tc>
            </w:tr>
            <w:tr w14:paraId="17B0B0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5" w:hRule="atLeast"/>
                <w:jc w:val="center"/>
              </w:trPr>
              <w:tc>
                <w:tcPr>
                  <w:tcW w:w="1350" w:type="dxa"/>
                  <w:vMerge w:val="restart"/>
                  <w:vAlign w:val="center"/>
                </w:tcPr>
                <w:p w14:paraId="1F5C7B5B">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试验前</w:t>
                  </w:r>
                </w:p>
              </w:tc>
              <w:tc>
                <w:tcPr>
                  <w:tcW w:w="1943" w:type="dxa"/>
                  <w:vAlign w:val="center"/>
                </w:tcPr>
                <w:p w14:paraId="6E8CA30E">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①检验人员身份</w:t>
                  </w:r>
                </w:p>
              </w:tc>
              <w:tc>
                <w:tcPr>
                  <w:tcW w:w="1980" w:type="dxa"/>
                  <w:vAlign w:val="center"/>
                </w:tcPr>
                <w:p w14:paraId="6AFEC83F">
                  <w:pPr>
                    <w:pStyle w:val="19"/>
                    <w:snapToGrid w:val="0"/>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机房内或紧急操纵屏处录制检验人员（2人）</w:t>
                  </w:r>
                </w:p>
              </w:tc>
            </w:tr>
            <w:tr w14:paraId="12A7BE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50" w:type="dxa"/>
                  <w:vMerge w:val="continue"/>
                  <w:vAlign w:val="center"/>
                </w:tcPr>
                <w:p w14:paraId="24CB1C1D">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p>
              </w:tc>
              <w:tc>
                <w:tcPr>
                  <w:tcW w:w="1943" w:type="dxa"/>
                  <w:vAlign w:val="center"/>
                </w:tcPr>
                <w:p w14:paraId="72FC6A6B">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②载荷放置情况</w:t>
                  </w:r>
                </w:p>
              </w:tc>
              <w:tc>
                <w:tcPr>
                  <w:tcW w:w="1980" w:type="dxa"/>
                  <w:vAlign w:val="center"/>
                </w:tcPr>
                <w:p w14:paraId="38FB95D4">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记录本条试验规定的完整载荷</w:t>
                  </w:r>
                </w:p>
              </w:tc>
            </w:tr>
            <w:tr w14:paraId="7503B2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50" w:type="dxa"/>
                  <w:vMerge w:val="continue"/>
                  <w:vAlign w:val="center"/>
                </w:tcPr>
                <w:p w14:paraId="019D879A">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p>
              </w:tc>
              <w:tc>
                <w:tcPr>
                  <w:tcW w:w="1943" w:type="dxa"/>
                  <w:vAlign w:val="center"/>
                </w:tcPr>
                <w:p w14:paraId="6A83A560">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③受检电梯的唯一性标识</w:t>
                  </w:r>
                </w:p>
              </w:tc>
              <w:tc>
                <w:tcPr>
                  <w:tcW w:w="1980" w:type="dxa"/>
                  <w:vAlign w:val="center"/>
                </w:tcPr>
                <w:p w14:paraId="331A46AC">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如驱动主机主机编号或者控制柜编号等（可与上款①一起）</w:t>
                  </w:r>
                </w:p>
              </w:tc>
            </w:tr>
            <w:tr w14:paraId="5C24F7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50" w:type="dxa"/>
                  <w:vAlign w:val="center"/>
                </w:tcPr>
                <w:p w14:paraId="56BADC96">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试验中</w:t>
                  </w:r>
                </w:p>
              </w:tc>
              <w:tc>
                <w:tcPr>
                  <w:tcW w:w="1943" w:type="dxa"/>
                  <w:vAlign w:val="center"/>
                </w:tcPr>
                <w:p w14:paraId="257B44AD">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①限速器工作状态；</w:t>
                  </w:r>
                </w:p>
                <w:p w14:paraId="222ABF81">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②驱动主机启动、运行和制停的全过程</w:t>
                  </w:r>
                </w:p>
              </w:tc>
              <w:tc>
                <w:tcPr>
                  <w:tcW w:w="1980" w:type="dxa"/>
                  <w:vAlign w:val="center"/>
                </w:tcPr>
                <w:p w14:paraId="3D2CAEF3">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将含有检验人员、设备唯一性标识、驱动主机滞留、限速器停止运转的几个视频以报告编号+试验名称为名称存档至统一文件夹内，例如：“张三+李四、铭牌（或张三+李四+铭牌）、驱动主机、限速器”。文件夹名称修改为报告编号。</w:t>
                  </w:r>
                </w:p>
              </w:tc>
            </w:tr>
            <w:tr w14:paraId="03AEC3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50" w:type="dxa"/>
                  <w:vAlign w:val="center"/>
                </w:tcPr>
                <w:p w14:paraId="451ADB80">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注意事项</w:t>
                  </w:r>
                </w:p>
              </w:tc>
              <w:tc>
                <w:tcPr>
                  <w:tcW w:w="3923" w:type="dxa"/>
                  <w:gridSpan w:val="2"/>
                  <w:vAlign w:val="center"/>
                </w:tcPr>
                <w:p w14:paraId="19A67366">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①音像记录应清晰，采集部位能完整在画面中被记录</w:t>
                  </w:r>
                </w:p>
                <w:p w14:paraId="7EA982A6">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②本细则发布实施后若有新的规定和要求，从其规定和要求</w:t>
                  </w:r>
                </w:p>
              </w:tc>
            </w:tr>
          </w:tbl>
          <w:p w14:paraId="4D4D3A62">
            <w:pPr>
              <w:pStyle w:val="19"/>
              <w:spacing w:line="20" w:lineRule="exact"/>
              <w:ind w:left="85" w:right="198"/>
              <w:jc w:val="both"/>
              <w:rPr>
                <w:rFonts w:hAnsiTheme="minorEastAsia" w:eastAsiaTheme="minorEastAsia"/>
                <w:snapToGrid w:val="0"/>
                <w:color w:val="000000" w:themeColor="text1"/>
                <w:sz w:val="21"/>
                <w:szCs w:val="21"/>
                <w14:textFill>
                  <w14:solidFill>
                    <w14:schemeClr w14:val="tx1"/>
                  </w14:solidFill>
                </w14:textFill>
              </w:rPr>
            </w:pPr>
          </w:p>
        </w:tc>
      </w:tr>
      <w:tr w14:paraId="2DCB7E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47" w:hRule="atLeast"/>
          <w:jc w:val="center"/>
        </w:trPr>
        <w:tc>
          <w:tcPr>
            <w:tcW w:w="927" w:type="dxa"/>
            <w:vMerge w:val="continue"/>
            <w:vAlign w:val="center"/>
          </w:tcPr>
          <w:p w14:paraId="1E6E6505">
            <w:pPr>
              <w:spacing w:line="280" w:lineRule="exact"/>
              <w:ind w:left="-57" w:right="-57"/>
              <w:jc w:val="center"/>
              <w:rPr>
                <w:rFonts w:eastAsiaTheme="minorEastAsia"/>
                <w:snapToGrid w:val="0"/>
                <w:color w:val="000000" w:themeColor="text1"/>
                <w:kern w:val="0"/>
                <w:szCs w:val="21"/>
                <w14:textFill>
                  <w14:solidFill>
                    <w14:schemeClr w14:val="tx1"/>
                  </w14:solidFill>
                </w14:textFill>
              </w:rPr>
            </w:pPr>
          </w:p>
        </w:tc>
        <w:tc>
          <w:tcPr>
            <w:tcW w:w="984" w:type="dxa"/>
            <w:vMerge w:val="continue"/>
            <w:vAlign w:val="center"/>
          </w:tcPr>
          <w:p w14:paraId="419175FE">
            <w:pPr>
              <w:spacing w:line="280" w:lineRule="exact"/>
              <w:jc w:val="center"/>
              <w:rPr>
                <w:rFonts w:eastAsiaTheme="minorEastAsia"/>
                <w:snapToGrid w:val="0"/>
                <w:color w:val="000000" w:themeColor="text1"/>
                <w:kern w:val="0"/>
                <w:szCs w:val="21"/>
                <w14:textFill>
                  <w14:solidFill>
                    <w14:schemeClr w14:val="tx1"/>
                  </w14:solidFill>
                </w14:textFill>
              </w:rPr>
            </w:pPr>
          </w:p>
        </w:tc>
        <w:tc>
          <w:tcPr>
            <w:tcW w:w="6316" w:type="dxa"/>
            <w:vMerge w:val="continue"/>
            <w:vAlign w:val="center"/>
          </w:tcPr>
          <w:p w14:paraId="07BB9F7D">
            <w:pPr>
              <w:spacing w:line="280" w:lineRule="exact"/>
              <w:ind w:left="85"/>
              <w:rPr>
                <w:rFonts w:eastAsiaTheme="minorEastAsia"/>
                <w:snapToGrid w:val="0"/>
                <w:color w:val="000000" w:themeColor="text1"/>
                <w:kern w:val="0"/>
                <w:szCs w:val="21"/>
                <w14:textFill>
                  <w14:solidFill>
                    <w14:schemeClr w14:val="tx1"/>
                  </w14:solidFill>
                </w14:textFill>
              </w:rPr>
            </w:pPr>
          </w:p>
        </w:tc>
        <w:tc>
          <w:tcPr>
            <w:tcW w:w="5791" w:type="dxa"/>
            <w:gridSpan w:val="4"/>
            <w:vAlign w:val="center"/>
          </w:tcPr>
          <w:p w14:paraId="38DCC0D8">
            <w:pPr>
              <w:pStyle w:val="19"/>
              <w:spacing w:line="320" w:lineRule="exact"/>
              <w:ind w:left="85" w:right="198"/>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检查轿厢限速器、轿厢安全钳动作情况和试验后电梯的状况，且应满足以下要求：</w:t>
            </w:r>
          </w:p>
          <w:p w14:paraId="0B8340D6">
            <w:pPr>
              <w:pStyle w:val="19"/>
              <w:spacing w:line="320" w:lineRule="exact"/>
              <w:ind w:left="85"/>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①限速器被可靠触发，无异常现象；</w:t>
            </w:r>
          </w:p>
          <w:p w14:paraId="064BAD75">
            <w:pPr>
              <w:pStyle w:val="19"/>
              <w:spacing w:line="320" w:lineRule="exact"/>
              <w:ind w:left="85"/>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②安全钳电气开关按规定被触发、安全钳动作可靠；</w:t>
            </w:r>
          </w:p>
          <w:p w14:paraId="07B2CC71">
            <w:pPr>
              <w:pStyle w:val="19"/>
              <w:spacing w:line="320" w:lineRule="exact"/>
              <w:ind w:left="85" w:right="74"/>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③轿厢被可靠制停，未出现对电梯正常使用有不利影响的损坏（允许导轨出现轻微损伤、更换摩擦部件和玻璃部件）；</w:t>
            </w:r>
          </w:p>
          <w:p w14:paraId="28E893B1">
            <w:pPr>
              <w:pStyle w:val="19"/>
              <w:spacing w:line="320" w:lineRule="exact"/>
              <w:ind w:left="85" w:right="143"/>
              <w:jc w:val="both"/>
              <w:rPr>
                <w:rFonts w:eastAsiaTheme="minorEastAsia"/>
                <w:snapToGrid w:val="0"/>
                <w:color w:val="000000" w:themeColor="text1"/>
                <w:spacing w:val="-4"/>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pacing w:val="-4"/>
                <w:sz w:val="21"/>
                <w:szCs w:val="21"/>
                <w14:textFill>
                  <w14:solidFill>
                    <w14:schemeClr w14:val="tx1"/>
                  </w14:solidFill>
                </w14:textFill>
              </w:rPr>
              <w:t>定期检验或者按照定期检验要求进行的监督检验时适用。由施工单位按照制造（改造）单位规定的方法进行，检验人员现场观察确认，试验工况为轿厢空载、以检修速度下行。</w:t>
            </w:r>
          </w:p>
          <w:p w14:paraId="30D5BA6A">
            <w:pPr>
              <w:pStyle w:val="19"/>
              <w:spacing w:line="320" w:lineRule="exact"/>
              <w:ind w:left="85"/>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符合性判定要求同本条第（</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）款</w:t>
            </w:r>
            <w:r>
              <w:rPr>
                <w:rFonts w:hint="eastAsia" w:hAnsiTheme="minorEastAsia" w:eastAsiaTheme="minorEastAsia"/>
                <w:snapToGrid w:val="0"/>
                <w:color w:val="000000" w:themeColor="text1"/>
                <w:sz w:val="21"/>
                <w:szCs w:val="21"/>
                <w14:textFill>
                  <w14:solidFill>
                    <w14:schemeClr w14:val="tx1"/>
                  </w14:solidFill>
                </w14:textFill>
              </w:rPr>
              <w:t>。</w:t>
            </w:r>
          </w:p>
        </w:tc>
      </w:tr>
      <w:tr w14:paraId="04D8DB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50" w:hRule="atLeast"/>
          <w:jc w:val="center"/>
        </w:trPr>
        <w:tc>
          <w:tcPr>
            <w:tcW w:w="927" w:type="dxa"/>
            <w:vAlign w:val="center"/>
          </w:tcPr>
          <w:p w14:paraId="1F2125C9">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*A1.3.5.1</w:t>
            </w:r>
          </w:p>
        </w:tc>
        <w:tc>
          <w:tcPr>
            <w:tcW w:w="984" w:type="dxa"/>
            <w:vAlign w:val="center"/>
          </w:tcPr>
          <w:p w14:paraId="17AB5DED">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对重（平衡重）限速器及电气安全装置</w:t>
            </w:r>
          </w:p>
        </w:tc>
        <w:tc>
          <w:tcPr>
            <w:tcW w:w="6316" w:type="dxa"/>
            <w:vAlign w:val="center"/>
          </w:tcPr>
          <w:p w14:paraId="1F2E29A6">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检查限速器及其电气安全装置是否符合A1.3.4.1条和A1.3.4.2条第（1）～（3）项的要求</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5B623906">
            <w:pPr>
              <w:pStyle w:val="19"/>
              <w:spacing w:line="32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目测和试验，满足以下要求时判定为符合：</w:t>
            </w:r>
          </w:p>
          <w:p w14:paraId="53EEC99A">
            <w:pPr>
              <w:pStyle w:val="19"/>
              <w:spacing w:line="32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按照A1.3.4.1（限速器）和A1.3.4.2（电气安全装置）第（1）～（3）项的检验方法检查和判定</w:t>
            </w:r>
            <w:r>
              <w:rPr>
                <w:rFonts w:hint="eastAsia" w:hAnsiTheme="minorEastAsia" w:eastAsiaTheme="minorEastAsia"/>
                <w:snapToGrid w:val="0"/>
                <w:color w:val="000000" w:themeColor="text1"/>
                <w:sz w:val="21"/>
                <w:szCs w:val="21"/>
                <w14:textFill>
                  <w14:solidFill>
                    <w14:schemeClr w14:val="tx1"/>
                  </w14:solidFill>
                </w14:textFill>
              </w:rPr>
              <w:t>。</w:t>
            </w:r>
          </w:p>
        </w:tc>
      </w:tr>
      <w:tr w14:paraId="7EA3B5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107" w:hRule="atLeast"/>
          <w:jc w:val="center"/>
        </w:trPr>
        <w:tc>
          <w:tcPr>
            <w:tcW w:w="927" w:type="dxa"/>
            <w:vAlign w:val="center"/>
          </w:tcPr>
          <w:p w14:paraId="732C27F3">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*A1.3.5.2</w:t>
            </w:r>
          </w:p>
        </w:tc>
        <w:tc>
          <w:tcPr>
            <w:tcW w:w="984" w:type="dxa"/>
            <w:vAlign w:val="center"/>
          </w:tcPr>
          <w:p w14:paraId="56F9DF48">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对重（平衡重）限速器</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安全钳联动试验</w:t>
            </w:r>
          </w:p>
        </w:tc>
        <w:tc>
          <w:tcPr>
            <w:tcW w:w="6316" w:type="dxa"/>
            <w:vAlign w:val="center"/>
          </w:tcPr>
          <w:p w14:paraId="76D289FB">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以下列工况进行限速器-安全钳联动试验（注A1-23），观察限速器、安全钳动作是否可靠，试验后，未出现对电梯正常使用有不利影响的损坏（允许更换摩擦部件）：</w:t>
            </w:r>
          </w:p>
          <w:p w14:paraId="6696D37E">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（1）监督检验时，采用瞬时式安全钳的，轿厢空载，以检修速度上行；采用渐进式安全钳的，轿厢空载，以额定速度上行，或者以较低速度（仅适用于额定速度大于4.0m/s的电梯）上行；</w:t>
            </w:r>
          </w:p>
          <w:p w14:paraId="55AF81DB">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（2）定期检验时，轿厢空载，以检修速度上行。</w:t>
            </w:r>
          </w:p>
          <w:p w14:paraId="618E0107">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注A1-23：对于采用除限速器以外方式触发的安全钳，按照电梯制造（改造）单位的要求进行试验</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2D74A933">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设置了轿厢（运载装置）限速器-安全钳系统的电梯适用。试验，满足以下要求时判定为符合：</w:t>
            </w:r>
          </w:p>
          <w:p w14:paraId="6E46D035">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（1）监督检验适用。</w:t>
            </w:r>
          </w:p>
          <w:p w14:paraId="384273B4">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由施工单位按照制造（改造）单位规定的方法进行，检验人员现场观察确认。对于采用除限速器以外方式触发的安全钳，按照电梯制造（改造）单位的要求进行试验。</w:t>
            </w:r>
          </w:p>
          <w:p w14:paraId="28984E15">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本项目检验时电梯应处于以下工况：</w:t>
            </w:r>
          </w:p>
          <w:p w14:paraId="7A993D4F">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①如机械松闸，试验时，电梯运行后手动松闸；如电梯厂家有试验工艺，应按厂家试验工艺检测；如电动松闸，短接限速器、安全钳（如果有）电气安全装置，减少制动器参与制动；</w:t>
            </w:r>
          </w:p>
          <w:p w14:paraId="586B1292">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②轿厢空载；</w:t>
            </w:r>
          </w:p>
          <w:p w14:paraId="48EB763B">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③采用瞬时式安全钳为检修速度；采用渐进式安全钳为额定速度或较低速度（仅适用于额定速度&gt;4.0m/s）；</w:t>
            </w:r>
          </w:p>
          <w:p w14:paraId="760279D4">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④采用安全的措施触发限速器。</w:t>
            </w:r>
          </w:p>
          <w:p w14:paraId="7D44F5DC">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试验过程应进行音像记录，并满足表A1-15的内容和要求：</w:t>
            </w:r>
          </w:p>
          <w:p w14:paraId="396BBFE1">
            <w:pPr>
              <w:pStyle w:val="19"/>
              <w:spacing w:line="280" w:lineRule="exact"/>
              <w:ind w:left="79" w:right="137"/>
              <w:jc w:val="both"/>
              <w:rPr>
                <w:rFonts w:hint="eastAsia"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表A1-15对重限速器-安全钳联动试验音像记录要求</w:t>
            </w:r>
            <w:r>
              <w:rPr>
                <w:rFonts w:hint="eastAsia" w:hAnsiTheme="minorEastAsia" w:eastAsiaTheme="minorEastAsia"/>
                <w:snapToGrid w:val="0"/>
                <w:color w:val="000000" w:themeColor="text1"/>
                <w:sz w:val="21"/>
                <w:szCs w:val="21"/>
                <w14:textFill>
                  <w14:solidFill>
                    <w14:schemeClr w14:val="tx1"/>
                  </w14:solidFill>
                </w14:textFill>
              </w:rPr>
              <w:t>。</w:t>
            </w:r>
          </w:p>
          <w:p w14:paraId="7D4ECF3F">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p>
          <w:tbl>
            <w:tblPr>
              <w:tblStyle w:val="12"/>
              <w:tblW w:w="555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28"/>
              <w:gridCol w:w="1669"/>
              <w:gridCol w:w="2860"/>
            </w:tblGrid>
            <w:tr w14:paraId="729956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28" w:type="dxa"/>
                  <w:vAlign w:val="center"/>
                </w:tcPr>
                <w:p w14:paraId="3A1EF9B2">
                  <w:pPr>
                    <w:pStyle w:val="19"/>
                    <w:spacing w:line="280" w:lineRule="exact"/>
                    <w:ind w:left="-57" w:right="-57"/>
                    <w:jc w:val="center"/>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试验过程</w:t>
                  </w:r>
                </w:p>
              </w:tc>
              <w:tc>
                <w:tcPr>
                  <w:tcW w:w="1669" w:type="dxa"/>
                  <w:vAlign w:val="center"/>
                </w:tcPr>
                <w:p w14:paraId="6F97F7E6">
                  <w:pPr>
                    <w:pStyle w:val="19"/>
                    <w:spacing w:line="280" w:lineRule="exact"/>
                    <w:ind w:left="-57" w:right="-57"/>
                    <w:jc w:val="center"/>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音像记录内容</w:t>
                  </w:r>
                </w:p>
              </w:tc>
              <w:tc>
                <w:tcPr>
                  <w:tcW w:w="2860" w:type="dxa"/>
                  <w:vAlign w:val="center"/>
                </w:tcPr>
                <w:p w14:paraId="225890E7">
                  <w:pPr>
                    <w:pStyle w:val="19"/>
                    <w:spacing w:line="280" w:lineRule="exact"/>
                    <w:ind w:left="-57" w:right="-57"/>
                    <w:jc w:val="center"/>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记录要求</w:t>
                  </w:r>
                </w:p>
              </w:tc>
            </w:tr>
            <w:tr w14:paraId="365CD0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28" w:type="dxa"/>
                  <w:vMerge w:val="restart"/>
                  <w:vAlign w:val="center"/>
                </w:tcPr>
                <w:p w14:paraId="2D8656A8">
                  <w:pPr>
                    <w:pStyle w:val="19"/>
                    <w:spacing w:line="280" w:lineRule="exact"/>
                    <w:ind w:left="-57" w:right="-57"/>
                    <w:jc w:val="center"/>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试验前</w:t>
                  </w:r>
                </w:p>
              </w:tc>
              <w:tc>
                <w:tcPr>
                  <w:tcW w:w="1669" w:type="dxa"/>
                  <w:vAlign w:val="center"/>
                </w:tcPr>
                <w:p w14:paraId="7D97B2AB">
                  <w:pPr>
                    <w:pStyle w:val="22"/>
                    <w:rPr>
                      <w:snapToGrid w:val="0"/>
                    </w:rPr>
                  </w:pPr>
                  <w:r>
                    <w:rPr>
                      <w:snapToGrid w:val="0"/>
                    </w:rPr>
                    <w:t>①检验人员身份</w:t>
                  </w:r>
                </w:p>
              </w:tc>
              <w:tc>
                <w:tcPr>
                  <w:tcW w:w="2860" w:type="dxa"/>
                  <w:vAlign w:val="center"/>
                </w:tcPr>
                <w:p w14:paraId="78E4944A">
                  <w:pPr>
                    <w:pStyle w:val="22"/>
                    <w:rPr>
                      <w:snapToGrid w:val="0"/>
                    </w:rPr>
                  </w:pPr>
                  <w:r>
                    <w:rPr>
                      <w:snapToGrid w:val="0"/>
                    </w:rPr>
                    <w:t>机房内或紧急操纵屏处录制检验人员（2人）</w:t>
                  </w:r>
                </w:p>
              </w:tc>
            </w:tr>
            <w:tr w14:paraId="5791B2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28" w:type="dxa"/>
                  <w:vMerge w:val="continue"/>
                  <w:vAlign w:val="center"/>
                </w:tcPr>
                <w:p w14:paraId="550EC1DE">
                  <w:pPr>
                    <w:pStyle w:val="19"/>
                    <w:spacing w:line="280" w:lineRule="exact"/>
                    <w:ind w:left="-57" w:right="-57"/>
                    <w:jc w:val="center"/>
                    <w:rPr>
                      <w:rFonts w:hAnsiTheme="minorEastAsia" w:eastAsiaTheme="minorEastAsia"/>
                      <w:snapToGrid w:val="0"/>
                      <w:color w:val="000000" w:themeColor="text1"/>
                      <w:sz w:val="21"/>
                      <w:szCs w:val="21"/>
                      <w14:textFill>
                        <w14:solidFill>
                          <w14:schemeClr w14:val="tx1"/>
                        </w14:solidFill>
                      </w14:textFill>
                    </w:rPr>
                  </w:pPr>
                </w:p>
              </w:tc>
              <w:tc>
                <w:tcPr>
                  <w:tcW w:w="1669" w:type="dxa"/>
                  <w:vAlign w:val="center"/>
                </w:tcPr>
                <w:p w14:paraId="59BD71AA">
                  <w:pPr>
                    <w:pStyle w:val="22"/>
                    <w:rPr>
                      <w:snapToGrid w:val="0"/>
                    </w:rPr>
                  </w:pPr>
                  <w:r>
                    <w:rPr>
                      <w:snapToGrid w:val="0"/>
                    </w:rPr>
                    <w:t>②轿厢空载状态</w:t>
                  </w:r>
                </w:p>
              </w:tc>
              <w:tc>
                <w:tcPr>
                  <w:tcW w:w="2860" w:type="dxa"/>
                  <w:vAlign w:val="center"/>
                </w:tcPr>
                <w:p w14:paraId="398B024F">
                  <w:pPr>
                    <w:pStyle w:val="22"/>
                    <w:rPr>
                      <w:snapToGrid w:val="0"/>
                    </w:rPr>
                  </w:pPr>
                  <w:r>
                    <w:rPr>
                      <w:snapToGrid w:val="0"/>
                    </w:rPr>
                    <w:t>记录本条试验规定的完整载荷</w:t>
                  </w:r>
                </w:p>
              </w:tc>
            </w:tr>
            <w:tr w14:paraId="399183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28" w:type="dxa"/>
                  <w:vMerge w:val="continue"/>
                  <w:vAlign w:val="center"/>
                </w:tcPr>
                <w:p w14:paraId="1CCDE7B1">
                  <w:pPr>
                    <w:pStyle w:val="19"/>
                    <w:spacing w:line="280" w:lineRule="exact"/>
                    <w:ind w:left="-57" w:right="-57"/>
                    <w:jc w:val="center"/>
                    <w:rPr>
                      <w:rFonts w:hAnsiTheme="minorEastAsia" w:eastAsiaTheme="minorEastAsia"/>
                      <w:snapToGrid w:val="0"/>
                      <w:color w:val="000000" w:themeColor="text1"/>
                      <w:sz w:val="21"/>
                      <w:szCs w:val="21"/>
                      <w14:textFill>
                        <w14:solidFill>
                          <w14:schemeClr w14:val="tx1"/>
                        </w14:solidFill>
                      </w14:textFill>
                    </w:rPr>
                  </w:pPr>
                </w:p>
              </w:tc>
              <w:tc>
                <w:tcPr>
                  <w:tcW w:w="1669" w:type="dxa"/>
                  <w:vAlign w:val="center"/>
                </w:tcPr>
                <w:p w14:paraId="54F16C76">
                  <w:pPr>
                    <w:pStyle w:val="22"/>
                    <w:rPr>
                      <w:snapToGrid w:val="0"/>
                    </w:rPr>
                  </w:pPr>
                  <w:r>
                    <w:rPr>
                      <w:snapToGrid w:val="0"/>
                    </w:rPr>
                    <w:t>③受检电梯的唯一性标识</w:t>
                  </w:r>
                </w:p>
              </w:tc>
              <w:tc>
                <w:tcPr>
                  <w:tcW w:w="2860" w:type="dxa"/>
                  <w:vAlign w:val="center"/>
                </w:tcPr>
                <w:p w14:paraId="0CE68912">
                  <w:pPr>
                    <w:pStyle w:val="22"/>
                    <w:rPr>
                      <w:snapToGrid w:val="0"/>
                    </w:rPr>
                  </w:pPr>
                  <w:r>
                    <w:rPr>
                      <w:snapToGrid w:val="0"/>
                    </w:rPr>
                    <w:t>如驱动主机编号或者控制柜编号等</w:t>
                  </w:r>
                </w:p>
              </w:tc>
            </w:tr>
            <w:tr w14:paraId="2E7E7B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28" w:type="dxa"/>
                  <w:vAlign w:val="center"/>
                </w:tcPr>
                <w:p w14:paraId="42CFCA7D">
                  <w:pPr>
                    <w:pStyle w:val="19"/>
                    <w:spacing w:line="280" w:lineRule="exact"/>
                    <w:ind w:left="-57" w:right="-57"/>
                    <w:jc w:val="center"/>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试验中</w:t>
                  </w:r>
                </w:p>
              </w:tc>
              <w:tc>
                <w:tcPr>
                  <w:tcW w:w="1669" w:type="dxa"/>
                  <w:vAlign w:val="center"/>
                </w:tcPr>
                <w:p w14:paraId="2888E09F">
                  <w:pPr>
                    <w:pStyle w:val="22"/>
                    <w:rPr>
                      <w:snapToGrid w:val="0"/>
                    </w:rPr>
                  </w:pPr>
                  <w:r>
                    <w:rPr>
                      <w:snapToGrid w:val="0"/>
                    </w:rPr>
                    <w:t>①限速器工作状态；</w:t>
                  </w:r>
                </w:p>
                <w:p w14:paraId="0BB86F9C">
                  <w:pPr>
                    <w:pStyle w:val="19"/>
                    <w:spacing w:line="280" w:lineRule="exact"/>
                    <w:ind w:left="-57" w:right="-5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w:t>
                  </w:r>
                  <w:r>
                    <w:rPr>
                      <w:rFonts w:hAnsiTheme="minorEastAsia" w:eastAsiaTheme="minorEastAsia"/>
                      <w:snapToGrid w:val="0"/>
                      <w:color w:val="000000" w:themeColor="text1"/>
                      <w:spacing w:val="-4"/>
                      <w:sz w:val="21"/>
                      <w:szCs w:val="21"/>
                      <w14:textFill>
                        <w14:solidFill>
                          <w14:schemeClr w14:val="tx1"/>
                        </w14:solidFill>
                      </w14:textFill>
                    </w:rPr>
                    <w:t>驱动主机启动、</w:t>
                  </w:r>
                </w:p>
              </w:tc>
              <w:tc>
                <w:tcPr>
                  <w:tcW w:w="2860" w:type="dxa"/>
                  <w:vAlign w:val="center"/>
                </w:tcPr>
                <w:p w14:paraId="0EBE82EE">
                  <w:pPr>
                    <w:pStyle w:val="22"/>
                    <w:rPr>
                      <w:snapToGrid w:val="0"/>
                    </w:rPr>
                  </w:pPr>
                  <w:r>
                    <w:rPr>
                      <w:snapToGrid w:val="0"/>
                    </w:rPr>
                    <w:t>将含有检验人员、设备唯一性标识、驱动主机滞留、限速器停止运转的四个（或三个）视</w:t>
                  </w:r>
                </w:p>
              </w:tc>
            </w:tr>
          </w:tbl>
          <w:p w14:paraId="339FDD89">
            <w:pPr>
              <w:spacing w:line="180" w:lineRule="exact"/>
            </w:pPr>
          </w:p>
          <w:tbl>
            <w:tblPr>
              <w:tblStyle w:val="12"/>
              <w:tblW w:w="555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28"/>
              <w:gridCol w:w="1669"/>
              <w:gridCol w:w="2860"/>
            </w:tblGrid>
            <w:tr w14:paraId="381E3F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28" w:type="dxa"/>
                  <w:vAlign w:val="center"/>
                </w:tcPr>
                <w:p w14:paraId="68A1A545">
                  <w:pPr>
                    <w:pStyle w:val="19"/>
                    <w:spacing w:line="280" w:lineRule="exact"/>
                    <w:ind w:left="-57" w:right="-57"/>
                    <w:jc w:val="center"/>
                    <w:rPr>
                      <w:rFonts w:hAnsiTheme="minorEastAsia" w:eastAsiaTheme="minorEastAsia"/>
                      <w:snapToGrid w:val="0"/>
                      <w:color w:val="000000" w:themeColor="text1"/>
                      <w:sz w:val="21"/>
                      <w:szCs w:val="21"/>
                      <w14:textFill>
                        <w14:solidFill>
                          <w14:schemeClr w14:val="tx1"/>
                        </w14:solidFill>
                      </w14:textFill>
                    </w:rPr>
                  </w:pPr>
                </w:p>
              </w:tc>
              <w:tc>
                <w:tcPr>
                  <w:tcW w:w="1669" w:type="dxa"/>
                  <w:vAlign w:val="center"/>
                </w:tcPr>
                <w:p w14:paraId="2942F242">
                  <w:pPr>
                    <w:pStyle w:val="22"/>
                    <w:rPr>
                      <w:snapToGrid w:val="0"/>
                    </w:rPr>
                  </w:pPr>
                  <w:r>
                    <w:rPr>
                      <w:snapToGrid w:val="0"/>
                    </w:rPr>
                    <w:t>运行和制停的全过程</w:t>
                  </w:r>
                </w:p>
                <w:p w14:paraId="77DB8A09">
                  <w:pPr>
                    <w:pStyle w:val="22"/>
                    <w:rPr>
                      <w:snapToGrid w:val="0"/>
                    </w:rPr>
                  </w:pPr>
                  <w:r>
                    <w:rPr>
                      <w:snapToGrid w:val="0"/>
                    </w:rPr>
                    <w:t>注：采用无限速器的瞬时安全钳，触发方法由厂家实验工艺制定</w:t>
                  </w:r>
                </w:p>
              </w:tc>
              <w:tc>
                <w:tcPr>
                  <w:tcW w:w="2860" w:type="dxa"/>
                </w:tcPr>
                <w:p w14:paraId="38E46108">
                  <w:pPr>
                    <w:pStyle w:val="22"/>
                    <w:rPr>
                      <w:snapToGrid w:val="0"/>
                    </w:rPr>
                  </w:pPr>
                  <w:r>
                    <w:rPr>
                      <w:snapToGrid w:val="0"/>
                    </w:rPr>
                    <w:t>频以报告编号+试验名称为名称存档至统一文件夹内，例如：“张三+李四、铭牌（或张三+李四+铭牌）、驱动主机、限速器”。文件夹名称修改为报告编号。</w:t>
                  </w:r>
                </w:p>
              </w:tc>
            </w:tr>
            <w:tr w14:paraId="742176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28" w:type="dxa"/>
                  <w:vMerge w:val="restart"/>
                  <w:vAlign w:val="center"/>
                </w:tcPr>
                <w:p w14:paraId="01697B29">
                  <w:pPr>
                    <w:pStyle w:val="19"/>
                    <w:spacing w:line="280" w:lineRule="exact"/>
                    <w:ind w:left="-57" w:right="-57"/>
                    <w:jc w:val="center"/>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注意事项</w:t>
                  </w:r>
                </w:p>
              </w:tc>
              <w:tc>
                <w:tcPr>
                  <w:tcW w:w="4529" w:type="dxa"/>
                  <w:gridSpan w:val="2"/>
                  <w:vAlign w:val="center"/>
                </w:tcPr>
                <w:p w14:paraId="36CBBAC3">
                  <w:pPr>
                    <w:pStyle w:val="22"/>
                    <w:rPr>
                      <w:snapToGrid w:val="0"/>
                    </w:rPr>
                  </w:pPr>
                  <w:r>
                    <w:rPr>
                      <w:snapToGrid w:val="0"/>
                    </w:rPr>
                    <w:t>①音像记录应清晰，采集部位能完整在画面中被记录</w:t>
                  </w:r>
                </w:p>
              </w:tc>
            </w:tr>
            <w:tr w14:paraId="6DC712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028" w:type="dxa"/>
                  <w:vMerge w:val="continue"/>
                  <w:vAlign w:val="center"/>
                </w:tcPr>
                <w:p w14:paraId="77709C96">
                  <w:pPr>
                    <w:pStyle w:val="19"/>
                    <w:spacing w:line="280" w:lineRule="exact"/>
                    <w:ind w:left="-57" w:right="-57"/>
                    <w:jc w:val="center"/>
                    <w:rPr>
                      <w:rFonts w:hAnsiTheme="minorEastAsia" w:eastAsiaTheme="minorEastAsia"/>
                      <w:snapToGrid w:val="0"/>
                      <w:color w:val="000000" w:themeColor="text1"/>
                      <w:sz w:val="21"/>
                      <w:szCs w:val="21"/>
                      <w14:textFill>
                        <w14:solidFill>
                          <w14:schemeClr w14:val="tx1"/>
                        </w14:solidFill>
                      </w14:textFill>
                    </w:rPr>
                  </w:pPr>
                </w:p>
              </w:tc>
              <w:tc>
                <w:tcPr>
                  <w:tcW w:w="4529" w:type="dxa"/>
                  <w:gridSpan w:val="2"/>
                  <w:vAlign w:val="center"/>
                </w:tcPr>
                <w:p w14:paraId="700F618C">
                  <w:pPr>
                    <w:pStyle w:val="22"/>
                    <w:rPr>
                      <w:snapToGrid w:val="0"/>
                    </w:rPr>
                  </w:pPr>
                  <w:r>
                    <w:rPr>
                      <w:snapToGrid w:val="0"/>
                    </w:rPr>
                    <w:t>②本细则发布实施后若有新的规定和要求，从其规定和要求</w:t>
                  </w:r>
                </w:p>
              </w:tc>
            </w:tr>
          </w:tbl>
          <w:p w14:paraId="2298EA01">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检查对重限速器、对重安全钳动作情况和试验后电梯的状况，且应满足以下要求：</w:t>
            </w:r>
          </w:p>
          <w:p w14:paraId="258D2EAA">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①限速器被可靠触发，无其他异常现场；采用除限速器以外方式触发的，按照制造（改造）单位的试验方法实施，无异常情况出现；</w:t>
            </w:r>
          </w:p>
          <w:p w14:paraId="33A2C78E">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③安全钳电气开关按规定被触发、安全钳动作可靠；</w:t>
            </w:r>
          </w:p>
          <w:p w14:paraId="48F5BF6A">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④对重被可靠制停，未出现对电梯正常使用有不利影响的损坏（允许导轨有轻微损伤或更换摩擦部件）。</w:t>
            </w:r>
          </w:p>
          <w:p w14:paraId="066B13B9">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（2）定期检验或者按照定期检验要求进行的监督检验时适用。由施工单位按照制造（改造）单位规定的方法进行，检验人员现场观察确认，试验工况为轿厢空载、检修速度上行。</w:t>
            </w:r>
          </w:p>
          <w:p w14:paraId="412208BA">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符合性判定要求同本条第（1）款</w:t>
            </w:r>
            <w:r>
              <w:rPr>
                <w:rFonts w:hint="eastAsia" w:hAnsiTheme="minorEastAsia" w:eastAsiaTheme="minorEastAsia"/>
                <w:snapToGrid w:val="0"/>
                <w:color w:val="000000" w:themeColor="text1"/>
                <w:sz w:val="21"/>
                <w:szCs w:val="21"/>
                <w14:textFill>
                  <w14:solidFill>
                    <w14:schemeClr w14:val="tx1"/>
                  </w14:solidFill>
                </w14:textFill>
              </w:rPr>
              <w:t>。</w:t>
            </w:r>
          </w:p>
        </w:tc>
      </w:tr>
      <w:tr w14:paraId="041554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36" w:hRule="atLeast"/>
          <w:jc w:val="center"/>
        </w:trPr>
        <w:tc>
          <w:tcPr>
            <w:tcW w:w="927" w:type="dxa"/>
            <w:vAlign w:val="center"/>
          </w:tcPr>
          <w:p w14:paraId="48FF6EE4">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*A1.3.6</w:t>
            </w:r>
          </w:p>
        </w:tc>
        <w:tc>
          <w:tcPr>
            <w:tcW w:w="984" w:type="dxa"/>
            <w:vAlign w:val="center"/>
          </w:tcPr>
          <w:p w14:paraId="3134BC2F">
            <w:pPr>
              <w:pStyle w:val="19"/>
              <w:spacing w:line="280" w:lineRule="exact"/>
              <w:jc w:val="center"/>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缓冲器</w:t>
            </w:r>
          </w:p>
          <w:p w14:paraId="1848CEAF">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w:t>
            </w:r>
          </w:p>
        </w:tc>
        <w:tc>
          <w:tcPr>
            <w:tcW w:w="6316" w:type="dxa"/>
            <w:vAlign w:val="center"/>
          </w:tcPr>
          <w:p w14:paraId="03F59872">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轿厢空载，以检修速度运行的工况使缓冲器被压缩，轿厢（运载装置）、对重停在其上再离开后，观察缓冲器是否未出现对电梯正常使用有不利影响的损坏（如明显倾斜、断裂、塑性变形、剥落、破损等）。</w:t>
            </w:r>
          </w:p>
        </w:tc>
        <w:tc>
          <w:tcPr>
            <w:tcW w:w="5791" w:type="dxa"/>
            <w:gridSpan w:val="4"/>
            <w:vAlign w:val="center"/>
          </w:tcPr>
          <w:p w14:paraId="12984D3C">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所有电梯适用。</w:t>
            </w:r>
          </w:p>
          <w:p w14:paraId="34E208FF">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试验，满足以下要求时判定为符合：</w:t>
            </w:r>
          </w:p>
          <w:p w14:paraId="547080B9">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由施工单位按制造（改造）单位方法或参考下述步骤实施，检验人员现场观察确认：</w:t>
            </w:r>
          </w:p>
          <w:p w14:paraId="2B9C9FAC">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①轿厢（运载装置）空载置于行程末端位置附近；</w:t>
            </w:r>
          </w:p>
          <w:p w14:paraId="3BABDA3A">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②人为使上下两端限位开关（如果有）、极限位置限制装置和耗能型缓冲器验证柱塞复位的开关（如果有）失效；</w:t>
            </w:r>
          </w:p>
          <w:p w14:paraId="396C3C35">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③以检修速度提升或下降轿厢（运载装置），使对重（轿厢[运载装置]）完全压在缓冲器上，直至缓冲器无法进一步压缩；</w:t>
            </w:r>
          </w:p>
          <w:p w14:paraId="5CB9101E">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④以检修速度反方向下降或提升轿厢（运载装置）；</w:t>
            </w:r>
          </w:p>
          <w:p w14:paraId="3603D253">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⑤当对重（轿厢[运载装置]）离开缓冲器后，观察缓冲器状况。未出现对电梯正常使用有不利影响的损坏（如明显倾斜、断裂、塑性变形、剥落、破损等）。</w:t>
            </w:r>
          </w:p>
          <w:p w14:paraId="7E89D8A0">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当采用非金属材质非线性蓄能型缓冲器时，应对试验过程进行音像记录，并满足表A1-16的内容和要求：</w:t>
            </w:r>
          </w:p>
          <w:p w14:paraId="729BF555">
            <w:pPr>
              <w:pStyle w:val="19"/>
              <w:spacing w:line="280" w:lineRule="exact"/>
              <w:ind w:left="79" w:right="137"/>
              <w:jc w:val="both"/>
              <w:rPr>
                <w:rFonts w:hint="eastAsia"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表A1-16缓冲器试验音像记录要求</w:t>
            </w:r>
          </w:p>
          <w:p w14:paraId="0B743C7F">
            <w:pPr>
              <w:pStyle w:val="19"/>
              <w:spacing w:line="280" w:lineRule="exact"/>
              <w:ind w:left="79" w:right="137"/>
              <w:jc w:val="both"/>
              <w:rPr>
                <w:rFonts w:hint="eastAsia" w:hAnsiTheme="minorEastAsia" w:eastAsiaTheme="minorEastAsia"/>
                <w:snapToGrid w:val="0"/>
                <w:color w:val="000000" w:themeColor="text1"/>
                <w:sz w:val="21"/>
                <w:szCs w:val="21"/>
                <w14:textFill>
                  <w14:solidFill>
                    <w14:schemeClr w14:val="tx1"/>
                  </w14:solidFill>
                </w14:textFill>
              </w:rPr>
            </w:pPr>
          </w:p>
          <w:tbl>
            <w:tblPr>
              <w:tblStyle w:val="12"/>
              <w:tblW w:w="55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2268"/>
              <w:gridCol w:w="2403"/>
            </w:tblGrid>
            <w:tr w14:paraId="3A35E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vAlign w:val="center"/>
                </w:tcPr>
                <w:p w14:paraId="0B132B26">
                  <w:pPr>
                    <w:pStyle w:val="19"/>
                    <w:overflowPunct w:val="0"/>
                    <w:snapToGrid w:val="0"/>
                    <w:spacing w:line="280" w:lineRule="exact"/>
                    <w:jc w:val="center"/>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w:t>
                  </w:r>
                </w:p>
                <w:p w14:paraId="39A0C803">
                  <w:pPr>
                    <w:pStyle w:val="19"/>
                    <w:spacing w:line="280" w:lineRule="exact"/>
                    <w:jc w:val="center"/>
                    <w:rPr>
                      <w:rFonts w:hint="eastAsia"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过程</w:t>
                  </w:r>
                </w:p>
              </w:tc>
              <w:tc>
                <w:tcPr>
                  <w:tcW w:w="2268" w:type="dxa"/>
                  <w:vAlign w:val="center"/>
                </w:tcPr>
                <w:p w14:paraId="7C2B141B">
                  <w:pPr>
                    <w:pStyle w:val="19"/>
                    <w:spacing w:line="280" w:lineRule="exact"/>
                    <w:jc w:val="center"/>
                    <w:rPr>
                      <w:rFonts w:hint="eastAsia"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音像记录内容</w:t>
                  </w:r>
                </w:p>
              </w:tc>
              <w:tc>
                <w:tcPr>
                  <w:tcW w:w="2403" w:type="dxa"/>
                  <w:vAlign w:val="center"/>
                </w:tcPr>
                <w:p w14:paraId="53869BE3">
                  <w:pPr>
                    <w:pStyle w:val="19"/>
                    <w:spacing w:line="280" w:lineRule="exact"/>
                    <w:jc w:val="center"/>
                    <w:rPr>
                      <w:rFonts w:hint="eastAsia"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记录要求</w:t>
                  </w:r>
                </w:p>
              </w:tc>
            </w:tr>
            <w:tr w14:paraId="7841F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vAlign w:val="center"/>
                </w:tcPr>
                <w:p w14:paraId="2A22380F">
                  <w:pPr>
                    <w:pStyle w:val="19"/>
                    <w:spacing w:line="280" w:lineRule="exact"/>
                    <w:jc w:val="center"/>
                    <w:rPr>
                      <w:rFonts w:hint="eastAsia"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试验前</w:t>
                  </w:r>
                </w:p>
              </w:tc>
              <w:tc>
                <w:tcPr>
                  <w:tcW w:w="2268" w:type="dxa"/>
                  <w:vAlign w:val="center"/>
                </w:tcPr>
                <w:p w14:paraId="0B18021E">
                  <w:pPr>
                    <w:pStyle w:val="19"/>
                    <w:spacing w:line="280" w:lineRule="exact"/>
                    <w:jc w:val="both"/>
                    <w:rPr>
                      <w:rFonts w:hint="eastAsia"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①检验人员身份</w:t>
                  </w:r>
                </w:p>
              </w:tc>
              <w:tc>
                <w:tcPr>
                  <w:tcW w:w="2403" w:type="dxa"/>
                  <w:vAlign w:val="center"/>
                </w:tcPr>
                <w:p w14:paraId="4745009B">
                  <w:pPr>
                    <w:pStyle w:val="19"/>
                    <w:spacing w:line="280" w:lineRule="exact"/>
                    <w:jc w:val="both"/>
                    <w:rPr>
                      <w:rFonts w:hint="eastAsia"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机房内或紧急控制屏处录制检验人员（</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人）</w:t>
                  </w:r>
                </w:p>
              </w:tc>
            </w:tr>
            <w:tr w14:paraId="44B40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vMerge w:val="restart"/>
                  <w:vAlign w:val="center"/>
                </w:tcPr>
                <w:p w14:paraId="5871049E">
                  <w:pPr>
                    <w:pStyle w:val="19"/>
                    <w:spacing w:line="280" w:lineRule="exact"/>
                    <w:jc w:val="center"/>
                    <w:rPr>
                      <w:rFonts w:hint="eastAsia"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试验中</w:t>
                  </w:r>
                </w:p>
              </w:tc>
              <w:tc>
                <w:tcPr>
                  <w:tcW w:w="2268" w:type="dxa"/>
                  <w:vAlign w:val="center"/>
                </w:tcPr>
                <w:p w14:paraId="21DCECEA">
                  <w:pPr>
                    <w:pStyle w:val="19"/>
                    <w:spacing w:line="280" w:lineRule="exact"/>
                    <w:jc w:val="both"/>
                    <w:rPr>
                      <w:rFonts w:hint="eastAsia"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①受检电梯的唯一性标识</w:t>
                  </w:r>
                </w:p>
              </w:tc>
              <w:tc>
                <w:tcPr>
                  <w:tcW w:w="2403" w:type="dxa"/>
                  <w:vAlign w:val="center"/>
                </w:tcPr>
                <w:p w14:paraId="02728934">
                  <w:pPr>
                    <w:pStyle w:val="19"/>
                    <w:spacing w:line="280" w:lineRule="exact"/>
                    <w:jc w:val="both"/>
                    <w:rPr>
                      <w:rFonts w:hint="eastAsia"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如曳引机或控制柜等编号等</w:t>
                  </w:r>
                </w:p>
              </w:tc>
            </w:tr>
            <w:tr w14:paraId="6CBE8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vMerge w:val="continue"/>
                  <w:vAlign w:val="center"/>
                </w:tcPr>
                <w:p w14:paraId="24B15054">
                  <w:pPr>
                    <w:pStyle w:val="19"/>
                    <w:spacing w:line="280" w:lineRule="exact"/>
                    <w:jc w:val="center"/>
                    <w:rPr>
                      <w:rFonts w:hint="eastAsia" w:hAnsiTheme="minorEastAsia" w:eastAsiaTheme="minorEastAsia"/>
                      <w:snapToGrid w:val="0"/>
                      <w:color w:val="000000" w:themeColor="text1"/>
                      <w:sz w:val="21"/>
                      <w:szCs w:val="21"/>
                      <w14:textFill>
                        <w14:solidFill>
                          <w14:schemeClr w14:val="tx1"/>
                        </w14:solidFill>
                      </w14:textFill>
                    </w:rPr>
                  </w:pPr>
                </w:p>
              </w:tc>
              <w:tc>
                <w:tcPr>
                  <w:tcW w:w="2268" w:type="dxa"/>
                  <w:vAlign w:val="center"/>
                </w:tcPr>
                <w:p w14:paraId="023A0C9D">
                  <w:pPr>
                    <w:pStyle w:val="21"/>
                    <w:overflowPunct w:val="0"/>
                    <w:adjustRightInd w:val="0"/>
                    <w:snapToGrid w:val="0"/>
                    <w:spacing w:line="280" w:lineRule="exact"/>
                    <w:ind w:firstLine="0" w:firstLineChars="0"/>
                    <w:jc w:val="both"/>
                    <w:rPr>
                      <w:rFonts w:cs="Times New Roman" w:asciiTheme="minorEastAsia" w:hAnsiTheme="minorEastAsia" w:eastAsiaTheme="minorEastAsia"/>
                      <w:snapToGrid w:val="0"/>
                      <w:color w:val="000000" w:themeColor="text1"/>
                      <w:sz w:val="21"/>
                      <w:szCs w:val="21"/>
                      <w:lang w:eastAsia="zh-CN"/>
                      <w14:textFill>
                        <w14:solidFill>
                          <w14:schemeClr w14:val="tx1"/>
                        </w14:solidFill>
                      </w14:textFill>
                    </w:rPr>
                  </w:pPr>
                </w:p>
              </w:tc>
              <w:tc>
                <w:tcPr>
                  <w:tcW w:w="2403" w:type="dxa"/>
                  <w:vAlign w:val="center"/>
                </w:tcPr>
                <w:p w14:paraId="7909C22D">
                  <w:pPr>
                    <w:pStyle w:val="19"/>
                    <w:spacing w:line="280" w:lineRule="exact"/>
                    <w:jc w:val="both"/>
                    <w:rPr>
                      <w:rFonts w:hAnsiTheme="minorEastAsia" w:eastAsiaTheme="minorEastAsia"/>
                      <w:snapToGrid w:val="0"/>
                      <w:color w:val="000000" w:themeColor="text1"/>
                      <w:sz w:val="21"/>
                      <w:szCs w:val="21"/>
                      <w14:textFill>
                        <w14:solidFill>
                          <w14:schemeClr w14:val="tx1"/>
                        </w14:solidFill>
                      </w14:textFill>
                    </w:rPr>
                  </w:pPr>
                </w:p>
              </w:tc>
            </w:tr>
            <w:tr w14:paraId="08064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vMerge w:val="continue"/>
                  <w:vAlign w:val="center"/>
                </w:tcPr>
                <w:p w14:paraId="4A58368E">
                  <w:pPr>
                    <w:pStyle w:val="19"/>
                    <w:spacing w:line="280" w:lineRule="exact"/>
                    <w:jc w:val="center"/>
                    <w:rPr>
                      <w:rFonts w:hint="eastAsia" w:hAnsiTheme="minorEastAsia" w:eastAsiaTheme="minorEastAsia"/>
                      <w:snapToGrid w:val="0"/>
                      <w:color w:val="000000" w:themeColor="text1"/>
                      <w:sz w:val="21"/>
                      <w:szCs w:val="21"/>
                      <w14:textFill>
                        <w14:solidFill>
                          <w14:schemeClr w14:val="tx1"/>
                        </w14:solidFill>
                      </w14:textFill>
                    </w:rPr>
                  </w:pPr>
                </w:p>
              </w:tc>
              <w:tc>
                <w:tcPr>
                  <w:tcW w:w="2268" w:type="dxa"/>
                  <w:vAlign w:val="center"/>
                </w:tcPr>
                <w:p w14:paraId="0BE4D72D">
                  <w:pPr>
                    <w:pStyle w:val="21"/>
                    <w:overflowPunct w:val="0"/>
                    <w:adjustRightInd w:val="0"/>
                    <w:snapToGrid w:val="0"/>
                    <w:spacing w:line="280" w:lineRule="exact"/>
                    <w:ind w:firstLine="0" w:firstLineChars="0"/>
                    <w:jc w:val="both"/>
                    <w:rPr>
                      <w:rFonts w:cs="Times New Roman" w:asciiTheme="minorEastAsia" w:hAnsiTheme="minorEastAsia" w:eastAsiaTheme="minorEastAsia"/>
                      <w:snapToGrid w:val="0"/>
                      <w:color w:val="000000" w:themeColor="text1"/>
                      <w:sz w:val="21"/>
                      <w:szCs w:val="21"/>
                      <w:lang w:eastAsia="zh-CN"/>
                      <w14:textFill>
                        <w14:solidFill>
                          <w14:schemeClr w14:val="tx1"/>
                        </w14:solidFill>
                      </w14:textFill>
                    </w:rPr>
                  </w:pPr>
                </w:p>
              </w:tc>
              <w:tc>
                <w:tcPr>
                  <w:tcW w:w="2403" w:type="dxa"/>
                  <w:vAlign w:val="center"/>
                </w:tcPr>
                <w:p w14:paraId="08A66EAD">
                  <w:pPr>
                    <w:pStyle w:val="19"/>
                    <w:spacing w:line="280" w:lineRule="exact"/>
                    <w:jc w:val="both"/>
                    <w:rPr>
                      <w:rFonts w:hAnsiTheme="minorEastAsia" w:eastAsiaTheme="minorEastAsia"/>
                      <w:snapToGrid w:val="0"/>
                      <w:color w:val="000000" w:themeColor="text1"/>
                      <w:sz w:val="21"/>
                      <w:szCs w:val="21"/>
                      <w14:textFill>
                        <w14:solidFill>
                          <w14:schemeClr w14:val="tx1"/>
                        </w14:solidFill>
                      </w14:textFill>
                    </w:rPr>
                  </w:pPr>
                </w:p>
              </w:tc>
            </w:tr>
            <w:tr w14:paraId="2CFFA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vMerge w:val="continue"/>
                  <w:vAlign w:val="center"/>
                </w:tcPr>
                <w:p w14:paraId="318F76CF">
                  <w:pPr>
                    <w:pStyle w:val="19"/>
                    <w:spacing w:line="280" w:lineRule="exact"/>
                    <w:jc w:val="center"/>
                    <w:rPr>
                      <w:rFonts w:hint="eastAsia" w:hAnsiTheme="minorEastAsia" w:eastAsiaTheme="minorEastAsia"/>
                      <w:snapToGrid w:val="0"/>
                      <w:color w:val="000000" w:themeColor="text1"/>
                      <w:sz w:val="21"/>
                      <w:szCs w:val="21"/>
                      <w14:textFill>
                        <w14:solidFill>
                          <w14:schemeClr w14:val="tx1"/>
                        </w14:solidFill>
                      </w14:textFill>
                    </w:rPr>
                  </w:pPr>
                </w:p>
              </w:tc>
              <w:tc>
                <w:tcPr>
                  <w:tcW w:w="2268" w:type="dxa"/>
                  <w:vAlign w:val="center"/>
                </w:tcPr>
                <w:p w14:paraId="48D085CE">
                  <w:pPr>
                    <w:pStyle w:val="21"/>
                    <w:overflowPunct w:val="0"/>
                    <w:adjustRightInd w:val="0"/>
                    <w:snapToGrid w:val="0"/>
                    <w:spacing w:line="280" w:lineRule="exact"/>
                    <w:ind w:firstLine="0" w:firstLineChars="0"/>
                    <w:jc w:val="both"/>
                    <w:rPr>
                      <w:rFonts w:ascii="Times New Roman" w:hAnsi="Times New Roman" w:cs="Times New Roman" w:eastAsiaTheme="minorEastAsia"/>
                      <w:snapToGrid w:val="0"/>
                      <w:color w:val="000000" w:themeColor="text1"/>
                      <w:sz w:val="21"/>
                      <w:szCs w:val="21"/>
                      <w:lang w:eastAsia="zh-CN"/>
                      <w14:textFill>
                        <w14:solidFill>
                          <w14:schemeClr w14:val="tx1"/>
                        </w14:solidFill>
                      </w14:textFill>
                    </w:rPr>
                  </w:pPr>
                  <w:r>
                    <w:rPr>
                      <w:rFonts w:cs="Times New Roman" w:asciiTheme="minorEastAsia" w:hAnsiTheme="minorEastAsia" w:eastAsiaTheme="minorEastAsia"/>
                      <w:snapToGrid w:val="0"/>
                      <w:color w:val="000000" w:themeColor="text1"/>
                      <w:sz w:val="21"/>
                      <w:szCs w:val="21"/>
                      <w:lang w:eastAsia="zh-CN"/>
                      <w14:textFill>
                        <w14:solidFill>
                          <w14:schemeClr w14:val="tx1"/>
                        </w14:solidFill>
                      </w14:textFill>
                    </w:rPr>
                    <w:t>①</w:t>
                  </w:r>
                  <w:r>
                    <w:rPr>
                      <w:rFonts w:ascii="Times New Roman" w:cs="Times New Roman" w:hAnsiTheme="minorEastAsia" w:eastAsiaTheme="minorEastAsia"/>
                      <w:snapToGrid w:val="0"/>
                      <w:color w:val="000000" w:themeColor="text1"/>
                      <w:sz w:val="21"/>
                      <w:szCs w:val="21"/>
                      <w:lang w:eastAsia="zh-CN"/>
                      <w14:textFill>
                        <w14:solidFill>
                          <w14:schemeClr w14:val="tx1"/>
                        </w14:solidFill>
                      </w14:textFill>
                    </w:rPr>
                    <w:t>主机启动、运行、制动（两次）</w:t>
                  </w:r>
                </w:p>
                <w:p w14:paraId="7EE8E215">
                  <w:pPr>
                    <w:pStyle w:val="21"/>
                    <w:overflowPunct w:val="0"/>
                    <w:adjustRightInd w:val="0"/>
                    <w:snapToGrid w:val="0"/>
                    <w:spacing w:line="280" w:lineRule="exact"/>
                    <w:ind w:firstLine="0" w:firstLineChars="0"/>
                    <w:jc w:val="both"/>
                    <w:rPr>
                      <w:rFonts w:hint="eastAsia" w:hAnsiTheme="minorEastAsia" w:eastAsiaTheme="minorEastAsia"/>
                      <w:snapToGrid w:val="0"/>
                      <w:color w:val="000000" w:themeColor="text1"/>
                      <w:sz w:val="21"/>
                      <w:szCs w:val="21"/>
                      <w14:textFill>
                        <w14:solidFill>
                          <w14:schemeClr w14:val="tx1"/>
                        </w14:solidFill>
                      </w14:textFill>
                    </w:rPr>
                  </w:pPr>
                  <w:r>
                    <w:rPr>
                      <w:rFonts w:cs="Times New Roman" w:asciiTheme="minorEastAsia" w:hAnsiTheme="minorEastAsia" w:eastAsiaTheme="minorEastAsia"/>
                      <w:snapToGrid w:val="0"/>
                      <w:color w:val="000000" w:themeColor="text1"/>
                      <w:sz w:val="21"/>
                      <w:szCs w:val="21"/>
                      <w:lang w:eastAsia="zh-CN"/>
                      <w14:textFill>
                        <w14:solidFill>
                          <w14:schemeClr w14:val="tx1"/>
                        </w14:solidFill>
                      </w14:textFill>
                    </w:rPr>
                    <w:t>②</w:t>
                  </w:r>
                  <w:r>
                    <w:rPr>
                      <w:rFonts w:ascii="Times New Roman" w:cs="Times New Roman" w:hAnsiTheme="minorEastAsia" w:eastAsiaTheme="minorEastAsia"/>
                      <w:snapToGrid w:val="0"/>
                      <w:color w:val="000000" w:themeColor="text1"/>
                      <w:sz w:val="21"/>
                      <w:szCs w:val="21"/>
                      <w:lang w:eastAsia="zh-CN"/>
                      <w14:textFill>
                        <w14:solidFill>
                          <w14:schemeClr w14:val="tx1"/>
                        </w14:solidFill>
                      </w14:textFill>
                    </w:rPr>
                    <w:t>缓冲器被压缩前、压</w:t>
                  </w:r>
                </w:p>
              </w:tc>
              <w:tc>
                <w:tcPr>
                  <w:tcW w:w="2403" w:type="dxa"/>
                  <w:vAlign w:val="center"/>
                </w:tcPr>
                <w:p w14:paraId="75C867F0">
                  <w:pPr>
                    <w:pStyle w:val="19"/>
                    <w:spacing w:line="280" w:lineRule="exact"/>
                    <w:jc w:val="both"/>
                    <w:rPr>
                      <w:rFonts w:hint="eastAsia"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将含有检验人员、设备唯一性标识、驱动主机、轿厢缓冲器、对重缓冲</w:t>
                  </w:r>
                </w:p>
              </w:tc>
            </w:tr>
          </w:tbl>
          <w:p w14:paraId="6C5011D8">
            <w:pPr>
              <w:spacing w:line="160" w:lineRule="exact"/>
              <w:rPr>
                <w:rFonts w:hint="eastAsia"/>
              </w:rPr>
            </w:pPr>
          </w:p>
          <w:p w14:paraId="35E0A1FA">
            <w:pPr>
              <w:spacing w:line="160" w:lineRule="exact"/>
            </w:pPr>
          </w:p>
          <w:tbl>
            <w:tblPr>
              <w:tblStyle w:val="12"/>
              <w:tblW w:w="55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2335"/>
              <w:gridCol w:w="2336"/>
            </w:tblGrid>
            <w:tr w14:paraId="1E49E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vAlign w:val="center"/>
                </w:tcPr>
                <w:p w14:paraId="4C2B54AB">
                  <w:pPr>
                    <w:pStyle w:val="19"/>
                    <w:overflowPunct w:val="0"/>
                    <w:snapToGrid w:val="0"/>
                    <w:spacing w:line="280" w:lineRule="exact"/>
                    <w:jc w:val="center"/>
                    <w:rPr>
                      <w:rFonts w:hAnsiTheme="minorEastAsia" w:eastAsiaTheme="minorEastAsia"/>
                      <w:snapToGrid w:val="0"/>
                      <w:color w:val="000000" w:themeColor="text1"/>
                      <w:sz w:val="21"/>
                      <w:szCs w:val="21"/>
                      <w14:textFill>
                        <w14:solidFill>
                          <w14:schemeClr w14:val="tx1"/>
                        </w14:solidFill>
                      </w14:textFill>
                    </w:rPr>
                  </w:pPr>
                </w:p>
              </w:tc>
              <w:tc>
                <w:tcPr>
                  <w:tcW w:w="2335" w:type="dxa"/>
                  <w:vAlign w:val="center"/>
                </w:tcPr>
                <w:p w14:paraId="3153185B">
                  <w:pPr>
                    <w:pStyle w:val="21"/>
                    <w:overflowPunct w:val="0"/>
                    <w:adjustRightInd w:val="0"/>
                    <w:snapToGrid w:val="0"/>
                    <w:spacing w:line="280" w:lineRule="exact"/>
                    <w:ind w:firstLine="0" w:firstLineChars="0"/>
                    <w:jc w:val="both"/>
                    <w:rPr>
                      <w:rFonts w:ascii="Times New Roman" w:hAnsi="Times New Roman" w:cs="Times New Roman" w:eastAsiaTheme="minorEastAsia"/>
                      <w:snapToGrid w:val="0"/>
                      <w:color w:val="000000" w:themeColor="text1"/>
                      <w:sz w:val="21"/>
                      <w:szCs w:val="21"/>
                      <w:lang w:eastAsia="zh-CN"/>
                      <w14:textFill>
                        <w14:solidFill>
                          <w14:schemeClr w14:val="tx1"/>
                        </w14:solidFill>
                      </w14:textFill>
                    </w:rPr>
                  </w:pPr>
                  <w:r>
                    <w:rPr>
                      <w:rFonts w:ascii="Times New Roman" w:cs="Times New Roman" w:hAnsiTheme="minorEastAsia" w:eastAsiaTheme="minorEastAsia"/>
                      <w:snapToGrid w:val="0"/>
                      <w:color w:val="000000" w:themeColor="text1"/>
                      <w:sz w:val="21"/>
                      <w:szCs w:val="21"/>
                      <w:lang w:eastAsia="zh-CN"/>
                      <w14:textFill>
                        <w14:solidFill>
                          <w14:schemeClr w14:val="tx1"/>
                        </w14:solidFill>
                      </w14:textFill>
                    </w:rPr>
                    <w:t>缩时、轿厢离开缓冲器</w:t>
                  </w:r>
                </w:p>
                <w:p w14:paraId="251194B9">
                  <w:pPr>
                    <w:pStyle w:val="19"/>
                    <w:spacing w:line="280" w:lineRule="exact"/>
                    <w:jc w:val="both"/>
                    <w:rPr>
                      <w:rFonts w:hAnsiTheme="minorEastAsia" w:eastAsiaTheme="minorEastAsia"/>
                      <w:snapToGrid w:val="0"/>
                      <w:color w:val="000000" w:themeColor="text1"/>
                      <w:sz w:val="21"/>
                      <w:szCs w:val="21"/>
                      <w14:textFill>
                        <w14:solidFill>
                          <w14:schemeClr w14:val="tx1"/>
                        </w14:solidFill>
                      </w14:textFill>
                    </w:rPr>
                  </w:pPr>
                  <w:r>
                    <w:rPr>
                      <w:rFonts w:asciiTheme="minorEastAsia" w:hAnsiTheme="minorEastAsia" w:eastAsiaTheme="minorEastAsia"/>
                      <w:snapToGrid w:val="0"/>
                      <w:color w:val="000000" w:themeColor="text1"/>
                      <w:sz w:val="21"/>
                      <w:szCs w:val="21"/>
                      <w14:textFill>
                        <w14:solidFill>
                          <w14:schemeClr w14:val="tx1"/>
                        </w14:solidFill>
                      </w14:textFill>
                    </w:rPr>
                    <w:t>③</w:t>
                  </w:r>
                  <w:r>
                    <w:rPr>
                      <w:rFonts w:hAnsiTheme="minorEastAsia" w:eastAsiaTheme="minorEastAsia"/>
                      <w:snapToGrid w:val="0"/>
                      <w:color w:val="000000" w:themeColor="text1"/>
                      <w:sz w:val="21"/>
                      <w:szCs w:val="21"/>
                      <w14:textFill>
                        <w14:solidFill>
                          <w14:schemeClr w14:val="tx1"/>
                        </w14:solidFill>
                      </w14:textFill>
                    </w:rPr>
                    <w:t>缓冲器被压缩前、压缩时、对重离开缓冲器</w:t>
                  </w:r>
                </w:p>
              </w:tc>
              <w:tc>
                <w:tcPr>
                  <w:tcW w:w="2336" w:type="dxa"/>
                  <w:vAlign w:val="center"/>
                </w:tcPr>
                <w:p w14:paraId="0218BFAE">
                  <w:pPr>
                    <w:pStyle w:val="19"/>
                    <w:spacing w:line="280" w:lineRule="exact"/>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器的视频以报告编号</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试验名称为名称存档至统一文件夹内，例如：</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张三</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李四、铭牌（或张三</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李四</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铭牌）、轿厢侧主机、轿厢侧缓冲器、对重侧主机、对重侧缓冲器</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。文件夹名称修改为报告编号</w:t>
                  </w:r>
                  <w:r>
                    <w:rPr>
                      <w:rFonts w:eastAsiaTheme="minorEastAsia"/>
                      <w:snapToGrid w:val="0"/>
                      <w:color w:val="000000" w:themeColor="text1"/>
                      <w:sz w:val="21"/>
                      <w:szCs w:val="21"/>
                      <w14:textFill>
                        <w14:solidFill>
                          <w14:schemeClr w14:val="tx1"/>
                        </w14:solidFill>
                      </w14:textFill>
                    </w:rPr>
                    <w:t>DTYS2024040001</w:t>
                  </w:r>
                  <w:r>
                    <w:rPr>
                      <w:rFonts w:hAnsiTheme="minorEastAsia" w:eastAsiaTheme="minorEastAsia"/>
                      <w:snapToGrid w:val="0"/>
                      <w:color w:val="000000" w:themeColor="text1"/>
                      <w:sz w:val="21"/>
                      <w:szCs w:val="21"/>
                      <w14:textFill>
                        <w14:solidFill>
                          <w14:schemeClr w14:val="tx1"/>
                        </w14:solidFill>
                      </w14:textFill>
                    </w:rPr>
                    <w:t>。</w:t>
                  </w:r>
                </w:p>
              </w:tc>
            </w:tr>
            <w:tr w14:paraId="7D2B5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vAlign w:val="center"/>
                </w:tcPr>
                <w:p w14:paraId="0B0E3CB6">
                  <w:pPr>
                    <w:pStyle w:val="19"/>
                    <w:overflowPunct w:val="0"/>
                    <w:snapToGrid w:val="0"/>
                    <w:spacing w:line="280" w:lineRule="exact"/>
                    <w:jc w:val="center"/>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注意</w:t>
                  </w:r>
                </w:p>
                <w:p w14:paraId="02D309B5">
                  <w:pPr>
                    <w:pStyle w:val="19"/>
                    <w:spacing w:line="280" w:lineRule="exact"/>
                    <w:jc w:val="center"/>
                    <w:rPr>
                      <w:rFonts w:hint="eastAsia"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事项</w:t>
                  </w:r>
                </w:p>
              </w:tc>
              <w:tc>
                <w:tcPr>
                  <w:tcW w:w="4671" w:type="dxa"/>
                  <w:gridSpan w:val="2"/>
                  <w:vAlign w:val="center"/>
                </w:tcPr>
                <w:p w14:paraId="0EA02EC1">
                  <w:pPr>
                    <w:pStyle w:val="19"/>
                    <w:spacing w:line="280" w:lineRule="exact"/>
                    <w:jc w:val="both"/>
                    <w:rPr>
                      <w:rFonts w:hint="eastAsia"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①音像记录应清晰，采集部位能完整在画面中被记录</w:t>
                  </w:r>
                </w:p>
              </w:tc>
            </w:tr>
            <w:tr w14:paraId="1E40B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vAlign w:val="center"/>
                </w:tcPr>
                <w:p w14:paraId="045BFA17">
                  <w:pPr>
                    <w:pStyle w:val="19"/>
                    <w:spacing w:line="280" w:lineRule="exact"/>
                    <w:jc w:val="center"/>
                    <w:rPr>
                      <w:rFonts w:hint="eastAsia" w:hAnsiTheme="minorEastAsia" w:eastAsiaTheme="minorEastAsia"/>
                      <w:snapToGrid w:val="0"/>
                      <w:color w:val="000000" w:themeColor="text1"/>
                      <w:sz w:val="21"/>
                      <w:szCs w:val="21"/>
                      <w14:textFill>
                        <w14:solidFill>
                          <w14:schemeClr w14:val="tx1"/>
                        </w14:solidFill>
                      </w14:textFill>
                    </w:rPr>
                  </w:pPr>
                </w:p>
              </w:tc>
              <w:tc>
                <w:tcPr>
                  <w:tcW w:w="4671" w:type="dxa"/>
                  <w:gridSpan w:val="2"/>
                  <w:vAlign w:val="center"/>
                </w:tcPr>
                <w:p w14:paraId="46CA0B0F">
                  <w:pPr>
                    <w:pStyle w:val="19"/>
                    <w:spacing w:line="280" w:lineRule="exact"/>
                    <w:jc w:val="both"/>
                    <w:rPr>
                      <w:rFonts w:hint="eastAsia"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②本细则发布实施后若有新的规定和要求，从其规定和要求</w:t>
                  </w:r>
                </w:p>
              </w:tc>
            </w:tr>
          </w:tbl>
          <w:p w14:paraId="6298AA11">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p>
        </w:tc>
      </w:tr>
      <w:tr w14:paraId="2BAE78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65" w:hRule="atLeast"/>
          <w:jc w:val="center"/>
        </w:trPr>
        <w:tc>
          <w:tcPr>
            <w:tcW w:w="927" w:type="dxa"/>
            <w:vAlign w:val="center"/>
          </w:tcPr>
          <w:p w14:paraId="2986359B">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A1.3.7.1</w:t>
            </w:r>
          </w:p>
        </w:tc>
        <w:tc>
          <w:tcPr>
            <w:tcW w:w="984" w:type="dxa"/>
            <w:vAlign w:val="center"/>
          </w:tcPr>
          <w:p w14:paraId="7439385B">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轿厢上行超速保护装置试验方法</w:t>
            </w:r>
          </w:p>
        </w:tc>
        <w:tc>
          <w:tcPr>
            <w:tcW w:w="6316" w:type="dxa"/>
            <w:vAlign w:val="center"/>
          </w:tcPr>
          <w:p w14:paraId="1DAA6725">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检查控制柜或者紧急和测试操作屏上是否标有轿厢上行超速保护装置动作试验方法</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6926FD82">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曳引驱动电梯适用。</w:t>
            </w:r>
          </w:p>
          <w:p w14:paraId="6193127C">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目测，满足要求时判定为符合</w:t>
            </w:r>
            <w:r>
              <w:rPr>
                <w:rFonts w:hint="eastAsia" w:hAnsiTheme="minorEastAsia" w:eastAsiaTheme="minorEastAsia"/>
                <w:snapToGrid w:val="0"/>
                <w:color w:val="000000" w:themeColor="text1"/>
                <w:sz w:val="21"/>
                <w:szCs w:val="21"/>
                <w14:textFill>
                  <w14:solidFill>
                    <w14:schemeClr w14:val="tx1"/>
                  </w14:solidFill>
                </w14:textFill>
              </w:rPr>
              <w:t>。</w:t>
            </w:r>
          </w:p>
        </w:tc>
      </w:tr>
      <w:tr w14:paraId="4203F1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91" w:hRule="atLeast"/>
          <w:jc w:val="center"/>
        </w:trPr>
        <w:tc>
          <w:tcPr>
            <w:tcW w:w="927" w:type="dxa"/>
            <w:vAlign w:val="center"/>
          </w:tcPr>
          <w:p w14:paraId="4EA67044">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*A1.3.7.2</w:t>
            </w:r>
          </w:p>
        </w:tc>
        <w:tc>
          <w:tcPr>
            <w:tcW w:w="984" w:type="dxa"/>
            <w:vAlign w:val="center"/>
          </w:tcPr>
          <w:p w14:paraId="780395CD">
            <w:pPr>
              <w:pStyle w:val="19"/>
              <w:spacing w:line="280" w:lineRule="exact"/>
              <w:jc w:val="center"/>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轿厢上行超速保护装置的</w:t>
            </w:r>
          </w:p>
          <w:p w14:paraId="6BE2DBB1">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电气安全装置</w:t>
            </w:r>
          </w:p>
        </w:tc>
        <w:tc>
          <w:tcPr>
            <w:tcW w:w="6316" w:type="dxa"/>
            <w:vAlign w:val="center"/>
          </w:tcPr>
          <w:p w14:paraId="32691540">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检查轿厢上行超速保护装置上的电气安全装置功能是否有效</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53260786">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曳引驱动电梯适用。</w:t>
            </w:r>
          </w:p>
          <w:p w14:paraId="4D7DD7A9">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目测和试验，满足要求时判定为符合</w:t>
            </w:r>
            <w:r>
              <w:rPr>
                <w:rFonts w:hint="eastAsia" w:hAnsiTheme="minorEastAsia" w:eastAsiaTheme="minorEastAsia"/>
                <w:snapToGrid w:val="0"/>
                <w:color w:val="000000" w:themeColor="text1"/>
                <w:sz w:val="21"/>
                <w:szCs w:val="21"/>
                <w14:textFill>
                  <w14:solidFill>
                    <w14:schemeClr w14:val="tx1"/>
                  </w14:solidFill>
                </w14:textFill>
              </w:rPr>
              <w:t>。</w:t>
            </w:r>
          </w:p>
        </w:tc>
      </w:tr>
      <w:tr w14:paraId="680F20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927" w:type="dxa"/>
            <w:vAlign w:val="center"/>
          </w:tcPr>
          <w:p w14:paraId="7103DB47">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*A1.3.7.3</w:t>
            </w:r>
          </w:p>
        </w:tc>
        <w:tc>
          <w:tcPr>
            <w:tcW w:w="984" w:type="dxa"/>
            <w:vAlign w:val="center"/>
          </w:tcPr>
          <w:p w14:paraId="5CC314E6">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轿厢上行超速保护装置监测功能</w:t>
            </w:r>
          </w:p>
        </w:tc>
        <w:tc>
          <w:tcPr>
            <w:tcW w:w="6316" w:type="dxa"/>
            <w:vAlign w:val="center"/>
          </w:tcPr>
          <w:p w14:paraId="57161548">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采用存在内部冗余的制动器作为轿厢上行超速保护装置减速部件的，检查当制动器机械部件动作（松开或者制动）失效或者制动力不足时，是否能够防止电梯正常运行</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52365931">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采用存在内部冗余的制动器作为轿厢上行超速保护装置减速</w:t>
            </w:r>
          </w:p>
          <w:p w14:paraId="2CFEBD0D">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部件的曳引驱动电梯适用。</w:t>
            </w:r>
          </w:p>
          <w:p w14:paraId="2A233228">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试验，满足以下要求时判定为符合：</w:t>
            </w:r>
          </w:p>
          <w:p w14:paraId="7DAF54E3">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由施工单位按照制造（改造）单位规定的方法模拟制动器机械部件动作（松开或者制动）失效或者制动力不足，检验人员现场观察确认，电梯应不能启动</w:t>
            </w:r>
            <w:r>
              <w:rPr>
                <w:rFonts w:hint="eastAsia" w:hAnsiTheme="minorEastAsia" w:eastAsiaTheme="minorEastAsia"/>
                <w:snapToGrid w:val="0"/>
                <w:color w:val="000000" w:themeColor="text1"/>
                <w:sz w:val="21"/>
                <w:szCs w:val="21"/>
                <w14:textFill>
                  <w14:solidFill>
                    <w14:schemeClr w14:val="tx1"/>
                  </w14:solidFill>
                </w14:textFill>
              </w:rPr>
              <w:t>。</w:t>
            </w:r>
          </w:p>
        </w:tc>
      </w:tr>
      <w:tr w14:paraId="32A942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927" w:type="dxa"/>
            <w:vAlign w:val="center"/>
          </w:tcPr>
          <w:p w14:paraId="01234D0B">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*A1.3.7.4</w:t>
            </w:r>
          </w:p>
        </w:tc>
        <w:tc>
          <w:tcPr>
            <w:tcW w:w="984" w:type="dxa"/>
            <w:vAlign w:val="center"/>
          </w:tcPr>
          <w:p w14:paraId="76B5A038">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轿厢上行超速保护装置试验</w:t>
            </w:r>
          </w:p>
        </w:tc>
        <w:tc>
          <w:tcPr>
            <w:tcW w:w="6316" w:type="dxa"/>
            <w:vAlign w:val="center"/>
          </w:tcPr>
          <w:p w14:paraId="3E120280">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按照本附件A1.3.7.1条所述的试验方法进行动作试验，观察轿厢上行超速保护装置动作是否可靠。</w:t>
            </w:r>
          </w:p>
          <w:p w14:paraId="76DD4996">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对于配有轿厢上行超速保护装置但是未按照本附件A1.3.7条要求对其进行过监督检验并且不符合本附件A1.3.7.1条要求的电梯（不要求其必须符合该条要求），定期检验时可以不</w:t>
            </w:r>
            <w:r>
              <w:rPr>
                <w:rFonts w:hint="eastAsia" w:hAnsiTheme="minorEastAsia" w:eastAsiaTheme="minorEastAsia"/>
                <w:snapToGrid w:val="0"/>
                <w:color w:val="000000" w:themeColor="text1"/>
                <w:sz w:val="21"/>
                <w:szCs w:val="21"/>
                <w14:textFill>
                  <w14:solidFill>
                    <w14:schemeClr w14:val="tx1"/>
                  </w14:solidFill>
                </w14:textFill>
              </w:rPr>
              <w:t>作</w:t>
            </w:r>
            <w:r>
              <w:rPr>
                <w:rFonts w:hAnsiTheme="minorEastAsia" w:eastAsiaTheme="minorEastAsia"/>
                <w:snapToGrid w:val="0"/>
                <w:color w:val="000000" w:themeColor="text1"/>
                <w:sz w:val="21"/>
                <w:szCs w:val="21"/>
                <w14:textFill>
                  <w14:solidFill>
                    <w14:schemeClr w14:val="tx1"/>
                  </w14:solidFill>
                </w14:textFill>
              </w:rPr>
              <w:t>要求</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58D8403B">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曳引驱动电梯适用。</w:t>
            </w:r>
          </w:p>
          <w:p w14:paraId="6EB88B22">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试验，满足以下要求时判定为符合：</w:t>
            </w:r>
          </w:p>
          <w:p w14:paraId="3B22B175">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由施工单位按照A1.3.7.1条所述试验方法实施，检验人员现场观察确认，满足要求时判定为符合</w:t>
            </w:r>
            <w:r>
              <w:rPr>
                <w:rFonts w:hint="eastAsia" w:hAnsiTheme="minorEastAsia" w:eastAsiaTheme="minorEastAsia"/>
                <w:snapToGrid w:val="0"/>
                <w:color w:val="000000" w:themeColor="text1"/>
                <w:sz w:val="21"/>
                <w:szCs w:val="21"/>
                <w14:textFill>
                  <w14:solidFill>
                    <w14:schemeClr w14:val="tx1"/>
                  </w14:solidFill>
                </w14:textFill>
              </w:rPr>
              <w:t>。</w:t>
            </w:r>
          </w:p>
        </w:tc>
      </w:tr>
      <w:tr w14:paraId="15AC7A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927" w:type="dxa"/>
            <w:vAlign w:val="center"/>
          </w:tcPr>
          <w:p w14:paraId="331EF929">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A1.3.8.1</w:t>
            </w:r>
          </w:p>
        </w:tc>
        <w:tc>
          <w:tcPr>
            <w:tcW w:w="984" w:type="dxa"/>
            <w:vAlign w:val="center"/>
          </w:tcPr>
          <w:p w14:paraId="0227C14A">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轿厢意外移动保护装置试验方法</w:t>
            </w:r>
          </w:p>
        </w:tc>
        <w:tc>
          <w:tcPr>
            <w:tcW w:w="6316" w:type="dxa"/>
            <w:vAlign w:val="center"/>
          </w:tcPr>
          <w:p w14:paraId="7D9B3CC7">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检查控制柜或者紧急和测试操作屏上是否标有轿厢意外移动保护装置动作试验方法</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43EBFAAB">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曳引驱动乘客与载货电梯、强制驱动载货电梯、曳引驱动消防员电梯、曳引驱动斜行乘客与载货电梯、强制驱动斜行载货电梯适用。</w:t>
            </w:r>
          </w:p>
          <w:p w14:paraId="33BF71AA">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目测，满足要求时判定为符合</w:t>
            </w:r>
            <w:r>
              <w:rPr>
                <w:rFonts w:hint="eastAsia" w:hAnsiTheme="minorEastAsia" w:eastAsiaTheme="minorEastAsia"/>
                <w:snapToGrid w:val="0"/>
                <w:color w:val="000000" w:themeColor="text1"/>
                <w:sz w:val="21"/>
                <w:szCs w:val="21"/>
                <w14:textFill>
                  <w14:solidFill>
                    <w14:schemeClr w14:val="tx1"/>
                  </w14:solidFill>
                </w14:textFill>
              </w:rPr>
              <w:t>。</w:t>
            </w:r>
          </w:p>
        </w:tc>
      </w:tr>
      <w:tr w14:paraId="5E2E83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927" w:type="dxa"/>
            <w:vAlign w:val="center"/>
          </w:tcPr>
          <w:p w14:paraId="127E00D0">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*A1.3.8.2</w:t>
            </w:r>
          </w:p>
        </w:tc>
        <w:tc>
          <w:tcPr>
            <w:tcW w:w="984" w:type="dxa"/>
            <w:vAlign w:val="center"/>
          </w:tcPr>
          <w:p w14:paraId="6AC1293F">
            <w:pPr>
              <w:pStyle w:val="19"/>
              <w:spacing w:line="280" w:lineRule="exact"/>
              <w:jc w:val="center"/>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轿厢意外移动保护装置的</w:t>
            </w:r>
          </w:p>
          <w:p w14:paraId="67B0513D">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电气安全装置</w:t>
            </w:r>
          </w:p>
        </w:tc>
        <w:tc>
          <w:tcPr>
            <w:tcW w:w="6316" w:type="dxa"/>
            <w:vAlign w:val="center"/>
          </w:tcPr>
          <w:p w14:paraId="6DAEB3FF">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检查轿厢意外移动保护装置上的电气安全装置功能是否有效</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1FE7E686">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曳引驱动乘客与载货电梯、强制驱动载货电梯、曳引驱动消防员电梯、曳引驱动斜行乘客与载货电梯、强制驱动斜行载货电梯适用。</w:t>
            </w:r>
          </w:p>
          <w:p w14:paraId="1B3E3B8A">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目测和试验，满足要求时判定为符合</w:t>
            </w:r>
            <w:r>
              <w:rPr>
                <w:rFonts w:hint="eastAsia" w:hAnsiTheme="minorEastAsia" w:eastAsiaTheme="minorEastAsia"/>
                <w:snapToGrid w:val="0"/>
                <w:color w:val="000000" w:themeColor="text1"/>
                <w:sz w:val="21"/>
                <w:szCs w:val="21"/>
                <w14:textFill>
                  <w14:solidFill>
                    <w14:schemeClr w14:val="tx1"/>
                  </w14:solidFill>
                </w14:textFill>
              </w:rPr>
              <w:t>。</w:t>
            </w:r>
          </w:p>
        </w:tc>
      </w:tr>
      <w:tr w14:paraId="5DC87E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38" w:hRule="atLeast"/>
          <w:jc w:val="center"/>
        </w:trPr>
        <w:tc>
          <w:tcPr>
            <w:tcW w:w="927" w:type="dxa"/>
            <w:vAlign w:val="center"/>
          </w:tcPr>
          <w:p w14:paraId="73CAB0B9">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*A1.3.8.3</w:t>
            </w:r>
          </w:p>
        </w:tc>
        <w:tc>
          <w:tcPr>
            <w:tcW w:w="984" w:type="dxa"/>
            <w:vAlign w:val="center"/>
          </w:tcPr>
          <w:p w14:paraId="62200F86">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轿厢意外移动保护装置监测功能</w:t>
            </w:r>
          </w:p>
        </w:tc>
        <w:tc>
          <w:tcPr>
            <w:tcW w:w="6316" w:type="dxa"/>
            <w:vAlign w:val="center"/>
          </w:tcPr>
          <w:p w14:paraId="151E8BCC">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采用存在内部冗余的制动器作为轿厢意外移动保护装置制停部件的，检查当制动器机械部件动作（松开或者制动）失效或者制动力不足时，是否能够关闭轿门和层门，并且能够防止电梯正常运行</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7DA9F6CD">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采用存在内部冗余的制动器作为轿厢意外移动保护装置制停</w:t>
            </w:r>
          </w:p>
          <w:p w14:paraId="06450057">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部件的曳引驱动乘客与载货电梯、强制驱动载货电梯、曳引驱动消防员电梯、曳引驱动斜行乘客与载货电梯、强制驱动斜行载货电梯适用。</w:t>
            </w:r>
          </w:p>
          <w:p w14:paraId="5E47287B">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试验，满足以下要求时判定为符合：</w:t>
            </w:r>
          </w:p>
          <w:p w14:paraId="52F2D5A3">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由施工单位按照制造（改造）单位规定的方法模拟制动器机械部件动作（松开或者制动）失效或者制动力不足，检验人员现场观察确认，电梯能够关闭轿门和层门但不能启动</w:t>
            </w:r>
            <w:r>
              <w:rPr>
                <w:rFonts w:hint="eastAsia" w:hAnsiTheme="minorEastAsia" w:eastAsiaTheme="minorEastAsia"/>
                <w:snapToGrid w:val="0"/>
                <w:color w:val="000000" w:themeColor="text1"/>
                <w:sz w:val="21"/>
                <w:szCs w:val="21"/>
                <w14:textFill>
                  <w14:solidFill>
                    <w14:schemeClr w14:val="tx1"/>
                  </w14:solidFill>
                </w14:textFill>
              </w:rPr>
              <w:t>。</w:t>
            </w:r>
          </w:p>
        </w:tc>
      </w:tr>
      <w:tr w14:paraId="6F0B88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11" w:hRule="atLeast"/>
          <w:jc w:val="center"/>
        </w:trPr>
        <w:tc>
          <w:tcPr>
            <w:tcW w:w="927" w:type="dxa"/>
            <w:vAlign w:val="center"/>
          </w:tcPr>
          <w:p w14:paraId="645E9318">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*A1.3.8.4</w:t>
            </w:r>
          </w:p>
        </w:tc>
        <w:tc>
          <w:tcPr>
            <w:tcW w:w="984" w:type="dxa"/>
            <w:vAlign w:val="center"/>
          </w:tcPr>
          <w:p w14:paraId="46D9532A">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轿厢意外移动保护装置试验</w:t>
            </w:r>
          </w:p>
        </w:tc>
        <w:tc>
          <w:tcPr>
            <w:tcW w:w="6316" w:type="dxa"/>
            <w:vAlign w:val="center"/>
          </w:tcPr>
          <w:p w14:paraId="5639D9C5">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按照本附件A1.3.8.1条所述的试验方法进行动作试验，观察轿厢意外移动保护装置动作是否可靠</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05436781">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曳引驱动乘客与载货电梯、强制驱动载货电梯、曳引驱动消防</w:t>
            </w:r>
          </w:p>
          <w:p w14:paraId="67B772E2">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员电梯、曳引驱动斜行乘客与载货电梯、强制驱动斜行载货电梯适用。</w:t>
            </w:r>
          </w:p>
          <w:p w14:paraId="1FB3C1A8">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试验，满足以下要求时判定为符合：</w:t>
            </w:r>
          </w:p>
          <w:p w14:paraId="11E5C78F">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由施工单位按照A1.3.8.1条所述试验方法实施，检验人员现场观察确认，应满足要求</w:t>
            </w:r>
            <w:r>
              <w:rPr>
                <w:rFonts w:hint="eastAsia" w:hAnsiTheme="minorEastAsia" w:eastAsiaTheme="minorEastAsia"/>
                <w:snapToGrid w:val="0"/>
                <w:color w:val="000000" w:themeColor="text1"/>
                <w:sz w:val="21"/>
                <w:szCs w:val="21"/>
                <w14:textFill>
                  <w14:solidFill>
                    <w14:schemeClr w14:val="tx1"/>
                  </w14:solidFill>
                </w14:textFill>
              </w:rPr>
              <w:t>。</w:t>
            </w:r>
          </w:p>
        </w:tc>
      </w:tr>
      <w:tr w14:paraId="741853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95" w:hRule="atLeast"/>
          <w:jc w:val="center"/>
        </w:trPr>
        <w:tc>
          <w:tcPr>
            <w:tcW w:w="927" w:type="dxa"/>
            <w:vAlign w:val="center"/>
          </w:tcPr>
          <w:p w14:paraId="267E482E">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*A1.3.9</w:t>
            </w:r>
          </w:p>
        </w:tc>
        <w:tc>
          <w:tcPr>
            <w:tcW w:w="984" w:type="dxa"/>
            <w:vAlign w:val="center"/>
          </w:tcPr>
          <w:p w14:paraId="79C4080A">
            <w:pPr>
              <w:pStyle w:val="19"/>
              <w:spacing w:line="280" w:lineRule="exact"/>
              <w:jc w:val="center"/>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破裂阀</w:t>
            </w:r>
          </w:p>
          <w:p w14:paraId="35C149B4">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w:t>
            </w:r>
          </w:p>
        </w:tc>
        <w:tc>
          <w:tcPr>
            <w:tcW w:w="6316" w:type="dxa"/>
            <w:vAlign w:val="center"/>
          </w:tcPr>
          <w:p w14:paraId="483948C5">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检查破裂阀附近是否标有电梯整机制造单位规定的无需轿厢超载即可使破裂阀达到动作流量的手动操作方法。</w:t>
            </w:r>
          </w:p>
          <w:p w14:paraId="0EDDE836">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按照前款所述的方法，以下列工况之一进行试验，观察当达到破裂阀的动作速度时，轿厢是否被可靠制停：</w:t>
            </w:r>
          </w:p>
          <w:p w14:paraId="2367CCDE">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（1）监督检验时，轿厢内装载额定载重量的载荷下行；</w:t>
            </w:r>
          </w:p>
          <w:p w14:paraId="38D2A95A">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（2）定期检验时，轿厢空载下行。</w:t>
            </w:r>
          </w:p>
          <w:p w14:paraId="09960EFC">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注A1-24：本条不适用于采用限速器触发安全钳来防止轿厢坠落、超速下降的间接作用式液压驱动电梯</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7A858AF6">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采用破裂阀或由破裂阀触发的安全钳作为防止轿厢坠落、超速</w:t>
            </w:r>
          </w:p>
          <w:p w14:paraId="609EC2BB">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下降的液压驱动电梯适用。</w:t>
            </w:r>
          </w:p>
          <w:p w14:paraId="7EE28346">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目测破裂阀附近标识的破裂阀手动操作方法，满足以下要求时判定标识符合要求：</w:t>
            </w:r>
          </w:p>
          <w:p w14:paraId="38E3496E">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①由电梯整机制造单位规定；</w:t>
            </w:r>
          </w:p>
          <w:p w14:paraId="41AB5572">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②无需轿厢超载即可使破裂阀达到动作流量；</w:t>
            </w:r>
          </w:p>
          <w:p w14:paraId="76B5B962">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③方法具有可操作性。</w:t>
            </w:r>
          </w:p>
          <w:p w14:paraId="376B3039">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试验，满足以下要求时判定为符合：</w:t>
            </w:r>
          </w:p>
          <w:p w14:paraId="4D0CF9C6">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监督检验时，轿厢内装载额定载重量的载荷下行，由施工单位按照现场标识的方法使破裂阀达到动作流量，检验人员现场观察确认，轿厢应能被可靠制停。试验后将破裂阀恢复到调定值。</w:t>
            </w:r>
          </w:p>
          <w:p w14:paraId="33100EC7">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此项目的检验可与施工单位安装竣工自检一并进行</w:t>
            </w:r>
            <w:r>
              <w:rPr>
                <w:rFonts w:hint="eastAsia" w:hAnsiTheme="minorEastAsia" w:eastAsiaTheme="minorEastAsia"/>
                <w:snapToGrid w:val="0"/>
                <w:color w:val="000000" w:themeColor="text1"/>
                <w:sz w:val="21"/>
                <w:szCs w:val="21"/>
                <w14:textFill>
                  <w14:solidFill>
                    <w14:schemeClr w14:val="tx1"/>
                  </w14:solidFill>
                </w14:textFill>
              </w:rPr>
              <w:t>。</w:t>
            </w:r>
          </w:p>
        </w:tc>
      </w:tr>
      <w:tr w14:paraId="753DBE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44" w:hRule="atLeast"/>
          <w:jc w:val="center"/>
        </w:trPr>
        <w:tc>
          <w:tcPr>
            <w:tcW w:w="927" w:type="dxa"/>
            <w:vAlign w:val="center"/>
          </w:tcPr>
          <w:p w14:paraId="63133CEB">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*A1.3.11.1</w:t>
            </w:r>
          </w:p>
        </w:tc>
        <w:tc>
          <w:tcPr>
            <w:tcW w:w="984" w:type="dxa"/>
            <w:vAlign w:val="center"/>
          </w:tcPr>
          <w:p w14:paraId="714A8268">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空载工况曳引能力试验</w:t>
            </w:r>
          </w:p>
        </w:tc>
        <w:tc>
          <w:tcPr>
            <w:tcW w:w="6316" w:type="dxa"/>
            <w:vAlign w:val="center"/>
          </w:tcPr>
          <w:p w14:paraId="734CC4AF">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（1）轿厢空载，当对重压在缓冲器上而驱动主机按电梯上行方向旋转时，观察悬挂装置是否相对曳引轮打滑，或者驱动主机停止运转；</w:t>
            </w:r>
          </w:p>
          <w:p w14:paraId="464C7430">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（2）轿厢空载，以额定速度上行至行程上部，切断电动机与制动器供电，观察轿厢（运载装置）是否完全停止</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7A8DF042">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曳引驱动电梯适用。</w:t>
            </w:r>
          </w:p>
          <w:p w14:paraId="63F46D9B">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由施工单位实施，检验人员现场观察确认，满足要求时判定为符合</w:t>
            </w:r>
            <w:r>
              <w:rPr>
                <w:rFonts w:hint="eastAsia" w:hAnsiTheme="minorEastAsia" w:eastAsiaTheme="minorEastAsia"/>
                <w:snapToGrid w:val="0"/>
                <w:color w:val="000000" w:themeColor="text1"/>
                <w:sz w:val="21"/>
                <w:szCs w:val="21"/>
                <w14:textFill>
                  <w14:solidFill>
                    <w14:schemeClr w14:val="tx1"/>
                  </w14:solidFill>
                </w14:textFill>
              </w:rPr>
              <w:t>。</w:t>
            </w:r>
          </w:p>
        </w:tc>
      </w:tr>
      <w:tr w14:paraId="5F6A2A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927" w:type="dxa"/>
            <w:vMerge w:val="restart"/>
            <w:vAlign w:val="center"/>
          </w:tcPr>
          <w:p w14:paraId="7F000649">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*A1.3.12.2</w:t>
            </w:r>
          </w:p>
        </w:tc>
        <w:tc>
          <w:tcPr>
            <w:tcW w:w="984" w:type="dxa"/>
            <w:vMerge w:val="restart"/>
            <w:vAlign w:val="center"/>
          </w:tcPr>
          <w:p w14:paraId="72B2B62D">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125%</w:t>
            </w:r>
            <w:r>
              <w:rPr>
                <w:rFonts w:hAnsiTheme="minorEastAsia" w:eastAsiaTheme="minorEastAsia"/>
                <w:snapToGrid w:val="0"/>
                <w:color w:val="000000" w:themeColor="text1"/>
                <w:sz w:val="21"/>
                <w:szCs w:val="21"/>
                <w14:textFill>
                  <w14:solidFill>
                    <w14:schemeClr w14:val="tx1"/>
                  </w14:solidFill>
                </w14:textFill>
              </w:rPr>
              <w:t>额定载重量制动试验</w:t>
            </w:r>
          </w:p>
        </w:tc>
        <w:tc>
          <w:tcPr>
            <w:tcW w:w="6316" w:type="dxa"/>
            <w:vMerge w:val="restart"/>
            <w:vAlign w:val="center"/>
          </w:tcPr>
          <w:p w14:paraId="610CE9C0">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轿厢内装载125%额定载重量的载荷，以额定速度下行至行程下部，切断电动机与制动器供电，观察制动器是否能够使驱动主机停止运转，并且轿厢及其附联部件和导轨等无明显变形和损坏。</w:t>
            </w:r>
          </w:p>
          <w:p w14:paraId="5B82A81D">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注A1-25：试验时间以最近一次试验所在年份为基准，确定后续进行该试验的年份，每6年进行一次。</w:t>
            </w:r>
          </w:p>
        </w:tc>
        <w:tc>
          <w:tcPr>
            <w:tcW w:w="5791" w:type="dxa"/>
            <w:gridSpan w:val="4"/>
            <w:vAlign w:val="center"/>
          </w:tcPr>
          <w:p w14:paraId="0242FC24">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曳引与强制驱动电梯适用。</w:t>
            </w:r>
          </w:p>
          <w:p w14:paraId="5176E769">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本项目可与施工单位安装竣工自检一并进行。试验，满足要求时判定为符合：</w:t>
            </w:r>
          </w:p>
          <w:p w14:paraId="1126E20D">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由施工单位按照以下步骤实施，检验人员现场观察确认：</w:t>
            </w:r>
          </w:p>
          <w:p w14:paraId="63422AF5">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①使超载装置失效；</w:t>
            </w:r>
          </w:p>
          <w:p w14:paraId="0455214D">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②轿厢内均布125%的额定载重量；</w:t>
            </w:r>
          </w:p>
          <w:p w14:paraId="38BEA836">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③电梯以额定速度下行；</w:t>
            </w:r>
          </w:p>
          <w:p w14:paraId="2E532465">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④轿厢运行至行程下部时，切断主电源或紧急停止开关；</w:t>
            </w:r>
          </w:p>
          <w:p w14:paraId="5C9AADA6">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⑤制动器应能够使驱动主机停止运转，并且轿厢及其附联部件和导轨等无明显变形和损坏。</w:t>
            </w:r>
          </w:p>
          <w:p w14:paraId="16C961FF">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试验过程应进行音像记录，并满足表A1-18内容和要求：</w:t>
            </w:r>
          </w:p>
          <w:p w14:paraId="2AE57658">
            <w:pPr>
              <w:pStyle w:val="19"/>
              <w:spacing w:line="260" w:lineRule="exact"/>
              <w:ind w:left="79" w:right="136"/>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表A1-18125%额定载重量制动试验音像记录要求</w:t>
            </w:r>
          </w:p>
        </w:tc>
      </w:tr>
      <w:tr w14:paraId="6FB9A9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927" w:type="dxa"/>
            <w:vMerge w:val="continue"/>
            <w:vAlign w:val="center"/>
          </w:tcPr>
          <w:p w14:paraId="7C373490">
            <w:pPr>
              <w:spacing w:line="280" w:lineRule="exact"/>
              <w:ind w:left="-57" w:right="-57"/>
              <w:jc w:val="center"/>
              <w:rPr>
                <w:rFonts w:eastAsiaTheme="minorEastAsia"/>
                <w:snapToGrid w:val="0"/>
                <w:color w:val="000000" w:themeColor="text1"/>
                <w:kern w:val="0"/>
                <w:szCs w:val="21"/>
                <w14:textFill>
                  <w14:solidFill>
                    <w14:schemeClr w14:val="tx1"/>
                  </w14:solidFill>
                </w14:textFill>
              </w:rPr>
            </w:pPr>
          </w:p>
        </w:tc>
        <w:tc>
          <w:tcPr>
            <w:tcW w:w="984" w:type="dxa"/>
            <w:vMerge w:val="continue"/>
            <w:vAlign w:val="center"/>
          </w:tcPr>
          <w:p w14:paraId="710DB741">
            <w:pPr>
              <w:spacing w:line="280" w:lineRule="exact"/>
              <w:jc w:val="center"/>
              <w:rPr>
                <w:rFonts w:eastAsiaTheme="minorEastAsia"/>
                <w:snapToGrid w:val="0"/>
                <w:color w:val="000000" w:themeColor="text1"/>
                <w:kern w:val="0"/>
                <w:szCs w:val="21"/>
                <w14:textFill>
                  <w14:solidFill>
                    <w14:schemeClr w14:val="tx1"/>
                  </w14:solidFill>
                </w14:textFill>
              </w:rPr>
            </w:pPr>
          </w:p>
        </w:tc>
        <w:tc>
          <w:tcPr>
            <w:tcW w:w="6316" w:type="dxa"/>
            <w:vMerge w:val="continue"/>
            <w:vAlign w:val="center"/>
          </w:tcPr>
          <w:p w14:paraId="7348B91D">
            <w:pPr>
              <w:spacing w:line="280" w:lineRule="exact"/>
              <w:rPr>
                <w:rFonts w:eastAsiaTheme="minorEastAsia"/>
                <w:snapToGrid w:val="0"/>
                <w:color w:val="000000" w:themeColor="text1"/>
                <w:kern w:val="0"/>
                <w:szCs w:val="21"/>
                <w14:textFill>
                  <w14:solidFill>
                    <w14:schemeClr w14:val="tx1"/>
                  </w14:solidFill>
                </w14:textFill>
              </w:rPr>
            </w:pPr>
          </w:p>
        </w:tc>
        <w:tc>
          <w:tcPr>
            <w:tcW w:w="93" w:type="dxa"/>
            <w:vMerge w:val="restart"/>
            <w:vAlign w:val="center"/>
          </w:tcPr>
          <w:p w14:paraId="3C6C9DC7">
            <w:pPr>
              <w:spacing w:line="280" w:lineRule="exact"/>
              <w:rPr>
                <w:rFonts w:eastAsiaTheme="minorEastAsia"/>
                <w:snapToGrid w:val="0"/>
                <w:color w:val="000000" w:themeColor="text1"/>
                <w:kern w:val="0"/>
                <w:szCs w:val="21"/>
                <w14:textFill>
                  <w14:solidFill>
                    <w14:schemeClr w14:val="tx1"/>
                  </w14:solidFill>
                </w14:textFill>
              </w:rPr>
            </w:pPr>
          </w:p>
        </w:tc>
        <w:tc>
          <w:tcPr>
            <w:tcW w:w="624" w:type="dxa"/>
            <w:vAlign w:val="center"/>
          </w:tcPr>
          <w:p w14:paraId="032C1513">
            <w:pPr>
              <w:pStyle w:val="19"/>
              <w:overflowPunct w:val="0"/>
              <w:snapToGrid w:val="0"/>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试验过程</w:t>
            </w:r>
          </w:p>
        </w:tc>
        <w:tc>
          <w:tcPr>
            <w:tcW w:w="2003" w:type="dxa"/>
            <w:vAlign w:val="center"/>
          </w:tcPr>
          <w:p w14:paraId="6EFB4E2C">
            <w:pPr>
              <w:pStyle w:val="19"/>
              <w:overflowPunct w:val="0"/>
              <w:snapToGrid w:val="0"/>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音像记录内容</w:t>
            </w:r>
          </w:p>
        </w:tc>
        <w:tc>
          <w:tcPr>
            <w:tcW w:w="3071" w:type="dxa"/>
            <w:vAlign w:val="center"/>
          </w:tcPr>
          <w:p w14:paraId="70C66537">
            <w:pPr>
              <w:pStyle w:val="19"/>
              <w:overflowPunct w:val="0"/>
              <w:snapToGrid w:val="0"/>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记录要求</w:t>
            </w:r>
          </w:p>
        </w:tc>
      </w:tr>
      <w:tr w14:paraId="6020FD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927" w:type="dxa"/>
            <w:vMerge w:val="continue"/>
            <w:vAlign w:val="center"/>
          </w:tcPr>
          <w:p w14:paraId="60BBECC6">
            <w:pPr>
              <w:spacing w:line="280" w:lineRule="exact"/>
              <w:ind w:left="-57" w:right="-57"/>
              <w:jc w:val="center"/>
              <w:rPr>
                <w:rFonts w:eastAsiaTheme="minorEastAsia"/>
                <w:snapToGrid w:val="0"/>
                <w:color w:val="000000" w:themeColor="text1"/>
                <w:kern w:val="0"/>
                <w:szCs w:val="21"/>
                <w14:textFill>
                  <w14:solidFill>
                    <w14:schemeClr w14:val="tx1"/>
                  </w14:solidFill>
                </w14:textFill>
              </w:rPr>
            </w:pPr>
          </w:p>
        </w:tc>
        <w:tc>
          <w:tcPr>
            <w:tcW w:w="984" w:type="dxa"/>
            <w:vMerge w:val="continue"/>
            <w:vAlign w:val="center"/>
          </w:tcPr>
          <w:p w14:paraId="1CA50741">
            <w:pPr>
              <w:spacing w:line="280" w:lineRule="exact"/>
              <w:jc w:val="center"/>
              <w:rPr>
                <w:rFonts w:eastAsiaTheme="minorEastAsia"/>
                <w:snapToGrid w:val="0"/>
                <w:color w:val="000000" w:themeColor="text1"/>
                <w:kern w:val="0"/>
                <w:szCs w:val="21"/>
                <w14:textFill>
                  <w14:solidFill>
                    <w14:schemeClr w14:val="tx1"/>
                  </w14:solidFill>
                </w14:textFill>
              </w:rPr>
            </w:pPr>
          </w:p>
        </w:tc>
        <w:tc>
          <w:tcPr>
            <w:tcW w:w="6316" w:type="dxa"/>
            <w:vMerge w:val="continue"/>
            <w:vAlign w:val="center"/>
          </w:tcPr>
          <w:p w14:paraId="4AD22097">
            <w:pPr>
              <w:spacing w:line="280" w:lineRule="exact"/>
              <w:rPr>
                <w:rFonts w:eastAsiaTheme="minorEastAsia"/>
                <w:snapToGrid w:val="0"/>
                <w:color w:val="000000" w:themeColor="text1"/>
                <w:kern w:val="0"/>
                <w:szCs w:val="21"/>
                <w14:textFill>
                  <w14:solidFill>
                    <w14:schemeClr w14:val="tx1"/>
                  </w14:solidFill>
                </w14:textFill>
              </w:rPr>
            </w:pPr>
          </w:p>
        </w:tc>
        <w:tc>
          <w:tcPr>
            <w:tcW w:w="93" w:type="dxa"/>
            <w:vMerge w:val="continue"/>
            <w:vAlign w:val="center"/>
          </w:tcPr>
          <w:p w14:paraId="02095981">
            <w:pPr>
              <w:spacing w:line="280" w:lineRule="exact"/>
              <w:rPr>
                <w:rFonts w:eastAsiaTheme="minorEastAsia"/>
                <w:snapToGrid w:val="0"/>
                <w:color w:val="000000" w:themeColor="text1"/>
                <w:kern w:val="0"/>
                <w:szCs w:val="21"/>
                <w14:textFill>
                  <w14:solidFill>
                    <w14:schemeClr w14:val="tx1"/>
                  </w14:solidFill>
                </w14:textFill>
              </w:rPr>
            </w:pPr>
          </w:p>
        </w:tc>
        <w:tc>
          <w:tcPr>
            <w:tcW w:w="624" w:type="dxa"/>
            <w:vMerge w:val="restart"/>
            <w:vAlign w:val="center"/>
          </w:tcPr>
          <w:p w14:paraId="4AF9E632">
            <w:pPr>
              <w:pStyle w:val="19"/>
              <w:overflowPunct w:val="0"/>
              <w:snapToGrid w:val="0"/>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试验前</w:t>
            </w:r>
          </w:p>
        </w:tc>
        <w:tc>
          <w:tcPr>
            <w:tcW w:w="2003" w:type="dxa"/>
            <w:vAlign w:val="center"/>
          </w:tcPr>
          <w:p w14:paraId="28CD1AB7">
            <w:pPr>
              <w:pStyle w:val="19"/>
              <w:overflowPunct w:val="0"/>
              <w:snapToGrid w:val="0"/>
              <w:spacing w:line="280" w:lineRule="exact"/>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①检验人员身份</w:t>
            </w:r>
          </w:p>
        </w:tc>
        <w:tc>
          <w:tcPr>
            <w:tcW w:w="3071" w:type="dxa"/>
            <w:vAlign w:val="center"/>
          </w:tcPr>
          <w:p w14:paraId="23ACA97F">
            <w:pPr>
              <w:pStyle w:val="19"/>
              <w:overflowPunct w:val="0"/>
              <w:snapToGrid w:val="0"/>
              <w:spacing w:line="280" w:lineRule="exact"/>
              <w:ind w:left="85"/>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机房或紧急控制屏处录制</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名检验人员</w:t>
            </w:r>
          </w:p>
        </w:tc>
      </w:tr>
      <w:tr w14:paraId="69558C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927" w:type="dxa"/>
            <w:vMerge w:val="continue"/>
            <w:vAlign w:val="center"/>
          </w:tcPr>
          <w:p w14:paraId="3053D8E5">
            <w:pPr>
              <w:spacing w:line="280" w:lineRule="exact"/>
              <w:ind w:left="-57" w:right="-57"/>
              <w:jc w:val="center"/>
              <w:rPr>
                <w:rFonts w:eastAsiaTheme="minorEastAsia"/>
                <w:snapToGrid w:val="0"/>
                <w:color w:val="000000" w:themeColor="text1"/>
                <w:kern w:val="0"/>
                <w:szCs w:val="21"/>
                <w14:textFill>
                  <w14:solidFill>
                    <w14:schemeClr w14:val="tx1"/>
                  </w14:solidFill>
                </w14:textFill>
              </w:rPr>
            </w:pPr>
          </w:p>
        </w:tc>
        <w:tc>
          <w:tcPr>
            <w:tcW w:w="984" w:type="dxa"/>
            <w:vMerge w:val="continue"/>
            <w:vAlign w:val="center"/>
          </w:tcPr>
          <w:p w14:paraId="725C409A">
            <w:pPr>
              <w:spacing w:line="280" w:lineRule="exact"/>
              <w:jc w:val="center"/>
              <w:rPr>
                <w:rFonts w:eastAsiaTheme="minorEastAsia"/>
                <w:snapToGrid w:val="0"/>
                <w:color w:val="000000" w:themeColor="text1"/>
                <w:kern w:val="0"/>
                <w:szCs w:val="21"/>
                <w14:textFill>
                  <w14:solidFill>
                    <w14:schemeClr w14:val="tx1"/>
                  </w14:solidFill>
                </w14:textFill>
              </w:rPr>
            </w:pPr>
          </w:p>
        </w:tc>
        <w:tc>
          <w:tcPr>
            <w:tcW w:w="6316" w:type="dxa"/>
            <w:vMerge w:val="continue"/>
            <w:vAlign w:val="center"/>
          </w:tcPr>
          <w:p w14:paraId="36D3877D">
            <w:pPr>
              <w:spacing w:line="280" w:lineRule="exact"/>
              <w:rPr>
                <w:rFonts w:eastAsiaTheme="minorEastAsia"/>
                <w:snapToGrid w:val="0"/>
                <w:color w:val="000000" w:themeColor="text1"/>
                <w:kern w:val="0"/>
                <w:szCs w:val="21"/>
                <w14:textFill>
                  <w14:solidFill>
                    <w14:schemeClr w14:val="tx1"/>
                  </w14:solidFill>
                </w14:textFill>
              </w:rPr>
            </w:pPr>
          </w:p>
        </w:tc>
        <w:tc>
          <w:tcPr>
            <w:tcW w:w="93" w:type="dxa"/>
            <w:vMerge w:val="continue"/>
            <w:vAlign w:val="center"/>
          </w:tcPr>
          <w:p w14:paraId="781C9C40">
            <w:pPr>
              <w:spacing w:line="280" w:lineRule="exact"/>
              <w:rPr>
                <w:rFonts w:eastAsiaTheme="minorEastAsia"/>
                <w:snapToGrid w:val="0"/>
                <w:color w:val="000000" w:themeColor="text1"/>
                <w:kern w:val="0"/>
                <w:szCs w:val="21"/>
                <w14:textFill>
                  <w14:solidFill>
                    <w14:schemeClr w14:val="tx1"/>
                  </w14:solidFill>
                </w14:textFill>
              </w:rPr>
            </w:pPr>
          </w:p>
        </w:tc>
        <w:tc>
          <w:tcPr>
            <w:tcW w:w="624" w:type="dxa"/>
            <w:vMerge w:val="continue"/>
            <w:vAlign w:val="center"/>
          </w:tcPr>
          <w:p w14:paraId="39F95D93">
            <w:pPr>
              <w:overflowPunct w:val="0"/>
              <w:autoSpaceDE w:val="0"/>
              <w:autoSpaceDN w:val="0"/>
              <w:adjustRightInd w:val="0"/>
              <w:snapToGrid w:val="0"/>
              <w:spacing w:line="280" w:lineRule="exact"/>
              <w:ind w:left="-57" w:right="-57"/>
              <w:jc w:val="center"/>
              <w:rPr>
                <w:rFonts w:eastAsiaTheme="minorEastAsia"/>
                <w:snapToGrid w:val="0"/>
                <w:color w:val="000000" w:themeColor="text1"/>
                <w:kern w:val="0"/>
                <w:szCs w:val="21"/>
                <w14:textFill>
                  <w14:solidFill>
                    <w14:schemeClr w14:val="tx1"/>
                  </w14:solidFill>
                </w14:textFill>
              </w:rPr>
            </w:pPr>
          </w:p>
        </w:tc>
        <w:tc>
          <w:tcPr>
            <w:tcW w:w="2003" w:type="dxa"/>
            <w:vAlign w:val="center"/>
          </w:tcPr>
          <w:p w14:paraId="7367DF71">
            <w:pPr>
              <w:pStyle w:val="19"/>
              <w:overflowPunct w:val="0"/>
              <w:snapToGrid w:val="0"/>
              <w:spacing w:line="280" w:lineRule="exact"/>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②载荷放置情况</w:t>
            </w:r>
          </w:p>
        </w:tc>
        <w:tc>
          <w:tcPr>
            <w:tcW w:w="3071" w:type="dxa"/>
            <w:vAlign w:val="center"/>
          </w:tcPr>
          <w:p w14:paraId="17A2AC41">
            <w:pPr>
              <w:pStyle w:val="19"/>
              <w:overflowPunct w:val="0"/>
              <w:snapToGrid w:val="0"/>
              <w:spacing w:line="280" w:lineRule="exact"/>
              <w:ind w:left="85"/>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记录本条试验规定的完整载荷</w:t>
            </w:r>
          </w:p>
        </w:tc>
      </w:tr>
      <w:tr w14:paraId="0B1C87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927" w:type="dxa"/>
            <w:vMerge w:val="continue"/>
            <w:vAlign w:val="center"/>
          </w:tcPr>
          <w:p w14:paraId="7A5B943F">
            <w:pPr>
              <w:spacing w:line="280" w:lineRule="exact"/>
              <w:ind w:left="-57" w:right="-57"/>
              <w:jc w:val="center"/>
              <w:rPr>
                <w:rFonts w:eastAsiaTheme="minorEastAsia"/>
                <w:snapToGrid w:val="0"/>
                <w:color w:val="000000" w:themeColor="text1"/>
                <w:kern w:val="0"/>
                <w:szCs w:val="21"/>
                <w14:textFill>
                  <w14:solidFill>
                    <w14:schemeClr w14:val="tx1"/>
                  </w14:solidFill>
                </w14:textFill>
              </w:rPr>
            </w:pPr>
          </w:p>
        </w:tc>
        <w:tc>
          <w:tcPr>
            <w:tcW w:w="984" w:type="dxa"/>
            <w:vMerge w:val="continue"/>
            <w:vAlign w:val="center"/>
          </w:tcPr>
          <w:p w14:paraId="595AADD2">
            <w:pPr>
              <w:spacing w:line="280" w:lineRule="exact"/>
              <w:jc w:val="center"/>
              <w:rPr>
                <w:rFonts w:eastAsiaTheme="minorEastAsia"/>
                <w:snapToGrid w:val="0"/>
                <w:color w:val="000000" w:themeColor="text1"/>
                <w:kern w:val="0"/>
                <w:szCs w:val="21"/>
                <w14:textFill>
                  <w14:solidFill>
                    <w14:schemeClr w14:val="tx1"/>
                  </w14:solidFill>
                </w14:textFill>
              </w:rPr>
            </w:pPr>
          </w:p>
        </w:tc>
        <w:tc>
          <w:tcPr>
            <w:tcW w:w="6316" w:type="dxa"/>
            <w:vMerge w:val="continue"/>
            <w:vAlign w:val="center"/>
          </w:tcPr>
          <w:p w14:paraId="6AC83EB8">
            <w:pPr>
              <w:spacing w:line="280" w:lineRule="exact"/>
              <w:rPr>
                <w:rFonts w:eastAsiaTheme="minorEastAsia"/>
                <w:snapToGrid w:val="0"/>
                <w:color w:val="000000" w:themeColor="text1"/>
                <w:kern w:val="0"/>
                <w:szCs w:val="21"/>
                <w14:textFill>
                  <w14:solidFill>
                    <w14:schemeClr w14:val="tx1"/>
                  </w14:solidFill>
                </w14:textFill>
              </w:rPr>
            </w:pPr>
          </w:p>
        </w:tc>
        <w:tc>
          <w:tcPr>
            <w:tcW w:w="93" w:type="dxa"/>
            <w:vMerge w:val="continue"/>
            <w:vAlign w:val="center"/>
          </w:tcPr>
          <w:p w14:paraId="54A5468E">
            <w:pPr>
              <w:spacing w:line="280" w:lineRule="exact"/>
              <w:rPr>
                <w:rFonts w:eastAsiaTheme="minorEastAsia"/>
                <w:snapToGrid w:val="0"/>
                <w:color w:val="000000" w:themeColor="text1"/>
                <w:kern w:val="0"/>
                <w:szCs w:val="21"/>
                <w14:textFill>
                  <w14:solidFill>
                    <w14:schemeClr w14:val="tx1"/>
                  </w14:solidFill>
                </w14:textFill>
              </w:rPr>
            </w:pPr>
          </w:p>
        </w:tc>
        <w:tc>
          <w:tcPr>
            <w:tcW w:w="624" w:type="dxa"/>
            <w:vMerge w:val="continue"/>
            <w:vAlign w:val="center"/>
          </w:tcPr>
          <w:p w14:paraId="5556F63E">
            <w:pPr>
              <w:overflowPunct w:val="0"/>
              <w:autoSpaceDE w:val="0"/>
              <w:autoSpaceDN w:val="0"/>
              <w:adjustRightInd w:val="0"/>
              <w:snapToGrid w:val="0"/>
              <w:spacing w:line="280" w:lineRule="exact"/>
              <w:ind w:left="-57" w:right="-57"/>
              <w:jc w:val="center"/>
              <w:rPr>
                <w:rFonts w:eastAsiaTheme="minorEastAsia"/>
                <w:snapToGrid w:val="0"/>
                <w:color w:val="000000" w:themeColor="text1"/>
                <w:kern w:val="0"/>
                <w:szCs w:val="21"/>
                <w14:textFill>
                  <w14:solidFill>
                    <w14:schemeClr w14:val="tx1"/>
                  </w14:solidFill>
                </w14:textFill>
              </w:rPr>
            </w:pPr>
          </w:p>
        </w:tc>
        <w:tc>
          <w:tcPr>
            <w:tcW w:w="2003" w:type="dxa"/>
            <w:vAlign w:val="center"/>
          </w:tcPr>
          <w:p w14:paraId="4B2B8662">
            <w:pPr>
              <w:pStyle w:val="19"/>
              <w:overflowPunct w:val="0"/>
              <w:snapToGrid w:val="0"/>
              <w:spacing w:line="280" w:lineRule="exact"/>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③受检电梯的唯一性标识</w:t>
            </w:r>
          </w:p>
        </w:tc>
        <w:tc>
          <w:tcPr>
            <w:tcW w:w="3071" w:type="dxa"/>
            <w:vAlign w:val="center"/>
          </w:tcPr>
          <w:p w14:paraId="73FB3588">
            <w:pPr>
              <w:pStyle w:val="19"/>
              <w:overflowPunct w:val="0"/>
              <w:snapToGrid w:val="0"/>
              <w:spacing w:line="280" w:lineRule="exact"/>
              <w:ind w:left="85"/>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如驱动主机编号或者控制柜编号等</w:t>
            </w:r>
          </w:p>
        </w:tc>
      </w:tr>
      <w:tr w14:paraId="4DB7E4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927" w:type="dxa"/>
            <w:vMerge w:val="continue"/>
            <w:vAlign w:val="center"/>
          </w:tcPr>
          <w:p w14:paraId="3A2BABDD">
            <w:pPr>
              <w:spacing w:line="280" w:lineRule="exact"/>
              <w:ind w:left="-57" w:right="-57"/>
              <w:jc w:val="center"/>
              <w:rPr>
                <w:rFonts w:eastAsiaTheme="minorEastAsia"/>
                <w:snapToGrid w:val="0"/>
                <w:color w:val="000000" w:themeColor="text1"/>
                <w:kern w:val="0"/>
                <w:szCs w:val="21"/>
                <w14:textFill>
                  <w14:solidFill>
                    <w14:schemeClr w14:val="tx1"/>
                  </w14:solidFill>
                </w14:textFill>
              </w:rPr>
            </w:pPr>
          </w:p>
        </w:tc>
        <w:tc>
          <w:tcPr>
            <w:tcW w:w="984" w:type="dxa"/>
            <w:vMerge w:val="continue"/>
            <w:vAlign w:val="center"/>
          </w:tcPr>
          <w:p w14:paraId="3596274C">
            <w:pPr>
              <w:spacing w:line="280" w:lineRule="exact"/>
              <w:jc w:val="center"/>
              <w:rPr>
                <w:rFonts w:eastAsiaTheme="minorEastAsia"/>
                <w:snapToGrid w:val="0"/>
                <w:color w:val="000000" w:themeColor="text1"/>
                <w:kern w:val="0"/>
                <w:szCs w:val="21"/>
                <w14:textFill>
                  <w14:solidFill>
                    <w14:schemeClr w14:val="tx1"/>
                  </w14:solidFill>
                </w14:textFill>
              </w:rPr>
            </w:pPr>
          </w:p>
        </w:tc>
        <w:tc>
          <w:tcPr>
            <w:tcW w:w="6316" w:type="dxa"/>
            <w:vMerge w:val="continue"/>
            <w:vAlign w:val="center"/>
          </w:tcPr>
          <w:p w14:paraId="1E077EC3">
            <w:pPr>
              <w:spacing w:line="280" w:lineRule="exact"/>
              <w:rPr>
                <w:rFonts w:eastAsiaTheme="minorEastAsia"/>
                <w:snapToGrid w:val="0"/>
                <w:color w:val="000000" w:themeColor="text1"/>
                <w:kern w:val="0"/>
                <w:szCs w:val="21"/>
                <w14:textFill>
                  <w14:solidFill>
                    <w14:schemeClr w14:val="tx1"/>
                  </w14:solidFill>
                </w14:textFill>
              </w:rPr>
            </w:pPr>
          </w:p>
        </w:tc>
        <w:tc>
          <w:tcPr>
            <w:tcW w:w="93" w:type="dxa"/>
            <w:vMerge w:val="continue"/>
            <w:vAlign w:val="center"/>
          </w:tcPr>
          <w:p w14:paraId="07ED5D8B">
            <w:pPr>
              <w:spacing w:line="280" w:lineRule="exact"/>
              <w:rPr>
                <w:rFonts w:eastAsiaTheme="minorEastAsia"/>
                <w:snapToGrid w:val="0"/>
                <w:color w:val="000000" w:themeColor="text1"/>
                <w:kern w:val="0"/>
                <w:szCs w:val="21"/>
                <w14:textFill>
                  <w14:solidFill>
                    <w14:schemeClr w14:val="tx1"/>
                  </w14:solidFill>
                </w14:textFill>
              </w:rPr>
            </w:pPr>
          </w:p>
        </w:tc>
        <w:tc>
          <w:tcPr>
            <w:tcW w:w="624" w:type="dxa"/>
            <w:vAlign w:val="center"/>
          </w:tcPr>
          <w:p w14:paraId="57F10F93">
            <w:pPr>
              <w:pStyle w:val="19"/>
              <w:overflowPunct w:val="0"/>
              <w:snapToGrid w:val="0"/>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试验中</w:t>
            </w:r>
          </w:p>
        </w:tc>
        <w:tc>
          <w:tcPr>
            <w:tcW w:w="2003" w:type="dxa"/>
            <w:vAlign w:val="center"/>
          </w:tcPr>
          <w:p w14:paraId="48BAD1B8">
            <w:pPr>
              <w:pStyle w:val="19"/>
              <w:overflowPunct w:val="0"/>
              <w:snapToGrid w:val="0"/>
              <w:spacing w:line="280" w:lineRule="exact"/>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①电梯启动、运行和制停的全过程</w:t>
            </w:r>
          </w:p>
          <w:p w14:paraId="0E5C35E4">
            <w:pPr>
              <w:pStyle w:val="19"/>
              <w:overflowPunct w:val="0"/>
              <w:snapToGrid w:val="0"/>
              <w:spacing w:line="280" w:lineRule="exact"/>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②轿厢内载荷状况</w:t>
            </w:r>
          </w:p>
        </w:tc>
        <w:tc>
          <w:tcPr>
            <w:tcW w:w="3071" w:type="dxa"/>
            <w:vAlign w:val="center"/>
          </w:tcPr>
          <w:p w14:paraId="37E9D7F4">
            <w:pPr>
              <w:pStyle w:val="19"/>
              <w:overflowPunct w:val="0"/>
              <w:snapToGrid w:val="0"/>
              <w:spacing w:line="280" w:lineRule="exact"/>
              <w:ind w:left="85"/>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将含有检验人员、设备唯一性标识、驱动主机、轿内载荷的视频以报告编号</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试验名称为名称存档至统一文件夹内，例如：</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张三</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李四、铭牌（或张三</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李四</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铭牌）、驱动主机、轿厢内载荷</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。文件夹名称修改为报告编号。</w:t>
            </w:r>
          </w:p>
        </w:tc>
      </w:tr>
      <w:tr w14:paraId="5DE635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927" w:type="dxa"/>
            <w:vMerge w:val="continue"/>
            <w:vAlign w:val="center"/>
          </w:tcPr>
          <w:p w14:paraId="0666B031">
            <w:pPr>
              <w:spacing w:line="280" w:lineRule="exact"/>
              <w:ind w:left="-57" w:right="-57"/>
              <w:jc w:val="center"/>
              <w:rPr>
                <w:rFonts w:eastAsiaTheme="minorEastAsia"/>
                <w:snapToGrid w:val="0"/>
                <w:color w:val="000000" w:themeColor="text1"/>
                <w:kern w:val="0"/>
                <w:szCs w:val="21"/>
                <w14:textFill>
                  <w14:solidFill>
                    <w14:schemeClr w14:val="tx1"/>
                  </w14:solidFill>
                </w14:textFill>
              </w:rPr>
            </w:pPr>
          </w:p>
        </w:tc>
        <w:tc>
          <w:tcPr>
            <w:tcW w:w="984" w:type="dxa"/>
            <w:vMerge w:val="continue"/>
            <w:vAlign w:val="center"/>
          </w:tcPr>
          <w:p w14:paraId="3E9C76E0">
            <w:pPr>
              <w:spacing w:line="280" w:lineRule="exact"/>
              <w:jc w:val="center"/>
              <w:rPr>
                <w:rFonts w:eastAsiaTheme="minorEastAsia"/>
                <w:snapToGrid w:val="0"/>
                <w:color w:val="000000" w:themeColor="text1"/>
                <w:kern w:val="0"/>
                <w:szCs w:val="21"/>
                <w14:textFill>
                  <w14:solidFill>
                    <w14:schemeClr w14:val="tx1"/>
                  </w14:solidFill>
                </w14:textFill>
              </w:rPr>
            </w:pPr>
          </w:p>
        </w:tc>
        <w:tc>
          <w:tcPr>
            <w:tcW w:w="6316" w:type="dxa"/>
            <w:vMerge w:val="continue"/>
            <w:vAlign w:val="center"/>
          </w:tcPr>
          <w:p w14:paraId="02B0DA20">
            <w:pPr>
              <w:spacing w:line="280" w:lineRule="exact"/>
              <w:rPr>
                <w:rFonts w:eastAsiaTheme="minorEastAsia"/>
                <w:snapToGrid w:val="0"/>
                <w:color w:val="000000" w:themeColor="text1"/>
                <w:kern w:val="0"/>
                <w:szCs w:val="21"/>
                <w14:textFill>
                  <w14:solidFill>
                    <w14:schemeClr w14:val="tx1"/>
                  </w14:solidFill>
                </w14:textFill>
              </w:rPr>
            </w:pPr>
          </w:p>
        </w:tc>
        <w:tc>
          <w:tcPr>
            <w:tcW w:w="93" w:type="dxa"/>
            <w:vMerge w:val="restart"/>
            <w:vAlign w:val="center"/>
          </w:tcPr>
          <w:p w14:paraId="192847CD">
            <w:pPr>
              <w:spacing w:line="280" w:lineRule="exact"/>
              <w:rPr>
                <w:rFonts w:eastAsiaTheme="minorEastAsia"/>
                <w:snapToGrid w:val="0"/>
                <w:color w:val="000000" w:themeColor="text1"/>
                <w:kern w:val="0"/>
                <w:szCs w:val="21"/>
                <w14:textFill>
                  <w14:solidFill>
                    <w14:schemeClr w14:val="tx1"/>
                  </w14:solidFill>
                </w14:textFill>
              </w:rPr>
            </w:pPr>
          </w:p>
        </w:tc>
        <w:tc>
          <w:tcPr>
            <w:tcW w:w="624" w:type="dxa"/>
            <w:vMerge w:val="restart"/>
            <w:vAlign w:val="center"/>
          </w:tcPr>
          <w:p w14:paraId="73558644">
            <w:pPr>
              <w:pStyle w:val="19"/>
              <w:overflowPunct w:val="0"/>
              <w:snapToGrid w:val="0"/>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注意事项</w:t>
            </w:r>
          </w:p>
        </w:tc>
        <w:tc>
          <w:tcPr>
            <w:tcW w:w="5074" w:type="dxa"/>
            <w:gridSpan w:val="2"/>
            <w:vAlign w:val="center"/>
          </w:tcPr>
          <w:p w14:paraId="3849BA74">
            <w:pPr>
              <w:pStyle w:val="19"/>
              <w:overflowPunct w:val="0"/>
              <w:snapToGrid w:val="0"/>
              <w:spacing w:line="280" w:lineRule="exact"/>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①音像记录应清晰，采集部位能完整在画面中被记录</w:t>
            </w:r>
          </w:p>
        </w:tc>
      </w:tr>
      <w:tr w14:paraId="643A73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927" w:type="dxa"/>
            <w:vMerge w:val="continue"/>
            <w:vAlign w:val="center"/>
          </w:tcPr>
          <w:p w14:paraId="328F6E54">
            <w:pPr>
              <w:spacing w:line="280" w:lineRule="exact"/>
              <w:ind w:left="-57" w:right="-57"/>
              <w:jc w:val="center"/>
              <w:rPr>
                <w:rFonts w:eastAsiaTheme="minorEastAsia"/>
                <w:snapToGrid w:val="0"/>
                <w:color w:val="000000" w:themeColor="text1"/>
                <w:kern w:val="0"/>
                <w:szCs w:val="21"/>
                <w14:textFill>
                  <w14:solidFill>
                    <w14:schemeClr w14:val="tx1"/>
                  </w14:solidFill>
                </w14:textFill>
              </w:rPr>
            </w:pPr>
          </w:p>
        </w:tc>
        <w:tc>
          <w:tcPr>
            <w:tcW w:w="984" w:type="dxa"/>
            <w:vMerge w:val="continue"/>
            <w:vAlign w:val="center"/>
          </w:tcPr>
          <w:p w14:paraId="0EACA605">
            <w:pPr>
              <w:spacing w:line="280" w:lineRule="exact"/>
              <w:jc w:val="center"/>
              <w:rPr>
                <w:rFonts w:eastAsiaTheme="minorEastAsia"/>
                <w:snapToGrid w:val="0"/>
                <w:color w:val="000000" w:themeColor="text1"/>
                <w:kern w:val="0"/>
                <w:szCs w:val="21"/>
                <w14:textFill>
                  <w14:solidFill>
                    <w14:schemeClr w14:val="tx1"/>
                  </w14:solidFill>
                </w14:textFill>
              </w:rPr>
            </w:pPr>
          </w:p>
        </w:tc>
        <w:tc>
          <w:tcPr>
            <w:tcW w:w="6316" w:type="dxa"/>
            <w:vMerge w:val="continue"/>
            <w:vAlign w:val="center"/>
          </w:tcPr>
          <w:p w14:paraId="0D248BE9">
            <w:pPr>
              <w:spacing w:line="280" w:lineRule="exact"/>
              <w:rPr>
                <w:rFonts w:eastAsiaTheme="minorEastAsia"/>
                <w:snapToGrid w:val="0"/>
                <w:color w:val="000000" w:themeColor="text1"/>
                <w:kern w:val="0"/>
                <w:szCs w:val="21"/>
                <w14:textFill>
                  <w14:solidFill>
                    <w14:schemeClr w14:val="tx1"/>
                  </w14:solidFill>
                </w14:textFill>
              </w:rPr>
            </w:pPr>
          </w:p>
        </w:tc>
        <w:tc>
          <w:tcPr>
            <w:tcW w:w="93" w:type="dxa"/>
            <w:vMerge w:val="continue"/>
            <w:vAlign w:val="center"/>
          </w:tcPr>
          <w:p w14:paraId="470B7D66">
            <w:pPr>
              <w:spacing w:line="280" w:lineRule="exact"/>
              <w:rPr>
                <w:rFonts w:eastAsiaTheme="minorEastAsia"/>
                <w:snapToGrid w:val="0"/>
                <w:color w:val="000000" w:themeColor="text1"/>
                <w:kern w:val="0"/>
                <w:szCs w:val="21"/>
                <w14:textFill>
                  <w14:solidFill>
                    <w14:schemeClr w14:val="tx1"/>
                  </w14:solidFill>
                </w14:textFill>
              </w:rPr>
            </w:pPr>
          </w:p>
        </w:tc>
        <w:tc>
          <w:tcPr>
            <w:tcW w:w="624" w:type="dxa"/>
            <w:vMerge w:val="continue"/>
            <w:vAlign w:val="center"/>
          </w:tcPr>
          <w:p w14:paraId="44956E20">
            <w:pPr>
              <w:overflowPunct w:val="0"/>
              <w:autoSpaceDE w:val="0"/>
              <w:autoSpaceDN w:val="0"/>
              <w:adjustRightInd w:val="0"/>
              <w:snapToGrid w:val="0"/>
              <w:spacing w:line="280" w:lineRule="exact"/>
              <w:jc w:val="center"/>
              <w:rPr>
                <w:rFonts w:eastAsiaTheme="minorEastAsia"/>
                <w:snapToGrid w:val="0"/>
                <w:color w:val="000000" w:themeColor="text1"/>
                <w:kern w:val="0"/>
                <w:szCs w:val="21"/>
                <w14:textFill>
                  <w14:solidFill>
                    <w14:schemeClr w14:val="tx1"/>
                  </w14:solidFill>
                </w14:textFill>
              </w:rPr>
            </w:pPr>
          </w:p>
        </w:tc>
        <w:tc>
          <w:tcPr>
            <w:tcW w:w="5074" w:type="dxa"/>
            <w:gridSpan w:val="2"/>
            <w:vAlign w:val="center"/>
          </w:tcPr>
          <w:p w14:paraId="4EFCA795">
            <w:pPr>
              <w:pStyle w:val="19"/>
              <w:overflowPunct w:val="0"/>
              <w:snapToGrid w:val="0"/>
              <w:spacing w:line="280" w:lineRule="exact"/>
              <w:jc w:val="both"/>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②本细则发布实施后若有新的规定和要求，从其规定和要求</w:t>
            </w:r>
          </w:p>
        </w:tc>
      </w:tr>
      <w:tr w14:paraId="3BDD6A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927" w:type="dxa"/>
            <w:vAlign w:val="center"/>
          </w:tcPr>
          <w:p w14:paraId="5DAA759D">
            <w:pPr>
              <w:pStyle w:val="19"/>
              <w:spacing w:line="280" w:lineRule="exact"/>
              <w:ind w:left="-57" w:right="-57"/>
              <w:jc w:val="center"/>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A1.3.13</w:t>
            </w:r>
          </w:p>
        </w:tc>
        <w:tc>
          <w:tcPr>
            <w:tcW w:w="984" w:type="dxa"/>
            <w:vAlign w:val="center"/>
          </w:tcPr>
          <w:p w14:paraId="4D21BC2D">
            <w:pPr>
              <w:pStyle w:val="19"/>
              <w:spacing w:line="28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运行试验</w:t>
            </w:r>
          </w:p>
        </w:tc>
        <w:tc>
          <w:tcPr>
            <w:tcW w:w="6316" w:type="dxa"/>
            <w:vAlign w:val="center"/>
          </w:tcPr>
          <w:p w14:paraId="0D2B95D4">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轿厢分别空载、满载，以额定速度上、下运行，观察呼梯、楼层显示等信号系统是否功能有效、指示正确、动作无误，轿厢是否平层良好，无异常现象发生。</w:t>
            </w:r>
          </w:p>
          <w:p w14:paraId="55E4827A">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定期检验时，在轿厢空载工况下进行试验</w:t>
            </w:r>
            <w:r>
              <w:rPr>
                <w:rFonts w:hint="eastAsia" w:hAnsiTheme="minorEastAsia" w:eastAsiaTheme="minorEastAsia"/>
                <w:snapToGrid w:val="0"/>
                <w:color w:val="000000" w:themeColor="text1"/>
                <w:sz w:val="21"/>
                <w:szCs w:val="21"/>
                <w14:textFill>
                  <w14:solidFill>
                    <w14:schemeClr w14:val="tx1"/>
                  </w14:solidFill>
                </w14:textFill>
              </w:rPr>
              <w:t>。</w:t>
            </w:r>
          </w:p>
        </w:tc>
        <w:tc>
          <w:tcPr>
            <w:tcW w:w="5791" w:type="dxa"/>
            <w:gridSpan w:val="4"/>
            <w:vAlign w:val="center"/>
          </w:tcPr>
          <w:p w14:paraId="32F4C37C">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所有电梯适用。</w:t>
            </w:r>
          </w:p>
          <w:p w14:paraId="7D24EFA3">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此项目的检验可与施工单位安装竣工自检一并进行。试验，满足以下要求时判定为符合：</w:t>
            </w:r>
          </w:p>
          <w:p w14:paraId="4FB61819">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由施工单位分别在空载、满载工况下操作电梯以额定速度上、下运行，检验人员现场观察确认：</w:t>
            </w:r>
          </w:p>
          <w:p w14:paraId="393B8938">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①呼梯、楼层显示等信号系统功能有效、指示正确、动作无误；</w:t>
            </w:r>
          </w:p>
          <w:p w14:paraId="77E4B348">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②轿厢平层良好；</w:t>
            </w:r>
          </w:p>
          <w:p w14:paraId="1E37AC47">
            <w:pPr>
              <w:pStyle w:val="19"/>
              <w:spacing w:line="280" w:lineRule="exact"/>
              <w:ind w:left="79" w:right="137"/>
              <w:jc w:val="both"/>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③无其他异常现象发生</w:t>
            </w:r>
            <w:r>
              <w:rPr>
                <w:rFonts w:hint="eastAsia" w:hAnsiTheme="minorEastAsia" w:eastAsiaTheme="minorEastAsia"/>
                <w:snapToGrid w:val="0"/>
                <w:color w:val="000000" w:themeColor="text1"/>
                <w:sz w:val="21"/>
                <w:szCs w:val="21"/>
                <w14:textFill>
                  <w14:solidFill>
                    <w14:schemeClr w14:val="tx1"/>
                  </w14:solidFill>
                </w14:textFill>
              </w:rPr>
              <w:t>。</w:t>
            </w:r>
          </w:p>
        </w:tc>
      </w:tr>
    </w:tbl>
    <w:p w14:paraId="5B7E4EBA">
      <w:pPr>
        <w:widowControl/>
        <w:jc w:val="left"/>
      </w:pPr>
      <w:r>
        <w:rPr>
          <w:rFonts w:hAnsiTheme="minorEastAsia" w:eastAsiaTheme="minorEastAsia"/>
          <w:snapToGrid w:val="0"/>
          <w:color w:val="000000"/>
          <w:kern w:val="0"/>
          <w:szCs w:val="21"/>
        </w:rPr>
        <w:t>注</w:t>
      </w:r>
      <w:r>
        <w:rPr>
          <w:rFonts w:hint="eastAsia" w:hAnsiTheme="minorEastAsia" w:eastAsiaTheme="minorEastAsia"/>
          <w:snapToGrid w:val="0"/>
          <w:color w:val="000000"/>
          <w:kern w:val="0"/>
          <w:szCs w:val="21"/>
        </w:rPr>
        <w:t>1</w:t>
      </w:r>
      <w:r>
        <w:rPr>
          <w:rFonts w:hAnsiTheme="minorEastAsia" w:eastAsiaTheme="minorEastAsia"/>
          <w:snapToGrid w:val="0"/>
          <w:color w:val="000000"/>
          <w:kern w:val="0"/>
          <w:szCs w:val="21"/>
        </w:rPr>
        <w:t>：</w:t>
      </w:r>
      <w:r>
        <w:rPr>
          <w:rFonts w:eastAsiaTheme="minorEastAsia"/>
          <w:snapToGrid w:val="0"/>
          <w:color w:val="000000"/>
          <w:kern w:val="0"/>
          <w:szCs w:val="21"/>
        </w:rPr>
        <w:t>*</w:t>
      </w:r>
      <w:r>
        <w:rPr>
          <w:rFonts w:hAnsiTheme="minorEastAsia" w:eastAsiaTheme="minorEastAsia"/>
          <w:snapToGrid w:val="0"/>
          <w:color w:val="000000"/>
          <w:kern w:val="0"/>
          <w:szCs w:val="21"/>
        </w:rPr>
        <w:t>项为</w:t>
      </w:r>
      <w:r>
        <w:rPr>
          <w:rFonts w:hint="eastAsia" w:hAnsiTheme="minorEastAsia" w:eastAsiaTheme="minorEastAsia"/>
          <w:snapToGrid w:val="0"/>
          <w:color w:val="000000"/>
          <w:kern w:val="0"/>
          <w:szCs w:val="21"/>
        </w:rPr>
        <w:t>关键</w:t>
      </w:r>
      <w:r>
        <w:rPr>
          <w:rFonts w:hAnsiTheme="minorEastAsia" w:eastAsiaTheme="minorEastAsia"/>
          <w:snapToGrid w:val="0"/>
          <w:color w:val="000000"/>
          <w:kern w:val="0"/>
          <w:szCs w:val="21"/>
        </w:rPr>
        <w:t>项</w:t>
      </w:r>
      <w:r>
        <w:rPr>
          <w:rFonts w:hint="eastAsia" w:hAnsiTheme="minorEastAsia" w:eastAsiaTheme="minorEastAsia"/>
          <w:snapToGrid w:val="0"/>
          <w:color w:val="000000"/>
          <w:kern w:val="0"/>
          <w:szCs w:val="21"/>
        </w:rPr>
        <w:t>，</w:t>
      </w:r>
      <w:r>
        <w:rPr>
          <w:rFonts w:hAnsiTheme="minorEastAsia" w:eastAsiaTheme="minorEastAsia"/>
          <w:snapToGrid w:val="0"/>
          <w:color w:val="000000"/>
          <w:kern w:val="0"/>
          <w:szCs w:val="21"/>
        </w:rPr>
        <w:t>其余项为一般项。</w:t>
      </w:r>
    </w:p>
    <w:p w14:paraId="632B1233">
      <w:pPr>
        <w:spacing w:line="265" w:lineRule="exact"/>
      </w:pPr>
      <w:r>
        <w:rPr>
          <w:rFonts w:hint="eastAsia"/>
        </w:rPr>
        <w:t>注2：对于允许按照GB 7588--1995《电梯制造与安装安全规范》及更早期标准生产的电梯，如果本附件A1.2.4.7条第(4)项中的电气安全装置和A1.3.7条未按照《电梯监督检验和定期检验规则--曳引与强制驱动电梯》(TSG T7001-2009)进行过检验，并且未按照本规则进行过监督</w:t>
      </w:r>
    </w:p>
    <w:p w14:paraId="19F72297">
      <w:pPr>
        <w:spacing w:line="265" w:lineRule="exact"/>
      </w:pPr>
      <w:r>
        <w:rPr>
          <w:rFonts w:hint="eastAsia"/>
        </w:rPr>
        <w:t>检验，定期检验时可以不检验。</w:t>
      </w:r>
    </w:p>
    <w:p w14:paraId="1CE343B9">
      <w:pPr>
        <w:spacing w:line="265" w:lineRule="exact"/>
      </w:pPr>
      <w:r>
        <w:rPr>
          <w:rFonts w:hint="eastAsia"/>
        </w:rPr>
        <w:t>注3：如果本附件A1.2.3.4条、A1.2.3.6条、A1.3.8条未按照《电梯监督检验和定期检验规则曳引与强制驱动电梯》等4个安全技术规范(TSG T7001~TSG T7004，含第2、第3号修改单)或者本规则进行过监督检验，定期检验时可以不检验。</w:t>
      </w:r>
    </w:p>
    <w:p w14:paraId="0B56AB6C">
      <w:pPr>
        <w:spacing w:line="265" w:lineRule="exact"/>
      </w:pPr>
      <w:r>
        <w:rPr>
          <w:rFonts w:hint="eastAsia"/>
        </w:rPr>
        <w:t>注4：如果本附件A1.2.4.3条第(1)项、A1.2.5.2条第(2)项和第(3)项、A1.2.6.9条、A1.2.7.5条第(3)项、A1.2.7.7条第(2)项未按照本规则进行过监督检验，定期检验时可以不检验。</w:t>
      </w:r>
    </w:p>
    <w:p w14:paraId="38467756">
      <w:pPr>
        <w:spacing w:line="265" w:lineRule="exact"/>
        <w:rPr>
          <w:rFonts w:hint="eastAsia" w:eastAsia="宋体"/>
          <w:lang w:eastAsia="zh-CN"/>
        </w:rPr>
        <w:sectPr>
          <w:headerReference r:id="rId3" w:type="default"/>
          <w:footerReference r:id="rId5" w:type="default"/>
          <w:headerReference r:id="rId4" w:type="even"/>
          <w:footerReference r:id="rId6" w:type="even"/>
          <w:pgSz w:w="16838" w:h="11906" w:orient="landscape"/>
          <w:pgMar w:top="1418" w:right="1418" w:bottom="1418" w:left="1418" w:header="720" w:footer="1474" w:gutter="0"/>
          <w:cols w:space="425" w:num="1"/>
          <w:docGrid w:linePitch="312" w:charSpace="0"/>
        </w:sectPr>
      </w:pPr>
      <w:r>
        <w:rPr>
          <w:rFonts w:hint="eastAsia"/>
        </w:rPr>
        <w:t>注5：本附件表所列检验项目中，A1.2.3.3条第(3)项、A1.2.5.1条、A1.2.5.2条、A1.2.5.3条、A1.2.7.2条仅适用于TSG T7001-2023《电梯监督检验和定期检验规则》4.1条第(2)项所述电梯的定期检验，其余项目适用于本规则4.1条第(1)和第(2)项所述电梯的定期检验</w:t>
      </w:r>
      <w:r>
        <w:rPr>
          <w:rFonts w:hint="eastAsia"/>
          <w:lang w:eastAsia="zh-CN"/>
        </w:rPr>
        <w:t>。</w:t>
      </w:r>
      <w:bookmarkStart w:id="0" w:name="_GoBack"/>
      <w:bookmarkEnd w:id="0"/>
    </w:p>
    <w:p w14:paraId="0FBBB4C2">
      <w:pPr>
        <w:bidi w:val="0"/>
        <w:rPr>
          <w:rFonts w:hint="eastAsia"/>
          <w:lang w:val="en-US" w:eastAsia="zh-CN"/>
        </w:rPr>
      </w:pPr>
    </w:p>
    <w:sectPr>
      <w:headerReference r:id="rId9" w:type="first"/>
      <w:footerReference r:id="rId10" w:type="first"/>
      <w:headerReference r:id="rId7" w:type="default"/>
      <w:headerReference r:id="rId8" w:type="even"/>
      <w:pgSz w:w="11906" w:h="16838"/>
      <w:pgMar w:top="2098" w:right="1531" w:bottom="1985" w:left="1531" w:header="709" w:footer="136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38259A3-A952-4B50-83B4-82AF94664ED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embedRegular r:id="rId2" w:fontKey="{94FEE6B7-AEFB-4996-8B8D-7FF3E7E61871}"/>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601315"/>
      <w:docPartObj>
        <w:docPartGallery w:val="autotext"/>
      </w:docPartObj>
    </w:sdtPr>
    <w:sdtContent>
      <w:p w14:paraId="32B0CC5A">
        <w:pPr>
          <w:pStyle w:val="7"/>
          <w:wordWrap w:val="0"/>
          <w:ind w:firstLine="360"/>
          <w:jc w:val="right"/>
        </w:pPr>
        <w:r>
          <w:rPr>
            <w:rFonts w:hint="eastAsia"/>
            <w:sz w:val="28"/>
            <w:szCs w:val="28"/>
          </w:rPr>
          <w:t xml:space="preserve">— </w:t>
        </w:r>
        <w:r>
          <w:rPr>
            <w:rFonts w:ascii="Times New Roman"/>
            <w:sz w:val="28"/>
            <w:szCs w:val="28"/>
          </w:rPr>
          <w:fldChar w:fldCharType="begin"/>
        </w:r>
        <w:r>
          <w:rPr>
            <w:rFonts w:ascii="Times New Roman"/>
            <w:sz w:val="28"/>
            <w:szCs w:val="28"/>
          </w:rPr>
          <w:instrText xml:space="preserve"> PAGE   \* MERGEFORMAT </w:instrText>
        </w:r>
        <w:r>
          <w:rPr>
            <w:rFonts w:ascii="Times New Roman"/>
            <w:sz w:val="28"/>
            <w:szCs w:val="28"/>
          </w:rPr>
          <w:fldChar w:fldCharType="separate"/>
        </w:r>
        <w:r>
          <w:rPr>
            <w:rFonts w:ascii="Times New Roman"/>
            <w:sz w:val="28"/>
            <w:szCs w:val="28"/>
            <w:lang w:val="zh-CN"/>
          </w:rPr>
          <w:t>1</w:t>
        </w:r>
        <w:r>
          <w:rPr>
            <w:rFonts w:ascii="Times New Roman"/>
            <w:sz w:val="28"/>
            <w:szCs w:val="28"/>
          </w:rPr>
          <w:fldChar w:fldCharType="end"/>
        </w:r>
        <w:r>
          <w:rPr>
            <w:rFonts w:hint="eastAsia"/>
            <w:sz w:val="28"/>
            <w:szCs w:val="28"/>
          </w:rPr>
          <w:t xml:space="preserve"> —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601314"/>
    </w:sdtPr>
    <w:sdtEndPr>
      <w:rPr>
        <w:sz w:val="28"/>
        <w:szCs w:val="28"/>
      </w:rPr>
    </w:sdtEndPr>
    <w:sdtContent>
      <w:p w14:paraId="5B5CAA46">
        <w:pPr>
          <w:pStyle w:val="7"/>
          <w:ind w:firstLine="360"/>
        </w:pPr>
        <w:r>
          <w:rPr>
            <w:rFonts w:hint="eastAsia"/>
            <w:sz w:val="28"/>
            <w:szCs w:val="28"/>
          </w:rPr>
          <w:t xml:space="preserve">— </w:t>
        </w:r>
        <w:r>
          <w:rPr>
            <w:rFonts w:ascii="Times New Roman"/>
            <w:sz w:val="28"/>
            <w:szCs w:val="28"/>
          </w:rPr>
          <w:fldChar w:fldCharType="begin"/>
        </w:r>
        <w:r>
          <w:rPr>
            <w:rFonts w:ascii="Times New Roman"/>
            <w:sz w:val="28"/>
            <w:szCs w:val="28"/>
          </w:rPr>
          <w:instrText xml:space="preserve"> PAGE   \* MERGEFORMAT </w:instrText>
        </w:r>
        <w:r>
          <w:rPr>
            <w:rFonts w:ascii="Times New Roman"/>
            <w:sz w:val="28"/>
            <w:szCs w:val="28"/>
          </w:rPr>
          <w:fldChar w:fldCharType="separate"/>
        </w:r>
        <w:r>
          <w:rPr>
            <w:rFonts w:ascii="Times New Roman"/>
            <w:sz w:val="28"/>
            <w:szCs w:val="28"/>
            <w:lang w:val="zh-CN"/>
          </w:rPr>
          <w:t>4</w:t>
        </w:r>
        <w:r>
          <w:rPr>
            <w:rFonts w:ascii="Times New Roman"/>
            <w:sz w:val="28"/>
            <w:szCs w:val="28"/>
          </w:rPr>
          <w:fldChar w:fldCharType="end"/>
        </w:r>
        <w:r>
          <w:rPr>
            <w:rFonts w:hint="eastAsia"/>
            <w:sz w:val="28"/>
            <w:szCs w:val="28"/>
          </w:rPr>
          <w:t xml:space="preserve"> —</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8F2468">
    <w:pPr>
      <w:pStyle w:val="7"/>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ABB967">
    <w:pPr>
      <w:pStyle w:val="8"/>
      <w:pBdr>
        <w:bottom w:val="none" w:color="auto" w:sz="0" w:space="1"/>
      </w:pBdr>
      <w:ind w:firstLine="360"/>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6405BB">
    <w:pPr>
      <w:pStyle w:val="8"/>
      <w:pBdr>
        <w:bottom w:val="none" w:color="auto" w:sz="0" w:space="0"/>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70E341">
    <w:pPr>
      <w:pStyle w:val="8"/>
      <w:pBdr>
        <w:bottom w:val="none" w:color="auto" w:sz="0" w:space="0"/>
      </w:pBdr>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6AC14">
    <w:pPr>
      <w:pStyle w:val="8"/>
      <w:pBdr>
        <w:bottom w:val="none" w:color="auto" w:sz="0" w:space="0"/>
      </w:pBdr>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645E0B">
    <w:pPr>
      <w:pStyle w:val="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outline"/>
  <w:zoom w:percent="110"/>
  <w:embedTrueTypeFonts/>
  <w:saveSubsetFonts/>
  <w:bordersDoNotSurroundHeader w:val="1"/>
  <w:bordersDoNotSurroundFooter w:val="1"/>
  <w:hideSpellingErrors/>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1MWZhOWM3MTgyYmU3NGE5NWE2MTMyMTc4NThiOTAifQ=="/>
  </w:docVars>
  <w:rsids>
    <w:rsidRoot w:val="002F1DFD"/>
    <w:rsid w:val="0009255A"/>
    <w:rsid w:val="00094B3B"/>
    <w:rsid w:val="000D0719"/>
    <w:rsid w:val="000D4A22"/>
    <w:rsid w:val="000F3FAB"/>
    <w:rsid w:val="00140019"/>
    <w:rsid w:val="00143A88"/>
    <w:rsid w:val="0018065F"/>
    <w:rsid w:val="00187944"/>
    <w:rsid w:val="001B4A4B"/>
    <w:rsid w:val="00231BFF"/>
    <w:rsid w:val="0023388C"/>
    <w:rsid w:val="002754EB"/>
    <w:rsid w:val="00276955"/>
    <w:rsid w:val="002A16CF"/>
    <w:rsid w:val="002D5415"/>
    <w:rsid w:val="002F1DFD"/>
    <w:rsid w:val="00335710"/>
    <w:rsid w:val="00373A77"/>
    <w:rsid w:val="003D682B"/>
    <w:rsid w:val="003E44F3"/>
    <w:rsid w:val="0040742A"/>
    <w:rsid w:val="00424F81"/>
    <w:rsid w:val="0047595C"/>
    <w:rsid w:val="00485DBE"/>
    <w:rsid w:val="00491ADB"/>
    <w:rsid w:val="00492DC7"/>
    <w:rsid w:val="004F4A6E"/>
    <w:rsid w:val="00501D03"/>
    <w:rsid w:val="00554186"/>
    <w:rsid w:val="005657A1"/>
    <w:rsid w:val="005677C3"/>
    <w:rsid w:val="0063788E"/>
    <w:rsid w:val="0064728F"/>
    <w:rsid w:val="006564D0"/>
    <w:rsid w:val="00660751"/>
    <w:rsid w:val="006B40BA"/>
    <w:rsid w:val="006D07C5"/>
    <w:rsid w:val="007423D5"/>
    <w:rsid w:val="007A6442"/>
    <w:rsid w:val="007C3193"/>
    <w:rsid w:val="007D576F"/>
    <w:rsid w:val="007D77F8"/>
    <w:rsid w:val="0081792B"/>
    <w:rsid w:val="008A3F0C"/>
    <w:rsid w:val="008B4BB9"/>
    <w:rsid w:val="008D20CC"/>
    <w:rsid w:val="008E58D0"/>
    <w:rsid w:val="00927E35"/>
    <w:rsid w:val="0095622B"/>
    <w:rsid w:val="009D7CED"/>
    <w:rsid w:val="009F01DC"/>
    <w:rsid w:val="00A255F4"/>
    <w:rsid w:val="00A76FC3"/>
    <w:rsid w:val="00A960C8"/>
    <w:rsid w:val="00AB4F8E"/>
    <w:rsid w:val="00AD5479"/>
    <w:rsid w:val="00B1265B"/>
    <w:rsid w:val="00B345F1"/>
    <w:rsid w:val="00B90794"/>
    <w:rsid w:val="00BA6B5B"/>
    <w:rsid w:val="00C375FF"/>
    <w:rsid w:val="00CC206A"/>
    <w:rsid w:val="00D201C4"/>
    <w:rsid w:val="00D25174"/>
    <w:rsid w:val="00DB5DFA"/>
    <w:rsid w:val="00E33559"/>
    <w:rsid w:val="00E86519"/>
    <w:rsid w:val="00E923F1"/>
    <w:rsid w:val="00EC71E2"/>
    <w:rsid w:val="00F02413"/>
    <w:rsid w:val="00FA5A59"/>
    <w:rsid w:val="06C278B5"/>
    <w:rsid w:val="06D62EC4"/>
    <w:rsid w:val="08893733"/>
    <w:rsid w:val="0DA41AC3"/>
    <w:rsid w:val="0E1F739B"/>
    <w:rsid w:val="0E731911"/>
    <w:rsid w:val="103764A9"/>
    <w:rsid w:val="11E84674"/>
    <w:rsid w:val="125961DD"/>
    <w:rsid w:val="189964EA"/>
    <w:rsid w:val="19A454D9"/>
    <w:rsid w:val="1A694281"/>
    <w:rsid w:val="1AD532A6"/>
    <w:rsid w:val="1C915908"/>
    <w:rsid w:val="1F8C58CF"/>
    <w:rsid w:val="20DF30E6"/>
    <w:rsid w:val="211C215D"/>
    <w:rsid w:val="212451FF"/>
    <w:rsid w:val="22090BF9"/>
    <w:rsid w:val="2268334A"/>
    <w:rsid w:val="23447230"/>
    <w:rsid w:val="25F018F1"/>
    <w:rsid w:val="271B1764"/>
    <w:rsid w:val="2B216FF5"/>
    <w:rsid w:val="2B457803"/>
    <w:rsid w:val="2E33681F"/>
    <w:rsid w:val="2E586AAF"/>
    <w:rsid w:val="2EF064BE"/>
    <w:rsid w:val="2FBD0A96"/>
    <w:rsid w:val="30872E52"/>
    <w:rsid w:val="35B20971"/>
    <w:rsid w:val="35D501BC"/>
    <w:rsid w:val="36435E6F"/>
    <w:rsid w:val="3670588D"/>
    <w:rsid w:val="372314D5"/>
    <w:rsid w:val="37AE73A3"/>
    <w:rsid w:val="390772F9"/>
    <w:rsid w:val="397228F1"/>
    <w:rsid w:val="3C3E4D0D"/>
    <w:rsid w:val="3C933FD2"/>
    <w:rsid w:val="3D314871"/>
    <w:rsid w:val="3E9052B0"/>
    <w:rsid w:val="4151103E"/>
    <w:rsid w:val="41FB544E"/>
    <w:rsid w:val="44A645E7"/>
    <w:rsid w:val="45E57910"/>
    <w:rsid w:val="4B632585"/>
    <w:rsid w:val="4BB42BF9"/>
    <w:rsid w:val="4E571C5E"/>
    <w:rsid w:val="4EF73A73"/>
    <w:rsid w:val="4F0771E0"/>
    <w:rsid w:val="50162CA5"/>
    <w:rsid w:val="52232583"/>
    <w:rsid w:val="53051C89"/>
    <w:rsid w:val="546926EB"/>
    <w:rsid w:val="54BD068F"/>
    <w:rsid w:val="54CA318A"/>
    <w:rsid w:val="54E53DB6"/>
    <w:rsid w:val="5C5D3B6B"/>
    <w:rsid w:val="5E3D2C1E"/>
    <w:rsid w:val="635F7193"/>
    <w:rsid w:val="640D2AD4"/>
    <w:rsid w:val="68DE4AD8"/>
    <w:rsid w:val="6A0107AA"/>
    <w:rsid w:val="6A5D04B6"/>
    <w:rsid w:val="6A6B466F"/>
    <w:rsid w:val="6AAB7FF6"/>
    <w:rsid w:val="71F2621E"/>
    <w:rsid w:val="722D5172"/>
    <w:rsid w:val="74021033"/>
    <w:rsid w:val="74177616"/>
    <w:rsid w:val="755C79D6"/>
    <w:rsid w:val="7B826EBB"/>
    <w:rsid w:val="7C125825"/>
    <w:rsid w:val="7D3C115D"/>
    <w:rsid w:val="7DDC36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3"/>
    <w:next w:val="1"/>
    <w:link w:val="15"/>
    <w:qFormat/>
    <w:uiPriority w:val="0"/>
    <w:pPr>
      <w:keepNext/>
      <w:keepLines/>
      <w:spacing w:line="540" w:lineRule="exact"/>
    </w:pPr>
    <w:rPr>
      <w:rFonts w:ascii="Times New Roman" w:hAnsi="Times New Roman" w:eastAsia="方正小标宋简体"/>
      <w:b w:val="0"/>
      <w:kern w:val="44"/>
      <w:sz w:val="44"/>
      <w:szCs w:val="20"/>
    </w:rPr>
  </w:style>
  <w:style w:type="paragraph" w:styleId="4">
    <w:name w:val="heading 3"/>
    <w:basedOn w:val="1"/>
    <w:next w:val="1"/>
    <w:link w:val="16"/>
    <w:autoRedefine/>
    <w:qFormat/>
    <w:uiPriority w:val="0"/>
    <w:pPr>
      <w:keepNext/>
      <w:keepLines/>
      <w:spacing w:line="540" w:lineRule="exact"/>
      <w:outlineLvl w:val="2"/>
    </w:pPr>
    <w:rPr>
      <w:rFonts w:eastAsia="楷体"/>
      <w:kern w:val="0"/>
      <w:sz w:val="20"/>
      <w:szCs w:val="20"/>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Title"/>
    <w:basedOn w:val="1"/>
    <w:autoRedefine/>
    <w:qFormat/>
    <w:uiPriority w:val="10"/>
    <w:pPr>
      <w:spacing w:before="240" w:after="60"/>
      <w:jc w:val="center"/>
      <w:outlineLvl w:val="0"/>
    </w:pPr>
    <w:rPr>
      <w:rFonts w:ascii="Arial" w:hAnsi="Arial"/>
      <w:b/>
      <w:sz w:val="32"/>
    </w:rPr>
  </w:style>
  <w:style w:type="paragraph" w:styleId="5">
    <w:name w:val="Body Text Indent"/>
    <w:basedOn w:val="1"/>
    <w:autoRedefine/>
    <w:qFormat/>
    <w:uiPriority w:val="0"/>
    <w:pPr>
      <w:spacing w:after="120"/>
      <w:ind w:left="420" w:leftChars="200"/>
    </w:pPr>
  </w:style>
  <w:style w:type="paragraph" w:styleId="6">
    <w:name w:val="Balloon Text"/>
    <w:basedOn w:val="1"/>
    <w:link w:val="17"/>
    <w:autoRedefine/>
    <w:qFormat/>
    <w:uiPriority w:val="0"/>
    <w:rPr>
      <w:sz w:val="18"/>
      <w:szCs w:val="18"/>
    </w:rPr>
  </w:style>
  <w:style w:type="paragraph" w:styleId="7">
    <w:name w:val="footer"/>
    <w:basedOn w:val="1"/>
    <w:link w:val="18"/>
    <w:autoRedefine/>
    <w:qFormat/>
    <w:uiPriority w:val="99"/>
    <w:pPr>
      <w:tabs>
        <w:tab w:val="center" w:pos="4153"/>
        <w:tab w:val="right" w:pos="8306"/>
      </w:tabs>
      <w:snapToGrid w:val="0"/>
      <w:ind w:firstLine="200" w:firstLineChars="200"/>
      <w:jc w:val="left"/>
    </w:pPr>
    <w:rPr>
      <w:rFonts w:ascii="宋体"/>
      <w:color w:val="000000"/>
      <w:kern w:val="0"/>
      <w:sz w:val="18"/>
      <w:szCs w:val="18"/>
    </w:rPr>
  </w:style>
  <w:style w:type="paragraph" w:styleId="8">
    <w:name w:val="header"/>
    <w:basedOn w:val="1"/>
    <w:autoRedefine/>
    <w:qFormat/>
    <w:uiPriority w:val="0"/>
    <w:pPr>
      <w:pBdr>
        <w:bottom w:val="single" w:color="auto" w:sz="6" w:space="1"/>
      </w:pBdr>
      <w:tabs>
        <w:tab w:val="center" w:pos="4153"/>
        <w:tab w:val="right" w:pos="8306"/>
      </w:tabs>
      <w:snapToGrid w:val="0"/>
      <w:ind w:firstLine="200" w:firstLineChars="200"/>
      <w:jc w:val="center"/>
    </w:pPr>
    <w:rPr>
      <w:rFonts w:ascii="宋体"/>
      <w:color w:val="000000"/>
      <w:kern w:val="0"/>
      <w:sz w:val="18"/>
      <w:szCs w:val="18"/>
    </w:rPr>
  </w:style>
  <w:style w:type="paragraph" w:styleId="9">
    <w:name w:val="Body Text Indent 3"/>
    <w:basedOn w:val="1"/>
    <w:autoRedefine/>
    <w:qFormat/>
    <w:uiPriority w:val="0"/>
    <w:pPr>
      <w:spacing w:line="360" w:lineRule="auto"/>
      <w:ind w:firstLine="482" w:firstLineChars="200"/>
    </w:pPr>
    <w:rPr>
      <w:rFonts w:ascii="宋体"/>
      <w:b/>
      <w:bCs/>
      <w:sz w:val="24"/>
    </w:rPr>
  </w:style>
  <w:style w:type="paragraph" w:styleId="10">
    <w:name w:val="Body Text First Indent 2"/>
    <w:basedOn w:val="5"/>
    <w:autoRedefine/>
    <w:qFormat/>
    <w:uiPriority w:val="0"/>
    <w:pPr>
      <w:ind w:firstLine="420" w:firstLineChars="200"/>
    </w:pPr>
    <w:rPr>
      <w:szCs w:val="22"/>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page number"/>
    <w:autoRedefine/>
    <w:qFormat/>
    <w:uiPriority w:val="0"/>
  </w:style>
  <w:style w:type="character" w:customStyle="1" w:styleId="15">
    <w:name w:val="标题 1 Char"/>
    <w:link w:val="2"/>
    <w:autoRedefine/>
    <w:qFormat/>
    <w:uiPriority w:val="0"/>
    <w:rPr>
      <w:rFonts w:eastAsia="方正小标宋简体"/>
      <w:kern w:val="44"/>
      <w:sz w:val="44"/>
      <w:szCs w:val="20"/>
    </w:rPr>
  </w:style>
  <w:style w:type="character" w:customStyle="1" w:styleId="16">
    <w:name w:val="标题 3 Char"/>
    <w:link w:val="4"/>
    <w:autoRedefine/>
    <w:qFormat/>
    <w:uiPriority w:val="0"/>
    <w:rPr>
      <w:rFonts w:eastAsia="楷体"/>
      <w:kern w:val="0"/>
      <w:sz w:val="20"/>
      <w:szCs w:val="20"/>
    </w:rPr>
  </w:style>
  <w:style w:type="character" w:customStyle="1" w:styleId="17">
    <w:name w:val="批注框文本 Char"/>
    <w:link w:val="6"/>
    <w:autoRedefine/>
    <w:qFormat/>
    <w:uiPriority w:val="0"/>
    <w:rPr>
      <w:kern w:val="2"/>
      <w:sz w:val="18"/>
      <w:szCs w:val="18"/>
    </w:rPr>
  </w:style>
  <w:style w:type="character" w:customStyle="1" w:styleId="18">
    <w:name w:val="页脚 Char"/>
    <w:link w:val="7"/>
    <w:autoRedefine/>
    <w:qFormat/>
    <w:uiPriority w:val="99"/>
    <w:rPr>
      <w:rFonts w:ascii="宋体"/>
      <w:color w:val="000000"/>
      <w:sz w:val="18"/>
      <w:szCs w:val="18"/>
    </w:rPr>
  </w:style>
  <w:style w:type="paragraph" w:customStyle="1" w:styleId="19">
    <w:name w:val="Table Paragraph"/>
    <w:basedOn w:val="1"/>
    <w:autoRedefine/>
    <w:qFormat/>
    <w:uiPriority w:val="1"/>
    <w:pPr>
      <w:autoSpaceDE w:val="0"/>
      <w:autoSpaceDN w:val="0"/>
      <w:adjustRightInd w:val="0"/>
      <w:spacing w:line="312" w:lineRule="atLeast"/>
      <w:jc w:val="left"/>
      <w:textAlignment w:val="baseline"/>
    </w:pPr>
    <w:rPr>
      <w:kern w:val="0"/>
      <w:sz w:val="24"/>
      <w:szCs w:val="20"/>
    </w:rPr>
  </w:style>
  <w:style w:type="paragraph" w:customStyle="1" w:styleId="20">
    <w:name w:val="首行缩进"/>
    <w:autoRedefine/>
    <w:qFormat/>
    <w:uiPriority w:val="0"/>
    <w:pPr>
      <w:widowControl w:val="0"/>
      <w:ind w:firstLine="480" w:firstLineChars="200"/>
      <w:jc w:val="both"/>
    </w:pPr>
    <w:rPr>
      <w:rFonts w:ascii="Times New Roman" w:hAnsi="Times New Roman" w:eastAsia="宋体" w:cs="Times New Roman"/>
      <w:kern w:val="2"/>
      <w:sz w:val="21"/>
      <w:lang w:val="zh-CN" w:eastAsia="zh-CN" w:bidi="ar-SA"/>
    </w:rPr>
  </w:style>
  <w:style w:type="paragraph" w:customStyle="1" w:styleId="21">
    <w:name w:val="列表段落1"/>
    <w:basedOn w:val="1"/>
    <w:autoRedefine/>
    <w:qFormat/>
    <w:uiPriority w:val="34"/>
    <w:pPr>
      <w:autoSpaceDE w:val="0"/>
      <w:autoSpaceDN w:val="0"/>
      <w:ind w:firstLine="420" w:firstLineChars="200"/>
      <w:jc w:val="left"/>
    </w:pPr>
    <w:rPr>
      <w:rFonts w:ascii="宋体" w:hAnsi="宋体" w:cs="宋体"/>
      <w:kern w:val="0"/>
      <w:sz w:val="22"/>
      <w:szCs w:val="22"/>
      <w:lang w:eastAsia="en-US"/>
    </w:rPr>
  </w:style>
  <w:style w:type="paragraph" w:customStyle="1" w:styleId="22">
    <w:name w:val="样式 Table Paragraph + (中文) +中文正文 (符号) +中文正文 五号 文字 1 两端对齐 左侧:..."/>
    <w:basedOn w:val="19"/>
    <w:qFormat/>
    <w:uiPriority w:val="0"/>
    <w:pPr>
      <w:spacing w:line="280" w:lineRule="exact"/>
      <w:ind w:left="-57" w:right="-57"/>
      <w:jc w:val="both"/>
    </w:pPr>
    <w:rPr>
      <w:rFonts w:cs="宋体" w:hAnsiTheme="minorEastAsia" w:eastAsiaTheme="minorEastAsia"/>
      <w:color w:val="000000" w:themeColor="text1"/>
      <w:sz w:val="21"/>
      <w14:textFill>
        <w14:solidFill>
          <w14:schemeClr w14:val="tx1"/>
        </w14:solidFill>
      </w14:textFill>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http://www.ntko.com</Company>
  <Pages>27</Pages>
  <Words>9853</Words>
  <Characters>10316</Characters>
  <Lines>554</Lines>
  <Paragraphs>156</Paragraphs>
  <TotalTime>139</TotalTime>
  <ScaleCrop>false</ScaleCrop>
  <LinksUpToDate>false</LinksUpToDate>
  <CharactersWithSpaces>10632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2022-04-28T03:27:00Z</dcterms:created>
  <dc:creator>千航网络</dc:creator>
  <cp:lastModifiedBy>Ellen  章小璐</cp:lastModifiedBy>
  <cp:lastPrinted>2025-08-29T03:36:00Z</cp:lastPrinted>
  <dcterms:modified xsi:type="dcterms:W3CDTF">2025-09-03T08:12:27Z</dcterms:modified>
  <dc:title>【NTKO Office文档控件缺省模板】</dc:title>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96EC7B9243B94914B5CC9A72772B8418_13</vt:lpwstr>
  </property>
  <property fmtid="{D5CDD505-2E9C-101B-9397-08002B2CF9AE}" pid="4" name="KSOTemplateDocerSaveRecord">
    <vt:lpwstr>eyJoZGlkIjoiZTM2MWEyNWZmMTg5NjZhZDRhNWYxNTIxODIwYTZkYzMiLCJ1c2VySWQiOiIyNzE5Mjg3NDUifQ==</vt:lpwstr>
  </property>
</Properties>
</file>