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A1182">
      <w:pPr>
        <w:overflowPunct w:val="0"/>
        <w:autoSpaceDE w:val="0"/>
        <w:autoSpaceDN w:val="0"/>
        <w:adjustRightInd w:val="0"/>
        <w:snapToGrid w:val="0"/>
        <w:spacing w:line="580" w:lineRule="exact"/>
        <w:jc w:val="left"/>
        <w:rPr>
          <w:rFonts w:eastAsia="黑体"/>
          <w:sz w:val="32"/>
          <w:szCs w:val="32"/>
        </w:rPr>
      </w:pPr>
      <w:r>
        <w:rPr>
          <w:rFonts w:hAnsi="黑体" w:eastAsia="黑体"/>
          <w:sz w:val="32"/>
          <w:szCs w:val="32"/>
        </w:rPr>
        <w:t>附件</w:t>
      </w:r>
      <w:r>
        <w:rPr>
          <w:rFonts w:eastAsia="黑体"/>
          <w:sz w:val="32"/>
          <w:szCs w:val="32"/>
        </w:rPr>
        <w:t>7</w:t>
      </w:r>
    </w:p>
    <w:p w14:paraId="34E21A35">
      <w:pPr>
        <w:overflowPunct w:val="0"/>
        <w:autoSpaceDE w:val="0"/>
        <w:autoSpaceDN w:val="0"/>
        <w:adjustRightInd w:val="0"/>
        <w:snapToGrid w:val="0"/>
        <w:spacing w:before="240" w:line="580" w:lineRule="exact"/>
        <w:jc w:val="center"/>
        <w:rPr>
          <w:rFonts w:eastAsia="方正小标宋简体"/>
          <w:sz w:val="44"/>
          <w:szCs w:val="44"/>
        </w:rPr>
      </w:pPr>
      <w:r>
        <w:rPr>
          <w:rFonts w:hint="eastAsia" w:eastAsia="方正小标宋简体"/>
          <w:sz w:val="44"/>
          <w:szCs w:val="44"/>
        </w:rPr>
        <w:t>自动扶梯与自动人行道定期检验质量</w:t>
      </w:r>
    </w:p>
    <w:p w14:paraId="117F87AC">
      <w:pPr>
        <w:overflowPunct w:val="0"/>
        <w:autoSpaceDE w:val="0"/>
        <w:autoSpaceDN w:val="0"/>
        <w:adjustRightInd w:val="0"/>
        <w:snapToGrid w:val="0"/>
        <w:spacing w:before="120" w:after="240" w:line="580" w:lineRule="exact"/>
        <w:jc w:val="center"/>
        <w:rPr>
          <w:rFonts w:eastAsia="方正小标宋简体"/>
          <w:sz w:val="44"/>
          <w:szCs w:val="44"/>
        </w:rPr>
      </w:pPr>
      <w:r>
        <w:rPr>
          <w:rFonts w:hint="eastAsia" w:eastAsia="方正小标宋简体"/>
          <w:sz w:val="44"/>
          <w:szCs w:val="44"/>
        </w:rPr>
        <w:t>监督抽查项目内容、要求与方法</w:t>
      </w:r>
    </w:p>
    <w:tbl>
      <w:tblPr>
        <w:tblStyle w:val="1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84"/>
        <w:gridCol w:w="3402"/>
        <w:gridCol w:w="4274"/>
      </w:tblGrid>
      <w:tr w14:paraId="5CAAB8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384" w:type="dxa"/>
            <w:vAlign w:val="center"/>
          </w:tcPr>
          <w:p w14:paraId="75762FF5">
            <w:pPr>
              <w:overflowPunct w:val="0"/>
              <w:autoSpaceDE w:val="0"/>
              <w:autoSpaceDN w:val="0"/>
              <w:adjustRightInd w:val="0"/>
              <w:snapToGrid w:val="0"/>
              <w:spacing w:line="280" w:lineRule="exact"/>
              <w:jc w:val="center"/>
              <w:rPr>
                <w:rFonts w:eastAsia="黑体"/>
                <w:bCs/>
                <w:color w:val="000000" w:themeColor="text1"/>
                <w:szCs w:val="21"/>
                <w14:textFill>
                  <w14:solidFill>
                    <w14:schemeClr w14:val="tx1"/>
                  </w14:solidFill>
                </w14:textFill>
              </w:rPr>
            </w:pPr>
            <w:r>
              <w:rPr>
                <w:rFonts w:hAnsi="黑体" w:eastAsia="黑体"/>
                <w:bCs/>
                <w:color w:val="000000" w:themeColor="text1"/>
                <w:szCs w:val="21"/>
                <w14:textFill>
                  <w14:solidFill>
                    <w14:schemeClr w14:val="tx1"/>
                  </w14:solidFill>
                </w14:textFill>
              </w:rPr>
              <w:t>检验项目</w:t>
            </w:r>
          </w:p>
        </w:tc>
        <w:tc>
          <w:tcPr>
            <w:tcW w:w="3402" w:type="dxa"/>
            <w:vAlign w:val="center"/>
          </w:tcPr>
          <w:p w14:paraId="5068BE7A">
            <w:pPr>
              <w:pStyle w:val="5"/>
              <w:overflowPunct w:val="0"/>
              <w:autoSpaceDE w:val="0"/>
              <w:autoSpaceDN w:val="0"/>
              <w:adjustRightInd w:val="0"/>
              <w:snapToGrid w:val="0"/>
              <w:spacing w:after="0" w:line="280" w:lineRule="exact"/>
              <w:ind w:left="0" w:leftChars="0"/>
              <w:jc w:val="center"/>
              <w:rPr>
                <w:rFonts w:eastAsia="黑体"/>
                <w:bCs/>
                <w:color w:val="000000" w:themeColor="text1"/>
                <w:szCs w:val="21"/>
                <w14:textFill>
                  <w14:solidFill>
                    <w14:schemeClr w14:val="tx1"/>
                  </w14:solidFill>
                </w14:textFill>
              </w:rPr>
            </w:pPr>
            <w:r>
              <w:rPr>
                <w:rFonts w:hAnsi="黑体" w:eastAsia="黑体"/>
                <w:bCs/>
                <w:color w:val="000000" w:themeColor="text1"/>
                <w:szCs w:val="21"/>
                <w14:textFill>
                  <w14:solidFill>
                    <w14:schemeClr w14:val="tx1"/>
                  </w14:solidFill>
                </w14:textFill>
              </w:rPr>
              <w:t>检验内容及要求</w:t>
            </w:r>
          </w:p>
        </w:tc>
        <w:tc>
          <w:tcPr>
            <w:tcW w:w="4274" w:type="dxa"/>
            <w:vAlign w:val="center"/>
          </w:tcPr>
          <w:p w14:paraId="125E86D8">
            <w:pPr>
              <w:overflowPunct w:val="0"/>
              <w:autoSpaceDE w:val="0"/>
              <w:autoSpaceDN w:val="0"/>
              <w:adjustRightInd w:val="0"/>
              <w:snapToGrid w:val="0"/>
              <w:spacing w:line="280" w:lineRule="exact"/>
              <w:jc w:val="center"/>
              <w:rPr>
                <w:rFonts w:eastAsia="黑体"/>
                <w:bCs/>
                <w:color w:val="000000" w:themeColor="text1"/>
                <w:szCs w:val="21"/>
                <w14:textFill>
                  <w14:solidFill>
                    <w14:schemeClr w14:val="tx1"/>
                  </w14:solidFill>
                </w14:textFill>
              </w:rPr>
            </w:pPr>
            <w:r>
              <w:rPr>
                <w:rFonts w:hAnsi="黑体" w:eastAsia="黑体"/>
                <w:bCs/>
                <w:color w:val="000000" w:themeColor="text1"/>
                <w:szCs w:val="21"/>
                <w14:textFill>
                  <w14:solidFill>
                    <w14:schemeClr w14:val="tx1"/>
                  </w14:solidFill>
                </w14:textFill>
              </w:rPr>
              <w:t>检验方法</w:t>
            </w:r>
          </w:p>
        </w:tc>
      </w:tr>
      <w:tr w14:paraId="44C83D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restart"/>
            <w:vAlign w:val="center"/>
          </w:tcPr>
          <w:p w14:paraId="57F7325D">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A2.1.4</w:t>
            </w:r>
          </w:p>
          <w:p w14:paraId="0489A41E">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使用资料</w:t>
            </w:r>
          </w:p>
        </w:tc>
        <w:tc>
          <w:tcPr>
            <w:tcW w:w="3402" w:type="dxa"/>
            <w:vAlign w:val="center"/>
          </w:tcPr>
          <w:p w14:paraId="148CF110">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审查使用单位是否提供以下适用于受检设备的资料：</w:t>
            </w:r>
          </w:p>
          <w:p w14:paraId="4D041943">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）使用登记证，其内容与实物应当相符</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126046AC">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资料审查</w:t>
            </w:r>
          </w:p>
          <w:p w14:paraId="7B93F76A">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定期检验和改造、重大修理过程的监督检验时查验，安装自动扶梯与自动人行道的监督检验不进行查验</w:t>
            </w:r>
            <w:r>
              <w:rPr>
                <w:rFonts w:hint="eastAsia" w:hAnsiTheme="minorEastAsia" w:eastAsiaTheme="minorEastAsia"/>
                <w:color w:val="000000" w:themeColor="text1"/>
                <w:szCs w:val="21"/>
                <w14:textFill>
                  <w14:solidFill>
                    <w14:schemeClr w14:val="tx1"/>
                  </w14:solidFill>
                </w14:textFill>
              </w:rPr>
              <w:t>。</w:t>
            </w:r>
          </w:p>
        </w:tc>
      </w:tr>
      <w:tr w14:paraId="0AC94C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2B089DE1">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6F441000">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）日常维护保养合同，由使用单位与取得相应许可的单位签订</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155D1191">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资料审查</w:t>
            </w:r>
          </w:p>
          <w:p w14:paraId="513C24FB">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核实合同签订单位、维保期限、设备信息、合同印章等信息，审查维保单位许可证范围（许可项目、许可参数）</w:t>
            </w:r>
            <w:r>
              <w:rPr>
                <w:rFonts w:hint="eastAsia" w:hAnsiTheme="minorEastAsia" w:eastAsiaTheme="minorEastAsia"/>
                <w:color w:val="000000" w:themeColor="text1"/>
                <w:szCs w:val="21"/>
                <w14:textFill>
                  <w14:solidFill>
                    <w14:schemeClr w14:val="tx1"/>
                  </w14:solidFill>
                </w14:textFill>
              </w:rPr>
              <w:t>。</w:t>
            </w:r>
          </w:p>
        </w:tc>
      </w:tr>
      <w:tr w14:paraId="1ED68A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66D0C600">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510459A0">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）应急救援管理制度</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619B754C">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资料审查</w:t>
            </w:r>
          </w:p>
          <w:p w14:paraId="6A2FE7BA">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对于新安装自动扶梯与自动人行道，如使用单位尚未确定的，应当由安装单位提供内容范本提示：对于应急措施和救援预案，按照</w:t>
            </w:r>
            <w:r>
              <w:rPr>
                <w:rFonts w:hint="eastAsia" w:eastAsiaTheme="minorEastAsia"/>
                <w:color w:val="000000" w:themeColor="text1"/>
                <w:szCs w:val="21"/>
                <w14:textFill>
                  <w14:solidFill>
                    <w14:schemeClr w14:val="tx1"/>
                  </w14:solidFill>
                </w14:textFill>
              </w:rPr>
              <w:t xml:space="preserve">TSG </w:t>
            </w:r>
            <w:r>
              <w:rPr>
                <w:rFonts w:eastAsiaTheme="minorEastAsia"/>
                <w:color w:val="000000" w:themeColor="text1"/>
                <w:szCs w:val="21"/>
                <w14:textFill>
                  <w14:solidFill>
                    <w14:schemeClr w14:val="tx1"/>
                  </w14:solidFill>
                </w14:textFill>
              </w:rPr>
              <w:t>08</w:t>
            </w:r>
            <w:r>
              <w:rPr>
                <w:rFonts w:hAnsiTheme="minorEastAsia" w:eastAsiaTheme="minorEastAsia"/>
                <w:color w:val="000000" w:themeColor="text1"/>
                <w:szCs w:val="21"/>
                <w14:textFill>
                  <w14:solidFill>
                    <w14:schemeClr w14:val="tx1"/>
                  </w14:solidFill>
                </w14:textFill>
              </w:rPr>
              <w:t>的要求，设置特种设备安全管理机构和配备专职安全管理员的使用单位，应当制定特种设备事故应急专项预案；其他使用单位可以在综合应急预案中编制特种设备事故应急的内容</w:t>
            </w:r>
            <w:r>
              <w:rPr>
                <w:rFonts w:hint="eastAsia" w:hAnsiTheme="minorEastAsia" w:eastAsiaTheme="minorEastAsia"/>
                <w:color w:val="000000" w:themeColor="text1"/>
                <w:szCs w:val="21"/>
                <w14:textFill>
                  <w14:solidFill>
                    <w14:schemeClr w14:val="tx1"/>
                  </w14:solidFill>
                </w14:textFill>
              </w:rPr>
              <w:t>。</w:t>
            </w:r>
          </w:p>
        </w:tc>
      </w:tr>
      <w:tr w14:paraId="38BD2B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Align w:val="center"/>
          </w:tcPr>
          <w:p w14:paraId="48722F7A">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A2.2.1.2</w:t>
            </w:r>
            <w:r>
              <w:rPr>
                <w:rFonts w:hAnsiTheme="minorEastAsia" w:eastAsiaTheme="minorEastAsia"/>
                <w:bCs/>
                <w:color w:val="000000" w:themeColor="text1"/>
                <w:szCs w:val="21"/>
                <w14:textFill>
                  <w14:solidFill>
                    <w14:schemeClr w14:val="tx1"/>
                  </w14:solidFill>
                </w14:textFill>
              </w:rPr>
              <w:t>（</w:t>
            </w:r>
            <w:r>
              <w:rPr>
                <w:rFonts w:eastAsiaTheme="minorEastAsia"/>
                <w:bCs/>
                <w:color w:val="000000" w:themeColor="text1"/>
                <w:szCs w:val="21"/>
                <w14:textFill>
                  <w14:solidFill>
                    <w14:schemeClr w14:val="tx1"/>
                  </w14:solidFill>
                </w14:textFill>
              </w:rPr>
              <w:t>3</w:t>
            </w:r>
            <w:r>
              <w:rPr>
                <w:rFonts w:hAnsiTheme="minorEastAsia" w:eastAsiaTheme="minorEastAsia"/>
                <w:bCs/>
                <w:color w:val="000000" w:themeColor="text1"/>
                <w:szCs w:val="21"/>
                <w14:textFill>
                  <w14:solidFill>
                    <w14:schemeClr w14:val="tx1"/>
                  </w14:solidFill>
                </w14:textFill>
              </w:rPr>
              <w:t>）</w:t>
            </w:r>
          </w:p>
          <w:p w14:paraId="156B80FA">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接地故障保护措施</w:t>
            </w:r>
          </w:p>
        </w:tc>
        <w:tc>
          <w:tcPr>
            <w:tcW w:w="3402" w:type="dxa"/>
            <w:vAlign w:val="center"/>
          </w:tcPr>
          <w:p w14:paraId="432AB1EE">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）含有电气安全装置的电路发生接地故障时，驱动主机立即停止运转</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08477287">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电气原理图，分析电气安全回路的供电电源是否设置了接地及短路保护装置；目测检查接地端的牢靠情况及接地保护装置的设置情况。必要时操作验证，人为模拟电气安全装置回路出现意外接地故障来验证接地故障的保护效果。</w:t>
            </w:r>
          </w:p>
          <w:p w14:paraId="4E97EFBD">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也可由施工人员或者维保单位的配合人员按制造单位提供的方法进行测试，检验人员现场观察确认</w:t>
            </w:r>
          </w:p>
          <w:p w14:paraId="3E790182">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593CE7E0">
            <w:pPr>
              <w:overflowPunct w:val="0"/>
              <w:autoSpaceDE w:val="0"/>
              <w:autoSpaceDN w:val="0"/>
              <w:adjustRightInd w:val="0"/>
              <w:snapToGrid w:val="0"/>
              <w:spacing w:line="24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接地故障是指带电导体与大地之间意外出现导通的现象。自动扶梯或自动人行道电气开关触点变形、导线绝缘层失效、周围环境湿度大、维护过程中失误等原因，均会导致接地故障的发生。</w:t>
            </w:r>
          </w:p>
          <w:p w14:paraId="32A9CA83">
            <w:pPr>
              <w:overflowPunct w:val="0"/>
              <w:autoSpaceDE w:val="0"/>
              <w:autoSpaceDN w:val="0"/>
              <w:adjustRightInd w:val="0"/>
              <w:snapToGrid w:val="0"/>
              <w:spacing w:line="240" w:lineRule="exa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A2.2.1.2</w:t>
            </w:r>
            <w:r>
              <w:rPr>
                <w:rFonts w:hAnsiTheme="minorEastAsia" w:eastAsiaTheme="minorEastAsia"/>
                <w:color w:val="000000" w:themeColor="text1"/>
                <w:szCs w:val="21"/>
                <w14:textFill>
                  <w14:solidFill>
                    <w14:schemeClr w14:val="tx1"/>
                  </w14:solidFill>
                </w14:textFill>
              </w:rPr>
              <w:t>条第（</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）项仅适用于超过</w:t>
            </w:r>
            <w:r>
              <w:rPr>
                <w:rFonts w:eastAsiaTheme="minorEastAsia"/>
                <w:color w:val="000000" w:themeColor="text1"/>
                <w:szCs w:val="21"/>
                <w14:textFill>
                  <w14:solidFill>
                    <w14:schemeClr w14:val="tx1"/>
                  </w14:solidFill>
                </w14:textFill>
              </w:rPr>
              <w:t>15</w:t>
            </w:r>
            <w:r>
              <w:rPr>
                <w:rFonts w:hAnsiTheme="minorEastAsia" w:eastAsiaTheme="minorEastAsia"/>
                <w:color w:val="000000" w:themeColor="text1"/>
                <w:szCs w:val="21"/>
                <w14:textFill>
                  <w14:solidFill>
                    <w14:schemeClr w14:val="tx1"/>
                  </w14:solidFill>
                </w14:textFill>
              </w:rPr>
              <w:t>年（以安装监督检验合格日期为基准）的自动扶梯和自动人行道的定期检验。对于</w:t>
            </w:r>
            <w:r>
              <w:rPr>
                <w:rFonts w:eastAsiaTheme="minorEastAsia"/>
                <w:color w:val="000000" w:themeColor="text1"/>
                <w:szCs w:val="21"/>
                <w14:textFill>
                  <w14:solidFill>
                    <w14:schemeClr w14:val="tx1"/>
                  </w14:solidFill>
                </w14:textFill>
              </w:rPr>
              <w:t>15</w:t>
            </w:r>
            <w:r>
              <w:rPr>
                <w:rFonts w:hAnsiTheme="minorEastAsia" w:eastAsiaTheme="minorEastAsia"/>
                <w:color w:val="000000" w:themeColor="text1"/>
                <w:szCs w:val="21"/>
                <w14:textFill>
                  <w14:solidFill>
                    <w14:schemeClr w14:val="tx1"/>
                  </w14:solidFill>
                </w14:textFill>
              </w:rPr>
              <w:t>年以内（含</w:t>
            </w:r>
            <w:r>
              <w:rPr>
                <w:rFonts w:eastAsiaTheme="minorEastAsia"/>
                <w:color w:val="000000" w:themeColor="text1"/>
                <w:szCs w:val="21"/>
                <w14:textFill>
                  <w14:solidFill>
                    <w14:schemeClr w14:val="tx1"/>
                  </w14:solidFill>
                </w14:textFill>
              </w:rPr>
              <w:t>15</w:t>
            </w:r>
            <w:r>
              <w:rPr>
                <w:rFonts w:hAnsiTheme="minorEastAsia" w:eastAsiaTheme="minorEastAsia"/>
                <w:color w:val="000000" w:themeColor="text1"/>
                <w:szCs w:val="21"/>
                <w14:textFill>
                  <w14:solidFill>
                    <w14:schemeClr w14:val="tx1"/>
                  </w14:solidFill>
                </w14:textFill>
              </w:rPr>
              <w:t>年，以安装监督检验合格日期为基准）的自动扶梯和自动人行道的定期检验，此项为</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无此项</w:t>
            </w:r>
            <w:r>
              <w:rPr>
                <w:rFonts w:eastAsiaTheme="minorEastAsia"/>
                <w:color w:val="000000" w:themeColor="text1"/>
                <w:szCs w:val="21"/>
                <w14:textFill>
                  <w14:solidFill>
                    <w14:schemeClr w14:val="tx1"/>
                  </w14:solidFill>
                </w14:textFill>
              </w:rPr>
              <w:t>”</w:t>
            </w:r>
            <w:r>
              <w:rPr>
                <w:rFonts w:hint="eastAsia" w:eastAsiaTheme="minorEastAsia"/>
                <w:color w:val="000000" w:themeColor="text1"/>
                <w:szCs w:val="21"/>
                <w14:textFill>
                  <w14:solidFill>
                    <w14:schemeClr w14:val="tx1"/>
                  </w14:solidFill>
                </w14:textFill>
              </w:rPr>
              <w:t>。</w:t>
            </w:r>
          </w:p>
        </w:tc>
      </w:tr>
      <w:tr w14:paraId="6CB26A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43" w:hRule="atLeast"/>
          <w:jc w:val="center"/>
        </w:trPr>
        <w:tc>
          <w:tcPr>
            <w:tcW w:w="1384" w:type="dxa"/>
            <w:vAlign w:val="center"/>
          </w:tcPr>
          <w:p w14:paraId="4DE4CF2B">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A2.2.1.6</w:t>
            </w:r>
          </w:p>
          <w:p w14:paraId="1604C2FE">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旋转部件防护措施</w:t>
            </w:r>
          </w:p>
        </w:tc>
        <w:tc>
          <w:tcPr>
            <w:tcW w:w="3402" w:type="dxa"/>
            <w:vAlign w:val="center"/>
          </w:tcPr>
          <w:p w14:paraId="32B10A25">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检查驱动主机的旋转部件、驱动站和转向站的梯级或者踏板转向部分是否设有防护装置和警示标志，以防止人员受到伤害</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69C38709">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目测检查防护装置和警示标志的设置情况</w:t>
            </w:r>
          </w:p>
          <w:p w14:paraId="2A3C9241">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29A29708">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驱动主机的旋转部件有不可拆卸盘车手轮、电动机输出轴等。参考标准</w:t>
            </w:r>
            <w:r>
              <w:rPr>
                <w:rFonts w:hint="eastAsia" w:eastAsiaTheme="minorEastAsia"/>
                <w:color w:val="000000" w:themeColor="text1"/>
                <w:szCs w:val="21"/>
                <w14:textFill>
                  <w14:solidFill>
                    <w14:schemeClr w14:val="tx1"/>
                  </w14:solidFill>
                </w14:textFill>
              </w:rPr>
              <w:t xml:space="preserve">GB </w:t>
            </w:r>
            <w:r>
              <w:rPr>
                <w:rFonts w:eastAsiaTheme="minorEastAsia"/>
                <w:color w:val="000000" w:themeColor="text1"/>
                <w:szCs w:val="21"/>
                <w14:textFill>
                  <w14:solidFill>
                    <w14:schemeClr w14:val="tx1"/>
                  </w14:solidFill>
                </w14:textFill>
              </w:rPr>
              <w:t>16899§5.8.1</w:t>
            </w:r>
            <w:r>
              <w:rPr>
                <w:rFonts w:hAnsiTheme="minorEastAsia" w:eastAsiaTheme="minorEastAsia"/>
                <w:color w:val="000000" w:themeColor="text1"/>
                <w:szCs w:val="21"/>
                <w14:textFill>
                  <w14:solidFill>
                    <w14:schemeClr w14:val="tx1"/>
                  </w14:solidFill>
                </w14:textFill>
              </w:rPr>
              <w:t>，轴上的键和螺栓、链条和传动皮带、传动机构、齿轮和链轮、电动机主轴伸出部分手轮和制动盘（鼓）等部件均应当设置防护装置。对于驱动主机上人员不易接近或者没有危险的旋转部件，无需设置防护装置。</w:t>
            </w:r>
          </w:p>
          <w:p w14:paraId="7703C9C0">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对于警示标志的内容、样式检规未做规定，但应满足</w:t>
            </w:r>
            <w:r>
              <w:rPr>
                <w:rFonts w:hint="eastAsia" w:eastAsiaTheme="minorEastAsia"/>
                <w:color w:val="000000" w:themeColor="text1"/>
                <w:szCs w:val="21"/>
                <w14:textFill>
                  <w14:solidFill>
                    <w14:schemeClr w14:val="tx1"/>
                  </w14:solidFill>
                </w14:textFill>
              </w:rPr>
              <w:t xml:space="preserve">GB </w:t>
            </w:r>
            <w:r>
              <w:rPr>
                <w:rFonts w:eastAsiaTheme="minorEastAsia"/>
                <w:color w:val="000000" w:themeColor="text1"/>
                <w:szCs w:val="21"/>
                <w14:textFill>
                  <w14:solidFill>
                    <w14:schemeClr w14:val="tx1"/>
                  </w14:solidFill>
                </w14:textFill>
              </w:rPr>
              <w:t>16899§7.2.1.1</w:t>
            </w:r>
            <w:r>
              <w:rPr>
                <w:rFonts w:hAnsiTheme="minorEastAsia" w:eastAsiaTheme="minorEastAsia"/>
                <w:color w:val="000000" w:themeColor="text1"/>
                <w:szCs w:val="21"/>
                <w14:textFill>
                  <w14:solidFill>
                    <w14:schemeClr w14:val="tx1"/>
                  </w14:solidFill>
                </w14:textFill>
              </w:rPr>
              <w:t>的要求：所有的标志、说明和使用须知应由经久耐用的材料制成，设置在醒目的位置，并且采用中文书写（必要时可同时使用几种文字），字体应清晰、工整</w:t>
            </w:r>
            <w:r>
              <w:rPr>
                <w:rFonts w:hint="eastAsia" w:hAnsiTheme="minorEastAsia" w:eastAsiaTheme="minorEastAsia"/>
                <w:color w:val="000000" w:themeColor="text1"/>
                <w:szCs w:val="21"/>
                <w14:textFill>
                  <w14:solidFill>
                    <w14:schemeClr w14:val="tx1"/>
                  </w14:solidFill>
                </w14:textFill>
              </w:rPr>
              <w:t>。</w:t>
            </w:r>
          </w:p>
        </w:tc>
      </w:tr>
      <w:tr w14:paraId="17B12A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Align w:val="center"/>
          </w:tcPr>
          <w:p w14:paraId="7B770322">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A2.2.1.7</w:t>
            </w:r>
          </w:p>
          <w:p w14:paraId="202C6C30">
            <w:pPr>
              <w:overflowPunct w:val="0"/>
              <w:autoSpaceDE w:val="0"/>
              <w:autoSpaceDN w:val="0"/>
              <w:adjustRightInd w:val="0"/>
              <w:snapToGrid w:val="0"/>
              <w:spacing w:line="280" w:lineRule="exact"/>
              <w:jc w:val="center"/>
              <w:rPr>
                <w:rFonts w:hint="eastAsia"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工作制动器状态监测</w:t>
            </w:r>
          </w:p>
          <w:p w14:paraId="28287B10">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功能</w:t>
            </w:r>
          </w:p>
        </w:tc>
        <w:tc>
          <w:tcPr>
            <w:tcW w:w="3402" w:type="dxa"/>
            <w:vAlign w:val="center"/>
          </w:tcPr>
          <w:p w14:paraId="3F86C304">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检查受检设备启动后而工作制动器没有松开时，电梯安全装置是否能够使驱动主机立即停止运行；故障锁定功能是否保持有效</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67C8CFD0">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由施工单位或者维护保养单位按照制造单位提供的方法进行试验，检验人员现场观察确认。对于采用安全电路或者可编程电子安全相关系统方式监测工作制动器状态的，检验时应核查型式试验证书的配置表中是否包含该监测装置，同时核查现场实物与型式试验证书的一致性。</w:t>
            </w:r>
          </w:p>
          <w:p w14:paraId="3904567D">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时还应操作验证，检查故障锁定功能的有效性。可采用以下方法验证（下同）：模拟监测功能或装置动作后，保持安全开关等电气安全装置处于动作状态，人为切断主开关，再恢复供电，操作启动开关或者检修控制装置，验证自动扶梯或自动人行道能否启动，如不能启动说明设置了故障锁定功能。再手动复位安全开关或复位故障锁定，此时操作启动开关或者检修控制装置，自动扶梯或自动人行道应能正常启动，此时说明故障锁定功能有效</w:t>
            </w:r>
          </w:p>
          <w:p w14:paraId="48FA267F">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20A8F48E">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工作制动器状态监测功能可以选用安全开关、安全电路、可编程电子安全相关系统三种方式之一。当自动扶梯或者自动人行道启动后两个制动臂向两侧完全张开，若其中一个制动臂没有张开到位，自动扶梯或自动人行道应停止运行，且不能再次启动。</w:t>
            </w:r>
          </w:p>
          <w:p w14:paraId="0FBDEFFD">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设置</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故障锁定</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的目的，是为了电气安全装置动作后，要求施工单位人员或维保人员彻底查明原因，在排除故障后，才能恢复运行。</w:t>
            </w:r>
          </w:p>
          <w:p w14:paraId="61F3D945">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故障锁定实现的方式有两种：</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）机械方法。一般采用需手动复位的机械结构，例如手动复位安全开关的形式。</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）电气方法。一般采用软件将故障信息锁存在可以失电保存的存储器（例如：</w:t>
            </w:r>
            <w:r>
              <w:rPr>
                <w:rFonts w:eastAsiaTheme="minorEastAsia"/>
                <w:color w:val="000000" w:themeColor="text1"/>
                <w:szCs w:val="21"/>
                <w14:textFill>
                  <w14:solidFill>
                    <w14:schemeClr w14:val="tx1"/>
                  </w14:solidFill>
                </w14:textFill>
              </w:rPr>
              <w:t>EPROM</w:t>
            </w:r>
            <w:r>
              <w:rPr>
                <w:rFonts w:hAnsiTheme="minorEastAsia" w:eastAsiaTheme="minorEastAsia"/>
                <w:color w:val="000000" w:themeColor="text1"/>
                <w:szCs w:val="21"/>
                <w14:textFill>
                  <w14:solidFill>
                    <w14:schemeClr w14:val="tx1"/>
                  </w14:solidFill>
                </w14:textFill>
              </w:rPr>
              <w:t>）中，即使切断电源后再送电仍能保持故障锁定状态。复位故障锁定的方法也有两种：</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）通过机械方法锁定的电气安全装置，需手动复位相应动作部件。</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）通过电气方法锁定的电气安全装置，需手动触发某一个为此目的设置的开关或装置来进行软件复位。</w:t>
            </w:r>
          </w:p>
          <w:p w14:paraId="7BB77AA9">
            <w:pPr>
              <w:overflowPunct w:val="0"/>
              <w:autoSpaceDE w:val="0"/>
              <w:autoSpaceDN w:val="0"/>
              <w:adjustRightInd w:val="0"/>
              <w:snapToGrid w:val="0"/>
              <w:spacing w:line="280" w:lineRule="exact"/>
              <w:rPr>
                <w:rFonts w:hint="eastAsia" w:hAnsiTheme="minorEastAsia"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对于允许按照</w:t>
            </w:r>
            <w:r>
              <w:rPr>
                <w:rFonts w:hint="eastAsia" w:eastAsiaTheme="minorEastAsia"/>
                <w:color w:val="000000" w:themeColor="text1"/>
                <w:szCs w:val="21"/>
                <w14:textFill>
                  <w14:solidFill>
                    <w14:schemeClr w14:val="tx1"/>
                  </w14:solidFill>
                </w14:textFill>
              </w:rPr>
              <w:t xml:space="preserve">GB </w:t>
            </w:r>
            <w:r>
              <w:rPr>
                <w:rFonts w:eastAsiaTheme="minorEastAsia"/>
                <w:color w:val="000000" w:themeColor="text1"/>
                <w:szCs w:val="21"/>
                <w14:textFill>
                  <w14:solidFill>
                    <w14:schemeClr w14:val="tx1"/>
                  </w14:solidFill>
                </w14:textFill>
              </w:rPr>
              <w:t>16899—1997</w:t>
            </w:r>
            <w:r>
              <w:rPr>
                <w:rFonts w:hAnsiTheme="minorEastAsia" w:eastAsiaTheme="minorEastAsia"/>
                <w:color w:val="000000" w:themeColor="text1"/>
                <w:szCs w:val="21"/>
                <w14:textFill>
                  <w14:solidFill>
                    <w14:schemeClr w14:val="tx1"/>
                  </w14:solidFill>
                </w14:textFill>
              </w:rPr>
              <w:t>《自动扶梯和自动人行道的制造与安装安全规范》及更早期标准生产的受检设备，如果</w:t>
            </w:r>
            <w:r>
              <w:rPr>
                <w:rFonts w:eastAsiaTheme="minorEastAsia"/>
                <w:color w:val="000000" w:themeColor="text1"/>
                <w:szCs w:val="21"/>
                <w14:textFill>
                  <w14:solidFill>
                    <w14:schemeClr w14:val="tx1"/>
                  </w14:solidFill>
                </w14:textFill>
              </w:rPr>
              <w:t>A2.2.1.7</w:t>
            </w:r>
            <w:r>
              <w:rPr>
                <w:rFonts w:hAnsiTheme="minorEastAsia" w:eastAsiaTheme="minorEastAsia"/>
                <w:color w:val="000000" w:themeColor="text1"/>
                <w:szCs w:val="21"/>
                <w14:textFill>
                  <w14:solidFill>
                    <w14:schemeClr w14:val="tx1"/>
                  </w14:solidFill>
                </w14:textFill>
              </w:rPr>
              <w:t>条未按照《电梯监督检验和定期检验规则</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自动扶梯与自动人行道》（</w:t>
            </w:r>
            <w:r>
              <w:rPr>
                <w:rFonts w:hint="eastAsia" w:eastAsiaTheme="minorEastAsia"/>
                <w:color w:val="000000" w:themeColor="text1"/>
                <w:szCs w:val="21"/>
                <w14:textFill>
                  <w14:solidFill>
                    <w14:schemeClr w14:val="tx1"/>
                  </w14:solidFill>
                </w14:textFill>
              </w:rPr>
              <w:t xml:space="preserve">TSG </w:t>
            </w:r>
            <w:r>
              <w:rPr>
                <w:rFonts w:eastAsiaTheme="minorEastAsia"/>
                <w:color w:val="000000" w:themeColor="text1"/>
                <w:szCs w:val="21"/>
                <w14:textFill>
                  <w14:solidFill>
                    <w14:schemeClr w14:val="tx1"/>
                  </w14:solidFill>
                </w14:textFill>
              </w:rPr>
              <w:t>T7005—2012</w:t>
            </w:r>
            <w:r>
              <w:rPr>
                <w:rFonts w:hAnsiTheme="minorEastAsia" w:eastAsiaTheme="minorEastAsia"/>
                <w:color w:val="000000" w:themeColor="text1"/>
                <w:szCs w:val="21"/>
                <w14:textFill>
                  <w14:solidFill>
                    <w14:schemeClr w14:val="tx1"/>
                  </w14:solidFill>
                </w14:textFill>
              </w:rPr>
              <w:t>）进行过检验，并且未按照新版检规（</w:t>
            </w:r>
            <w:r>
              <w:rPr>
                <w:rFonts w:hint="eastAsia" w:eastAsiaTheme="minorEastAsia"/>
                <w:color w:val="000000" w:themeColor="text1"/>
                <w:szCs w:val="21"/>
                <w14:textFill>
                  <w14:solidFill>
                    <w14:schemeClr w14:val="tx1"/>
                  </w14:solidFill>
                </w14:textFill>
              </w:rPr>
              <w:t xml:space="preserve">TSG </w:t>
            </w:r>
            <w:r>
              <w:rPr>
                <w:rFonts w:eastAsiaTheme="minorEastAsia"/>
                <w:color w:val="000000" w:themeColor="text1"/>
                <w:szCs w:val="21"/>
                <w14:textFill>
                  <w14:solidFill>
                    <w14:schemeClr w14:val="tx1"/>
                  </w14:solidFill>
                </w14:textFill>
              </w:rPr>
              <w:t>T7001-2023</w:t>
            </w:r>
            <w:r>
              <w:rPr>
                <w:rFonts w:hAnsiTheme="minorEastAsia" w:eastAsiaTheme="minorEastAsia"/>
                <w:color w:val="000000" w:themeColor="text1"/>
                <w:szCs w:val="21"/>
                <w14:textFill>
                  <w14:solidFill>
                    <w14:schemeClr w14:val="tx1"/>
                  </w14:solidFill>
                </w14:textFill>
              </w:rPr>
              <w:t>）进行过监督检验，定期检验时可以不检验</w:t>
            </w:r>
            <w:r>
              <w:rPr>
                <w:rFonts w:hint="eastAsia" w:hAnsiTheme="minorEastAsia" w:eastAsiaTheme="minorEastAsia"/>
                <w:color w:val="000000" w:themeColor="text1"/>
                <w:szCs w:val="21"/>
                <w14:textFill>
                  <w14:solidFill>
                    <w14:schemeClr w14:val="tx1"/>
                  </w14:solidFill>
                </w14:textFill>
              </w:rPr>
              <w:t>。</w:t>
            </w:r>
          </w:p>
          <w:p w14:paraId="1C88CB5E">
            <w:pPr>
              <w:overflowPunct w:val="0"/>
              <w:autoSpaceDE w:val="0"/>
              <w:autoSpaceDN w:val="0"/>
              <w:adjustRightInd w:val="0"/>
              <w:snapToGrid w:val="0"/>
              <w:spacing w:line="280" w:lineRule="exact"/>
              <w:rPr>
                <w:rFonts w:hint="eastAsia" w:hAnsiTheme="minorEastAsia" w:eastAsiaTheme="minorEastAsia"/>
                <w:color w:val="000000" w:themeColor="text1"/>
                <w:szCs w:val="21"/>
                <w14:textFill>
                  <w14:solidFill>
                    <w14:schemeClr w14:val="tx1"/>
                  </w14:solidFill>
                </w14:textFill>
              </w:rPr>
            </w:pPr>
          </w:p>
          <w:p w14:paraId="174DA991">
            <w:pPr>
              <w:overflowPunct w:val="0"/>
              <w:autoSpaceDE w:val="0"/>
              <w:autoSpaceDN w:val="0"/>
              <w:adjustRightInd w:val="0"/>
              <w:snapToGrid w:val="0"/>
              <w:spacing w:line="280" w:lineRule="exact"/>
              <w:rPr>
                <w:rFonts w:hint="eastAsia" w:hAnsiTheme="minorEastAsia" w:eastAsiaTheme="minorEastAsia"/>
                <w:color w:val="000000" w:themeColor="text1"/>
                <w:szCs w:val="21"/>
                <w14:textFill>
                  <w14:solidFill>
                    <w14:schemeClr w14:val="tx1"/>
                  </w14:solidFill>
                </w14:textFill>
              </w:rPr>
            </w:pPr>
          </w:p>
          <w:p w14:paraId="72CD5548">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p>
        </w:tc>
      </w:tr>
      <w:tr w14:paraId="742D37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37" w:hRule="atLeast"/>
          <w:jc w:val="center"/>
        </w:trPr>
        <w:tc>
          <w:tcPr>
            <w:tcW w:w="1384" w:type="dxa"/>
            <w:vMerge w:val="restart"/>
            <w:vAlign w:val="center"/>
          </w:tcPr>
          <w:p w14:paraId="279491D6">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A2.2.1.8</w:t>
            </w:r>
          </w:p>
          <w:p w14:paraId="2FF5A7FC">
            <w:pPr>
              <w:overflowPunct w:val="0"/>
              <w:autoSpaceDE w:val="0"/>
              <w:autoSpaceDN w:val="0"/>
              <w:adjustRightInd w:val="0"/>
              <w:snapToGrid w:val="0"/>
              <w:spacing w:line="280" w:lineRule="exact"/>
              <w:jc w:val="center"/>
              <w:rPr>
                <w:rFonts w:hint="eastAsia"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手动盘车</w:t>
            </w:r>
          </w:p>
          <w:p w14:paraId="27D77E6E">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装置</w:t>
            </w:r>
          </w:p>
        </w:tc>
        <w:tc>
          <w:tcPr>
            <w:tcW w:w="3402" w:type="dxa"/>
            <w:vAlign w:val="center"/>
          </w:tcPr>
          <w:p w14:paraId="3EE99FD3">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设有手动盘车装置的，检查其是否符合以下要求：</w:t>
            </w:r>
          </w:p>
          <w:p w14:paraId="29BB8CCB">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）盘车手轮是平滑和无辐条的，并且在其上或者附近清晰地标出操作说明和运行方向</w:t>
            </w:r>
            <w:r>
              <w:rPr>
                <w:rFonts w:hint="eastAsia" w:hAnsiTheme="minorEastAsia" w:eastAsiaTheme="minorEastAsia"/>
                <w:color w:val="000000" w:themeColor="text1"/>
                <w:szCs w:val="21"/>
                <w14:textFill>
                  <w14:solidFill>
                    <w14:schemeClr w14:val="tx1"/>
                  </w14:solidFill>
                </w14:textFill>
              </w:rPr>
              <w:t>。</w:t>
            </w:r>
          </w:p>
        </w:tc>
        <w:tc>
          <w:tcPr>
            <w:tcW w:w="4274" w:type="dxa"/>
            <w:vMerge w:val="restart"/>
            <w:vAlign w:val="center"/>
          </w:tcPr>
          <w:p w14:paraId="5DB91905">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设置手动盘车装置的自动扶梯或人行道，检验时应目测盘车手轮形式及放置位置，并对盘车手轮的操作安全及可靠性、操作说明的适用性、运行方向标识的正确性、可拆卸盘车手轮电气安全装置的有效性进行操作验证。如果安装手动盘车装置需要先拆除防护外壳，则该电气安全装置可以采用通过拆掉外壳来动作的方式实现相应功能</w:t>
            </w:r>
          </w:p>
          <w:p w14:paraId="74D5B1C3">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55385489">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不是所有的自动扶梯和人行道都必须设置手动盘车装置，中间驱动或者多级驱动时，会存在无手动盘车装置的情况。如果提供手动盘车装置，盘车手轮应是平滑和无辐条的，不得采用曲柄或者多孔手轮。如果未设置手动盘车装置，此项目为</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无此项</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w:t>
            </w:r>
          </w:p>
          <w:p w14:paraId="2C744CD8">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A2.2.1.8</w:t>
            </w:r>
            <w:r>
              <w:rPr>
                <w:rFonts w:hAnsiTheme="minorEastAsia" w:eastAsiaTheme="minorEastAsia"/>
                <w:color w:val="000000" w:themeColor="text1"/>
                <w:szCs w:val="21"/>
                <w14:textFill>
                  <w14:solidFill>
                    <w14:schemeClr w14:val="tx1"/>
                  </w14:solidFill>
                </w14:textFill>
              </w:rPr>
              <w:t>项仅适用于超过</w:t>
            </w:r>
            <w:r>
              <w:rPr>
                <w:rFonts w:eastAsiaTheme="minorEastAsia"/>
                <w:color w:val="000000" w:themeColor="text1"/>
                <w:szCs w:val="21"/>
                <w14:textFill>
                  <w14:solidFill>
                    <w14:schemeClr w14:val="tx1"/>
                  </w14:solidFill>
                </w14:textFill>
              </w:rPr>
              <w:t>15</w:t>
            </w:r>
            <w:r>
              <w:rPr>
                <w:rFonts w:hAnsiTheme="minorEastAsia" w:eastAsiaTheme="minorEastAsia"/>
                <w:color w:val="000000" w:themeColor="text1"/>
                <w:szCs w:val="21"/>
                <w14:textFill>
                  <w14:solidFill>
                    <w14:schemeClr w14:val="tx1"/>
                  </w14:solidFill>
                </w14:textFill>
              </w:rPr>
              <w:t>年（以安装监督检验合格日期为基准）的自动扶梯和自动人行道的定期检验。对于</w:t>
            </w:r>
            <w:r>
              <w:rPr>
                <w:rFonts w:eastAsiaTheme="minorEastAsia"/>
                <w:color w:val="000000" w:themeColor="text1"/>
                <w:szCs w:val="21"/>
                <w14:textFill>
                  <w14:solidFill>
                    <w14:schemeClr w14:val="tx1"/>
                  </w14:solidFill>
                </w14:textFill>
              </w:rPr>
              <w:t>15</w:t>
            </w:r>
            <w:r>
              <w:rPr>
                <w:rFonts w:hAnsiTheme="minorEastAsia" w:eastAsiaTheme="minorEastAsia"/>
                <w:color w:val="000000" w:themeColor="text1"/>
                <w:szCs w:val="21"/>
                <w14:textFill>
                  <w14:solidFill>
                    <w14:schemeClr w14:val="tx1"/>
                  </w14:solidFill>
                </w14:textFill>
              </w:rPr>
              <w:t>年以内（含</w:t>
            </w:r>
            <w:r>
              <w:rPr>
                <w:rFonts w:eastAsiaTheme="minorEastAsia"/>
                <w:color w:val="000000" w:themeColor="text1"/>
                <w:szCs w:val="21"/>
                <w14:textFill>
                  <w14:solidFill>
                    <w14:schemeClr w14:val="tx1"/>
                  </w14:solidFill>
                </w14:textFill>
              </w:rPr>
              <w:t>15</w:t>
            </w:r>
            <w:r>
              <w:rPr>
                <w:rFonts w:hAnsiTheme="minorEastAsia" w:eastAsiaTheme="minorEastAsia"/>
                <w:color w:val="000000" w:themeColor="text1"/>
                <w:szCs w:val="21"/>
                <w14:textFill>
                  <w14:solidFill>
                    <w14:schemeClr w14:val="tx1"/>
                  </w14:solidFill>
                </w14:textFill>
              </w:rPr>
              <w:t>年，以安装监督检验合格日期为基准）的自动扶梯和自动人行道的定期检验，此项为</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无此项</w:t>
            </w:r>
            <w:r>
              <w:rPr>
                <w:rFonts w:eastAsiaTheme="minorEastAsia"/>
                <w:color w:val="000000" w:themeColor="text1"/>
                <w:szCs w:val="21"/>
                <w14:textFill>
                  <w14:solidFill>
                    <w14:schemeClr w14:val="tx1"/>
                  </w14:solidFill>
                </w14:textFill>
              </w:rPr>
              <w:t>”</w:t>
            </w:r>
            <w:r>
              <w:rPr>
                <w:rFonts w:hint="eastAsia" w:eastAsiaTheme="minorEastAsia"/>
                <w:color w:val="000000" w:themeColor="text1"/>
                <w:szCs w:val="21"/>
                <w14:textFill>
                  <w14:solidFill>
                    <w14:schemeClr w14:val="tx1"/>
                  </w14:solidFill>
                </w14:textFill>
              </w:rPr>
              <w:t>。</w:t>
            </w:r>
          </w:p>
        </w:tc>
      </w:tr>
      <w:tr w14:paraId="5C3546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39" w:hRule="atLeast"/>
          <w:jc w:val="center"/>
        </w:trPr>
        <w:tc>
          <w:tcPr>
            <w:tcW w:w="1384" w:type="dxa"/>
            <w:vMerge w:val="continue"/>
            <w:vAlign w:val="center"/>
          </w:tcPr>
          <w:p w14:paraId="1B0D4725">
            <w:pPr>
              <w:pStyle w:val="5"/>
              <w:overflowPunct w:val="0"/>
              <w:autoSpaceDE w:val="0"/>
              <w:autoSpaceDN w:val="0"/>
              <w:adjustRightInd w:val="0"/>
              <w:snapToGrid w:val="0"/>
              <w:spacing w:after="0" w:line="280" w:lineRule="exact"/>
              <w:ind w:left="0" w:leftChars="0"/>
              <w:jc w:val="center"/>
              <w:rPr>
                <w:rFonts w:eastAsiaTheme="minorEastAsia"/>
                <w:bCs/>
                <w:color w:val="000000" w:themeColor="text1"/>
                <w:szCs w:val="21"/>
                <w14:textFill>
                  <w14:solidFill>
                    <w14:schemeClr w14:val="tx1"/>
                  </w14:solidFill>
                </w14:textFill>
              </w:rPr>
            </w:pPr>
          </w:p>
        </w:tc>
        <w:tc>
          <w:tcPr>
            <w:tcW w:w="3402" w:type="dxa"/>
            <w:vAlign w:val="center"/>
          </w:tcPr>
          <w:p w14:paraId="11B16BF1">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）对于可拆卸式手动盘车装置，设有最迟在该装置连接到驱动主机时起作用的电气安全装置</w:t>
            </w:r>
            <w:r>
              <w:rPr>
                <w:rFonts w:hint="eastAsia" w:hAnsiTheme="minorEastAsia" w:eastAsiaTheme="minorEastAsia"/>
                <w:color w:val="000000" w:themeColor="text1"/>
                <w:szCs w:val="21"/>
                <w14:textFill>
                  <w14:solidFill>
                    <w14:schemeClr w14:val="tx1"/>
                  </w14:solidFill>
                </w14:textFill>
              </w:rPr>
              <w:t>。</w:t>
            </w:r>
          </w:p>
        </w:tc>
        <w:tc>
          <w:tcPr>
            <w:tcW w:w="4274" w:type="dxa"/>
            <w:vMerge w:val="continue"/>
            <w:vAlign w:val="center"/>
          </w:tcPr>
          <w:p w14:paraId="348F1FF0">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p>
        </w:tc>
      </w:tr>
      <w:tr w14:paraId="6BF823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18" w:hRule="atLeast"/>
          <w:jc w:val="center"/>
        </w:trPr>
        <w:tc>
          <w:tcPr>
            <w:tcW w:w="1384" w:type="dxa"/>
            <w:vAlign w:val="center"/>
          </w:tcPr>
          <w:p w14:paraId="6DB25B1A">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*A2.2.1.9</w:t>
            </w:r>
          </w:p>
          <w:p w14:paraId="1D0986E3">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驱动链电气安全装置</w:t>
            </w:r>
          </w:p>
        </w:tc>
        <w:tc>
          <w:tcPr>
            <w:tcW w:w="3402" w:type="dxa"/>
            <w:vAlign w:val="center"/>
          </w:tcPr>
          <w:p w14:paraId="28021E1A">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检查当驱动主机驱动链过度松弛和断裂时，电气安全装置是否能够使受检设备自动停止运行，并且能够触发附加制动器动作（设有附加制动器时）</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1CE91834">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时，先目测检查驱动链电气安全装置和附加制动器的设置情况，必要时，可查阅型式试验证书进行验证。再进行手动操作，模拟驱动链松弛或断裂的情况，验证电气安全装置的有效性。同时，对于设置附加制动器的设备，还应验证驱动链电气安全装置动作后，能否触发附加制动器动作</w:t>
            </w:r>
          </w:p>
          <w:p w14:paraId="502FDCB2">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1C15A98E">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此项目所述的</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驱动链</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指连接驱动主机输出轴传动链轮与驱动主轴牵引链轮的链条，一般为多排链条、两根或两根以上的单排链条</w:t>
            </w:r>
            <w:r>
              <w:rPr>
                <w:rFonts w:hint="eastAsia" w:hAnsiTheme="minorEastAsia" w:eastAsiaTheme="minorEastAsia"/>
                <w:color w:val="000000" w:themeColor="text1"/>
                <w:szCs w:val="21"/>
                <w14:textFill>
                  <w14:solidFill>
                    <w14:schemeClr w14:val="tx1"/>
                  </w14:solidFill>
                </w14:textFill>
              </w:rPr>
              <w:t>。</w:t>
            </w:r>
          </w:p>
        </w:tc>
      </w:tr>
      <w:tr w14:paraId="043F2A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86" w:hRule="atLeast"/>
          <w:jc w:val="center"/>
        </w:trPr>
        <w:tc>
          <w:tcPr>
            <w:tcW w:w="1384" w:type="dxa"/>
            <w:vMerge w:val="restart"/>
            <w:vAlign w:val="center"/>
          </w:tcPr>
          <w:p w14:paraId="1CD86F30">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*A2.2.2.3</w:t>
            </w:r>
          </w:p>
          <w:p w14:paraId="0726B8CA">
            <w:pPr>
              <w:overflowPunct w:val="0"/>
              <w:autoSpaceDE w:val="0"/>
              <w:autoSpaceDN w:val="0"/>
              <w:adjustRightInd w:val="0"/>
              <w:snapToGrid w:val="0"/>
              <w:spacing w:line="32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出入口防护</w:t>
            </w:r>
          </w:p>
          <w:p w14:paraId="59F87A51">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装置</w:t>
            </w:r>
          </w:p>
        </w:tc>
        <w:tc>
          <w:tcPr>
            <w:tcW w:w="3402" w:type="dxa"/>
            <w:vAlign w:val="center"/>
          </w:tcPr>
          <w:p w14:paraId="3F7880B5">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对于人员在出入口可能接触到扶手带的外缘并且引起危险的区域，检查是否设置能够阻止乘客进入该区域的永久固定的防护装置，或者符合以下要求的永久固定的防护装置</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对于未按照本规则对出入口防护装置进行过监督检验的，允许只满足下列第（</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）项要求</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w:t>
            </w:r>
          </w:p>
          <w:p w14:paraId="2477795A">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）至少高出扶手带</w:t>
            </w:r>
            <w:r>
              <w:rPr>
                <w:rFonts w:eastAsiaTheme="minorEastAsia"/>
                <w:color w:val="000000" w:themeColor="text1"/>
                <w:szCs w:val="21"/>
                <w14:textFill>
                  <w14:solidFill>
                    <w14:schemeClr w14:val="tx1"/>
                  </w14:solidFill>
                </w14:textFill>
              </w:rPr>
              <w:t>100mm</w:t>
            </w:r>
            <w:r>
              <w:rPr>
                <w:rFonts w:hAnsiTheme="minorEastAsia" w:eastAsiaTheme="minorEastAsia"/>
                <w:color w:val="000000" w:themeColor="text1"/>
                <w:szCs w:val="21"/>
                <w14:textFill>
                  <w14:solidFill>
                    <w14:schemeClr w14:val="tx1"/>
                  </w14:solidFill>
                </w14:textFill>
              </w:rPr>
              <w:t>，位于扶手带外缘</w:t>
            </w:r>
            <w:r>
              <w:rPr>
                <w:rFonts w:eastAsiaTheme="minorEastAsia"/>
                <w:color w:val="000000" w:themeColor="text1"/>
                <w:szCs w:val="21"/>
                <w14:textFill>
                  <w14:solidFill>
                    <w14:schemeClr w14:val="tx1"/>
                  </w14:solidFill>
                </w14:textFill>
              </w:rPr>
              <w:t>80mm</w:t>
            </w: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120mm</w:t>
            </w:r>
            <w:r>
              <w:rPr>
                <w:rFonts w:hAnsiTheme="minorEastAsia" w:eastAsiaTheme="minorEastAsia"/>
                <w:color w:val="000000" w:themeColor="text1"/>
                <w:szCs w:val="21"/>
                <w14:textFill>
                  <w14:solidFill>
                    <w14:schemeClr w14:val="tx1"/>
                  </w14:solidFill>
                </w14:textFill>
              </w:rPr>
              <w:t>处</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71045498">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目测检查，必要时测量相关数据</w:t>
            </w:r>
          </w:p>
          <w:p w14:paraId="76D27301">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2F26AB27">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该项的预防措施主要是针对由于乘客</w:t>
            </w:r>
            <w:r>
              <w:rPr>
                <w:rFonts w:hint="eastAsia" w:hAnsiTheme="minorEastAsia" w:eastAsiaTheme="minorEastAsia"/>
                <w:color w:val="000000" w:themeColor="text1"/>
                <w:szCs w:val="21"/>
                <w14:textFill>
                  <w14:solidFill>
                    <w14:schemeClr w14:val="tx1"/>
                  </w14:solidFill>
                </w14:textFill>
              </w:rPr>
              <w:t>倚靠</w:t>
            </w:r>
            <w:r>
              <w:rPr>
                <w:rFonts w:hAnsiTheme="minorEastAsia" w:eastAsiaTheme="minorEastAsia"/>
                <w:color w:val="000000" w:themeColor="text1"/>
                <w:szCs w:val="21"/>
                <w14:textFill>
                  <w14:solidFill>
                    <w14:schemeClr w14:val="tx1"/>
                  </w14:solidFill>
                </w14:textFill>
              </w:rPr>
              <w:t>在扶手带上而被拖曳到扶手带装置外导致的跌落事故，检查的具体对象为电梯与建筑物相连接的固定护栏，如图所示，该固定护栏高度应至少高出扶手带</w:t>
            </w:r>
            <w:r>
              <w:rPr>
                <w:rFonts w:eastAsiaTheme="minorEastAsia"/>
                <w:color w:val="000000" w:themeColor="text1"/>
                <w:szCs w:val="21"/>
                <w14:textFill>
                  <w14:solidFill>
                    <w14:schemeClr w14:val="tx1"/>
                  </w14:solidFill>
                </w14:textFill>
              </w:rPr>
              <w:t>100mm</w:t>
            </w:r>
            <w:r>
              <w:rPr>
                <w:rFonts w:hAnsiTheme="minorEastAsia" w:eastAsiaTheme="minorEastAsia"/>
                <w:color w:val="000000" w:themeColor="text1"/>
                <w:szCs w:val="21"/>
                <w14:textFill>
                  <w14:solidFill>
                    <w14:schemeClr w14:val="tx1"/>
                  </w14:solidFill>
                </w14:textFill>
              </w:rPr>
              <w:t>，与扶手带外缘的间隙应在</w:t>
            </w:r>
            <w:r>
              <w:rPr>
                <w:rFonts w:eastAsiaTheme="minorEastAsia"/>
                <w:color w:val="000000" w:themeColor="text1"/>
                <w:szCs w:val="21"/>
                <w14:textFill>
                  <w14:solidFill>
                    <w14:schemeClr w14:val="tx1"/>
                  </w14:solidFill>
                </w14:textFill>
              </w:rPr>
              <w:t>80mm</w:t>
            </w:r>
            <w:r>
              <w:rPr>
                <w:rFonts w:hAnsiTheme="minorEastAsia" w:eastAsiaTheme="minorEastAsia"/>
                <w:color w:val="000000" w:themeColor="text1"/>
                <w:szCs w:val="21"/>
                <w14:textFill>
                  <w14:solidFill>
                    <w14:schemeClr w14:val="tx1"/>
                  </w14:solidFill>
                </w14:textFill>
              </w:rPr>
              <w:t>至</w:t>
            </w:r>
            <w:r>
              <w:rPr>
                <w:rFonts w:eastAsiaTheme="minorEastAsia"/>
                <w:color w:val="000000" w:themeColor="text1"/>
                <w:szCs w:val="21"/>
                <w14:textFill>
                  <w14:solidFill>
                    <w14:schemeClr w14:val="tx1"/>
                  </w14:solidFill>
                </w14:textFill>
              </w:rPr>
              <w:t>120mm</w:t>
            </w:r>
            <w:r>
              <w:rPr>
                <w:rFonts w:hAnsiTheme="minorEastAsia" w:eastAsiaTheme="minorEastAsia"/>
                <w:color w:val="000000" w:themeColor="text1"/>
                <w:szCs w:val="21"/>
                <w14:textFill>
                  <w14:solidFill>
                    <w14:schemeClr w14:val="tx1"/>
                  </w14:solidFill>
                </w14:textFill>
              </w:rPr>
              <w:t>之间，护壁板与固定护栏的间隙应尽量小，能够直接连接最佳（此时连接板上端应距离扶手带下缘至少</w:t>
            </w:r>
            <w:r>
              <w:rPr>
                <w:rFonts w:eastAsiaTheme="minorEastAsia"/>
                <w:color w:val="000000" w:themeColor="text1"/>
                <w:szCs w:val="21"/>
                <w14:textFill>
                  <w14:solidFill>
                    <w14:schemeClr w14:val="tx1"/>
                  </w14:solidFill>
                </w14:textFill>
              </w:rPr>
              <w:t>25mm</w:t>
            </w:r>
            <w:r>
              <w:rPr>
                <w:rFonts w:hAnsiTheme="minorEastAsia" w:eastAsiaTheme="minorEastAsia"/>
                <w:color w:val="000000" w:themeColor="text1"/>
                <w:szCs w:val="21"/>
                <w14:textFill>
                  <w14:solidFill>
                    <w14:schemeClr w14:val="tx1"/>
                  </w14:solidFill>
                </w14:textFill>
              </w:rPr>
              <w:t>），如果产生间隙，间隙不能大于</w:t>
            </w:r>
            <w:r>
              <w:rPr>
                <w:rFonts w:eastAsiaTheme="minorEastAsia"/>
                <w:color w:val="000000" w:themeColor="text1"/>
                <w:szCs w:val="21"/>
                <w14:textFill>
                  <w14:solidFill>
                    <w14:schemeClr w14:val="tx1"/>
                  </w14:solidFill>
                </w14:textFill>
              </w:rPr>
              <w:t>120mm</w:t>
            </w:r>
            <w:r>
              <w:rPr>
                <w:rFonts w:hint="eastAsia" w:eastAsiaTheme="minorEastAsia"/>
                <w:color w:val="000000" w:themeColor="text1"/>
                <w:szCs w:val="21"/>
                <w14:textFill>
                  <w14:solidFill>
                    <w14:schemeClr w14:val="tx1"/>
                  </w14:solidFill>
                </w14:textFill>
              </w:rPr>
              <w:t>。</w:t>
            </w:r>
          </w:p>
        </w:tc>
      </w:tr>
      <w:tr w14:paraId="644D0E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88" w:hRule="atLeast"/>
          <w:jc w:val="center"/>
        </w:trPr>
        <w:tc>
          <w:tcPr>
            <w:tcW w:w="1384" w:type="dxa"/>
            <w:vMerge w:val="continue"/>
            <w:vAlign w:val="center"/>
          </w:tcPr>
          <w:p w14:paraId="1A421E3E">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0FBC3D4F">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）从楼层板起高度不小于</w:t>
            </w:r>
            <w:r>
              <w:rPr>
                <w:rFonts w:eastAsiaTheme="minorEastAsia"/>
                <w:color w:val="000000" w:themeColor="text1"/>
                <w:szCs w:val="21"/>
                <w14:textFill>
                  <w14:solidFill>
                    <w14:schemeClr w14:val="tx1"/>
                  </w14:solidFill>
                </w14:textFill>
              </w:rPr>
              <w:t>1100mm</w:t>
            </w:r>
            <w:r>
              <w:rPr>
                <w:rFonts w:hint="eastAsia" w:eastAsiaTheme="minorEastAsia"/>
                <w:color w:val="000000" w:themeColor="text1"/>
                <w:szCs w:val="21"/>
                <w14:textFill>
                  <w14:solidFill>
                    <w14:schemeClr w14:val="tx1"/>
                  </w14:solidFill>
                </w14:textFill>
              </w:rPr>
              <w:t>。</w:t>
            </w:r>
          </w:p>
        </w:tc>
        <w:tc>
          <w:tcPr>
            <w:tcW w:w="4274" w:type="dxa"/>
            <w:vAlign w:val="center"/>
          </w:tcPr>
          <w:p w14:paraId="0B9A6EB8">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目测检查，必要时测量相关数据</w:t>
            </w:r>
          </w:p>
          <w:p w14:paraId="6FAF1F51">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61795CA7">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如果自动扶梯与自动人行道不存在跌落到扶手带装置外的风险，比如与建筑物墙紧密相邻，或与其他电梯成紧密相邻平行布置，即使进入扶手带装置外区域，也不会跌落，只存在外盖板上滑落的风险，此时建筑物不需要安装固定护栏，而是应该安装</w:t>
            </w:r>
            <w:r>
              <w:rPr>
                <w:rFonts w:eastAsiaTheme="minorEastAsia"/>
                <w:color w:val="000000" w:themeColor="text1"/>
                <w:szCs w:val="21"/>
                <w14:textFill>
                  <w14:solidFill>
                    <w14:schemeClr w14:val="tx1"/>
                  </w14:solidFill>
                </w14:textFill>
              </w:rPr>
              <w:t>A2.2.3.4</w:t>
            </w:r>
            <w:r>
              <w:rPr>
                <w:rFonts w:hAnsiTheme="minorEastAsia" w:eastAsiaTheme="minorEastAsia"/>
                <w:color w:val="000000" w:themeColor="text1"/>
                <w:szCs w:val="21"/>
                <w14:textFill>
                  <w14:solidFill>
                    <w14:schemeClr w14:val="tx1"/>
                  </w14:solidFill>
                </w14:textFill>
              </w:rPr>
              <w:t>中要求的装置，此时</w:t>
            </w:r>
            <w:r>
              <w:rPr>
                <w:rFonts w:eastAsiaTheme="minorEastAsia"/>
                <w:color w:val="000000" w:themeColor="text1"/>
                <w:szCs w:val="21"/>
                <w14:textFill>
                  <w14:solidFill>
                    <w14:schemeClr w14:val="tx1"/>
                  </w14:solidFill>
                </w14:textFill>
              </w:rPr>
              <w:t>A2.2.2.3</w:t>
            </w:r>
            <w:r>
              <w:rPr>
                <w:rFonts w:hAnsiTheme="minorEastAsia" w:eastAsiaTheme="minorEastAsia"/>
                <w:color w:val="000000" w:themeColor="text1"/>
                <w:szCs w:val="21"/>
                <w14:textFill>
                  <w14:solidFill>
                    <w14:schemeClr w14:val="tx1"/>
                  </w14:solidFill>
                </w14:textFill>
              </w:rPr>
              <w:t>条应划为无此项。</w:t>
            </w:r>
          </w:p>
          <w:p w14:paraId="0AFA388C">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对于未按照《电梯监督检验和定期检验规则》对出入口防护装置进行过监督检验的，允许只满足第（</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）项要求</w:t>
            </w:r>
            <w:r>
              <w:rPr>
                <w:rFonts w:hint="eastAsia" w:hAnsiTheme="minorEastAsia" w:eastAsiaTheme="minorEastAsia"/>
                <w:color w:val="000000" w:themeColor="text1"/>
                <w:szCs w:val="21"/>
                <w14:textFill>
                  <w14:solidFill>
                    <w14:schemeClr w14:val="tx1"/>
                  </w14:solidFill>
                </w14:textFill>
              </w:rPr>
              <w:t>。</w:t>
            </w:r>
          </w:p>
        </w:tc>
      </w:tr>
      <w:tr w14:paraId="12B46E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86" w:hRule="atLeast"/>
          <w:jc w:val="center"/>
        </w:trPr>
        <w:tc>
          <w:tcPr>
            <w:tcW w:w="1384" w:type="dxa"/>
            <w:vAlign w:val="center"/>
          </w:tcPr>
          <w:p w14:paraId="32F48531">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*A2.2.2.5</w:t>
            </w:r>
          </w:p>
          <w:p w14:paraId="522B5B53">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防护挡板</w:t>
            </w:r>
          </w:p>
        </w:tc>
        <w:tc>
          <w:tcPr>
            <w:tcW w:w="3402" w:type="dxa"/>
            <w:vAlign w:val="center"/>
          </w:tcPr>
          <w:p w14:paraId="3F1EAFCC">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建筑障碍物会引起人员伤害的，检查是否采取了预防措施。受检设备与楼板有交叉或者受检设备之间有交叉的，检查交叉处是否设有垂直固定、无锐利边缘的封闭防护挡板，其位于扶手带上方的防护高度不小于</w:t>
            </w:r>
            <w:r>
              <w:rPr>
                <w:rFonts w:eastAsiaTheme="minorEastAsia"/>
                <w:color w:val="000000" w:themeColor="text1"/>
                <w:szCs w:val="21"/>
                <w14:textFill>
                  <w14:solidFill>
                    <w14:schemeClr w14:val="tx1"/>
                  </w14:solidFill>
                </w14:textFill>
              </w:rPr>
              <w:t>0.30m</w:t>
            </w:r>
            <w:r>
              <w:rPr>
                <w:rFonts w:hAnsiTheme="minorEastAsia" w:eastAsiaTheme="minorEastAsia"/>
                <w:color w:val="000000" w:themeColor="text1"/>
                <w:szCs w:val="21"/>
                <w14:textFill>
                  <w14:solidFill>
                    <w14:schemeClr w14:val="tx1"/>
                  </w14:solidFill>
                </w14:textFill>
              </w:rPr>
              <w:t>，并且延伸至扶手带下缘以下至少</w:t>
            </w:r>
            <w:r>
              <w:rPr>
                <w:rFonts w:eastAsiaTheme="minorEastAsia"/>
                <w:color w:val="000000" w:themeColor="text1"/>
                <w:szCs w:val="21"/>
                <w14:textFill>
                  <w14:solidFill>
                    <w14:schemeClr w14:val="tx1"/>
                  </w14:solidFill>
                </w14:textFill>
              </w:rPr>
              <w:t>25mm</w:t>
            </w:r>
            <w:r>
              <w:rPr>
                <w:rFonts w:hAnsiTheme="minorEastAsia" w:eastAsiaTheme="minorEastAsia"/>
                <w:color w:val="000000" w:themeColor="text1"/>
                <w:szCs w:val="21"/>
                <w14:textFill>
                  <w14:solidFill>
                    <w14:schemeClr w14:val="tx1"/>
                  </w14:solidFill>
                </w14:textFill>
              </w:rPr>
              <w:t>。扶手带外缘与任何障碍物之间的距离不小于</w:t>
            </w:r>
            <w:r>
              <w:rPr>
                <w:rFonts w:eastAsiaTheme="minorEastAsia"/>
                <w:color w:val="000000" w:themeColor="text1"/>
                <w:szCs w:val="21"/>
                <w14:textFill>
                  <w14:solidFill>
                    <w14:schemeClr w14:val="tx1"/>
                  </w14:solidFill>
                </w14:textFill>
              </w:rPr>
              <w:t>400mm</w:t>
            </w:r>
            <w:r>
              <w:rPr>
                <w:rFonts w:hAnsiTheme="minorEastAsia" w:eastAsiaTheme="minorEastAsia"/>
                <w:color w:val="000000" w:themeColor="text1"/>
                <w:szCs w:val="21"/>
                <w14:textFill>
                  <w14:solidFill>
                    <w14:schemeClr w14:val="tx1"/>
                  </w14:solidFill>
                </w14:textFill>
              </w:rPr>
              <w:t>的，可以不设置防护挡板</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3147F81E">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目测检查，必要时测量相关数据</w:t>
            </w:r>
          </w:p>
          <w:p w14:paraId="1048E7C5">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0AF23236">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如果在乘坐自动扶梯与自动人行道时有能够引起人员伤害的障碍物，则需要检查相应的预防措施。特别是检查自动扶梯与自动人行道与楼板交叉处或多电梯交错布置的交叉处，如果与扶手带外缘之间的距离小于</w:t>
            </w:r>
            <w:r>
              <w:rPr>
                <w:rFonts w:eastAsiaTheme="minorEastAsia"/>
                <w:color w:val="000000" w:themeColor="text1"/>
                <w:szCs w:val="21"/>
                <w14:textFill>
                  <w14:solidFill>
                    <w14:schemeClr w14:val="tx1"/>
                  </w14:solidFill>
                </w14:textFill>
              </w:rPr>
              <w:t>400mm</w:t>
            </w:r>
            <w:r>
              <w:rPr>
                <w:rFonts w:hAnsiTheme="minorEastAsia" w:eastAsiaTheme="minorEastAsia"/>
                <w:color w:val="000000" w:themeColor="text1"/>
                <w:szCs w:val="21"/>
                <w14:textFill>
                  <w14:solidFill>
                    <w14:schemeClr w14:val="tx1"/>
                  </w14:solidFill>
                </w14:textFill>
              </w:rPr>
              <w:t>，检查其是否在交叉处安装了一个垂直固定封闭的防护挡板，查看其尺寸与安装位置，检查防护挡板的有效性，注意应是刚性固定、非网状且安装后与建筑物及扶手带不存在孔洞的全封闭挡板，其防护高度不小于</w:t>
            </w:r>
            <w:r>
              <w:rPr>
                <w:rFonts w:eastAsiaTheme="minorEastAsia"/>
                <w:color w:val="000000" w:themeColor="text1"/>
                <w:szCs w:val="21"/>
                <w14:textFill>
                  <w14:solidFill>
                    <w14:schemeClr w14:val="tx1"/>
                  </w14:solidFill>
                </w14:textFill>
              </w:rPr>
              <w:t>0.30m</w:t>
            </w:r>
            <w:r>
              <w:rPr>
                <w:rFonts w:hAnsiTheme="minorEastAsia" w:eastAsiaTheme="minorEastAsia"/>
                <w:color w:val="000000" w:themeColor="text1"/>
                <w:szCs w:val="21"/>
                <w14:textFill>
                  <w14:solidFill>
                    <w14:schemeClr w14:val="tx1"/>
                  </w14:solidFill>
                </w14:textFill>
              </w:rPr>
              <w:t>，并且延伸至扶手带下缘以下至少</w:t>
            </w:r>
            <w:r>
              <w:rPr>
                <w:rFonts w:eastAsiaTheme="minorEastAsia"/>
                <w:color w:val="000000" w:themeColor="text1"/>
                <w:szCs w:val="21"/>
                <w14:textFill>
                  <w14:solidFill>
                    <w14:schemeClr w14:val="tx1"/>
                  </w14:solidFill>
                </w14:textFill>
              </w:rPr>
              <w:t>25mm</w:t>
            </w:r>
            <w:r>
              <w:rPr>
                <w:rFonts w:hAnsiTheme="minorEastAsia" w:eastAsiaTheme="minorEastAsia"/>
                <w:color w:val="000000" w:themeColor="text1"/>
                <w:szCs w:val="21"/>
                <w14:textFill>
                  <w14:solidFill>
                    <w14:schemeClr w14:val="tx1"/>
                  </w14:solidFill>
                </w14:textFill>
              </w:rPr>
              <w:t>。</w:t>
            </w:r>
          </w:p>
          <w:p w14:paraId="727760F4">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如果在扶手带外缘以外间距小于</w:t>
            </w:r>
            <w:r>
              <w:rPr>
                <w:rFonts w:eastAsiaTheme="minorEastAsia"/>
                <w:color w:val="000000" w:themeColor="text1"/>
                <w:szCs w:val="21"/>
                <w14:textFill>
                  <w14:solidFill>
                    <w14:schemeClr w14:val="tx1"/>
                  </w14:solidFill>
                </w14:textFill>
              </w:rPr>
              <w:t>400mm</w:t>
            </w:r>
            <w:r>
              <w:rPr>
                <w:rFonts w:hAnsiTheme="minorEastAsia" w:eastAsiaTheme="minorEastAsia"/>
                <w:color w:val="000000" w:themeColor="text1"/>
                <w:szCs w:val="21"/>
                <w14:textFill>
                  <w14:solidFill>
                    <w14:schemeClr w14:val="tx1"/>
                  </w14:solidFill>
                </w14:textFill>
              </w:rPr>
              <w:t>的空间内没有上述的危险交叉处和其他能够引起人员伤害的障碍物，或者扶手带外缘与任何障碍物之间的距离不小于</w:t>
            </w:r>
            <w:r>
              <w:rPr>
                <w:rFonts w:eastAsiaTheme="minorEastAsia"/>
                <w:color w:val="000000" w:themeColor="text1"/>
                <w:szCs w:val="21"/>
                <w14:textFill>
                  <w14:solidFill>
                    <w14:schemeClr w14:val="tx1"/>
                  </w14:solidFill>
                </w14:textFill>
              </w:rPr>
              <w:t>400mm</w:t>
            </w:r>
            <w:r>
              <w:rPr>
                <w:rFonts w:hAnsiTheme="minorEastAsia" w:eastAsiaTheme="minorEastAsia"/>
                <w:color w:val="000000" w:themeColor="text1"/>
                <w:szCs w:val="21"/>
                <w14:textFill>
                  <w14:solidFill>
                    <w14:schemeClr w14:val="tx1"/>
                  </w14:solidFill>
                </w14:textFill>
              </w:rPr>
              <w:t>的，可以不设置防护挡板，则该项目应划为无此项</w:t>
            </w:r>
            <w:r>
              <w:rPr>
                <w:rFonts w:hint="eastAsia" w:hAnsiTheme="minorEastAsia" w:eastAsiaTheme="minorEastAsia"/>
                <w:color w:val="000000" w:themeColor="text1"/>
                <w:szCs w:val="21"/>
                <w14:textFill>
                  <w14:solidFill>
                    <w14:schemeClr w14:val="tx1"/>
                  </w14:solidFill>
                </w14:textFill>
              </w:rPr>
              <w:t>。</w:t>
            </w:r>
          </w:p>
        </w:tc>
      </w:tr>
      <w:tr w14:paraId="582509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25" w:hRule="atLeast"/>
          <w:jc w:val="center"/>
        </w:trPr>
        <w:tc>
          <w:tcPr>
            <w:tcW w:w="1384" w:type="dxa"/>
            <w:vMerge w:val="restart"/>
            <w:vAlign w:val="center"/>
          </w:tcPr>
          <w:p w14:paraId="6FE4B93C">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*A2.2.2.7</w:t>
            </w:r>
          </w:p>
          <w:p w14:paraId="0C8FF30A">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连续输</w:t>
            </w:r>
          </w:p>
          <w:p w14:paraId="1810CCBD">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送保护</w:t>
            </w:r>
          </w:p>
        </w:tc>
        <w:tc>
          <w:tcPr>
            <w:tcW w:w="3402" w:type="dxa"/>
            <w:vAlign w:val="center"/>
          </w:tcPr>
          <w:p w14:paraId="483CE830">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对于多台连续并且无中间出口的受检设备，检查其是否符合以下要求：</w:t>
            </w:r>
          </w:p>
          <w:p w14:paraId="5873E5A1">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）具有相同的输送能力并且同方向运行</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41CCE495">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查验相关资料判断输送能力是否相同，观察运行方向是否相同</w:t>
            </w:r>
            <w:r>
              <w:rPr>
                <w:rFonts w:hint="eastAsia" w:hAnsiTheme="minorEastAsia" w:eastAsiaTheme="minorEastAsia"/>
                <w:color w:val="000000" w:themeColor="text1"/>
                <w:szCs w:val="21"/>
                <w14:textFill>
                  <w14:solidFill>
                    <w14:schemeClr w14:val="tx1"/>
                  </w14:solidFill>
                </w14:textFill>
              </w:rPr>
              <w:t>。</w:t>
            </w:r>
          </w:p>
        </w:tc>
      </w:tr>
      <w:tr w14:paraId="6FB622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59" w:hRule="atLeast"/>
          <w:jc w:val="center"/>
        </w:trPr>
        <w:tc>
          <w:tcPr>
            <w:tcW w:w="1384" w:type="dxa"/>
            <w:vMerge w:val="continue"/>
            <w:vAlign w:val="center"/>
          </w:tcPr>
          <w:p w14:paraId="72A8DD84">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4318524A">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）在梯级、踏板或者胶带到达梳齿与踏面相交线之前</w:t>
            </w:r>
            <w:r>
              <w:rPr>
                <w:rFonts w:eastAsiaTheme="minorEastAsia"/>
                <w:color w:val="000000" w:themeColor="text1"/>
                <w:szCs w:val="21"/>
                <w14:textFill>
                  <w14:solidFill>
                    <w14:schemeClr w14:val="tx1"/>
                  </w14:solidFill>
                </w14:textFill>
              </w:rPr>
              <w:t>2.00m</w:t>
            </w: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3.00m</w:t>
            </w:r>
            <w:r>
              <w:rPr>
                <w:rFonts w:hAnsiTheme="minorEastAsia" w:eastAsiaTheme="minorEastAsia"/>
                <w:color w:val="000000" w:themeColor="text1"/>
                <w:szCs w:val="21"/>
                <w14:textFill>
                  <w14:solidFill>
                    <w14:schemeClr w14:val="tx1"/>
                  </w14:solidFill>
                </w14:textFill>
              </w:rPr>
              <w:t>处，设有乘客易于触及的附加紧急停止开关</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2AE81D54">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观察在梯级、踏板或胶带到达梳齿与踏面相交线之前</w:t>
            </w:r>
            <w:r>
              <w:rPr>
                <w:rFonts w:eastAsiaTheme="minorEastAsia"/>
                <w:color w:val="000000" w:themeColor="text1"/>
                <w:szCs w:val="21"/>
                <w14:textFill>
                  <w14:solidFill>
                    <w14:schemeClr w14:val="tx1"/>
                  </w14:solidFill>
                </w14:textFill>
              </w:rPr>
              <w:t>2.00m</w:t>
            </w: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3.00m</w:t>
            </w:r>
            <w:r>
              <w:rPr>
                <w:rFonts w:hAnsiTheme="minorEastAsia" w:eastAsiaTheme="minorEastAsia"/>
                <w:color w:val="000000" w:themeColor="text1"/>
                <w:szCs w:val="21"/>
                <w14:textFill>
                  <w14:solidFill>
                    <w14:schemeClr w14:val="tx1"/>
                  </w14:solidFill>
                </w14:textFill>
              </w:rPr>
              <w:t>处，是否设有易于触及的接近扶手带高度的附加紧急停止开关</w:t>
            </w:r>
            <w:r>
              <w:rPr>
                <w:rFonts w:hint="eastAsia" w:hAnsiTheme="minorEastAsia" w:eastAsiaTheme="minorEastAsia"/>
                <w:color w:val="000000" w:themeColor="text1"/>
                <w:szCs w:val="21"/>
                <w14:textFill>
                  <w14:solidFill>
                    <w14:schemeClr w14:val="tx1"/>
                  </w14:solidFill>
                </w14:textFill>
              </w:rPr>
              <w:t>。</w:t>
            </w:r>
          </w:p>
        </w:tc>
      </w:tr>
      <w:tr w14:paraId="4950F8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27E0246A">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3FCD7BD5">
            <w:pPr>
              <w:pStyle w:val="5"/>
              <w:overflowPunct w:val="0"/>
              <w:autoSpaceDE w:val="0"/>
              <w:autoSpaceDN w:val="0"/>
              <w:adjustRightInd w:val="0"/>
              <w:snapToGrid w:val="0"/>
              <w:spacing w:after="0" w:line="32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）当其中一台受检设备停止运行时，其他继续运行可能造成人流拥堵的设备也停止运行</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59719A1E">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按照制造单位提供的方法进行试验，现场观察确认。或者模拟动作测试（如人为停止其中一台受检设备），查看其他继续运行可能造成人流拥堵的设备是否同时停止运行</w:t>
            </w:r>
          </w:p>
          <w:p w14:paraId="62673BF4">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3184A61F">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对于有中间出口且出口无障碍的自动扶梯或自动人行道，</w:t>
            </w:r>
            <w:r>
              <w:rPr>
                <w:rFonts w:eastAsiaTheme="minorEastAsia"/>
                <w:color w:val="000000" w:themeColor="text1"/>
                <w:szCs w:val="21"/>
                <w14:textFill>
                  <w14:solidFill>
                    <w14:schemeClr w14:val="tx1"/>
                  </w14:solidFill>
                </w14:textFill>
              </w:rPr>
              <w:t>A2.2.2.7</w:t>
            </w:r>
            <w:r>
              <w:rPr>
                <w:rFonts w:hAnsiTheme="minorEastAsia" w:eastAsiaTheme="minorEastAsia"/>
                <w:color w:val="000000" w:themeColor="text1"/>
                <w:szCs w:val="21"/>
                <w14:textFill>
                  <w14:solidFill>
                    <w14:schemeClr w14:val="tx1"/>
                  </w14:solidFill>
                </w14:textFill>
              </w:rPr>
              <w:t>条应划为无此项。</w:t>
            </w:r>
          </w:p>
          <w:p w14:paraId="17BF3A67">
            <w:pPr>
              <w:overflowPunct w:val="0"/>
              <w:autoSpaceDE w:val="0"/>
              <w:autoSpaceDN w:val="0"/>
              <w:adjustRightInd w:val="0"/>
              <w:snapToGrid w:val="0"/>
              <w:spacing w:line="32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如果关闭阻挡在受检设备出口的闸门或防火门，受检设备应当停止运行</w:t>
            </w:r>
            <w:r>
              <w:rPr>
                <w:rFonts w:hint="eastAsia" w:hAnsiTheme="minorEastAsia" w:eastAsiaTheme="minorEastAsia"/>
                <w:color w:val="000000" w:themeColor="text1"/>
                <w:szCs w:val="21"/>
                <w14:textFill>
                  <w14:solidFill>
                    <w14:schemeClr w14:val="tx1"/>
                  </w14:solidFill>
                </w14:textFill>
              </w:rPr>
              <w:t>。</w:t>
            </w:r>
          </w:p>
        </w:tc>
      </w:tr>
      <w:tr w14:paraId="0EC541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restart"/>
            <w:vAlign w:val="center"/>
          </w:tcPr>
          <w:p w14:paraId="1E5058B3">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*A2.2.2.8</w:t>
            </w:r>
          </w:p>
          <w:p w14:paraId="0E1882B0">
            <w:pPr>
              <w:overflowPunct w:val="0"/>
              <w:autoSpaceDE w:val="0"/>
              <w:autoSpaceDN w:val="0"/>
              <w:adjustRightInd w:val="0"/>
              <w:snapToGrid w:val="0"/>
              <w:spacing w:line="32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检修盖板与</w:t>
            </w:r>
          </w:p>
          <w:p w14:paraId="295D0D6E">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楼层板</w:t>
            </w:r>
          </w:p>
        </w:tc>
        <w:tc>
          <w:tcPr>
            <w:tcW w:w="3402" w:type="dxa"/>
            <w:vAlign w:val="center"/>
          </w:tcPr>
          <w:p w14:paraId="13883B3D">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检查其是否符合以下要求：</w:t>
            </w:r>
          </w:p>
          <w:p w14:paraId="407E162C">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）检修盖板与楼层板的安装和固定能够防止人员踩踏或者自重作用而导致的倾覆、翻转</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1A1D9252">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观察检修盖板与楼层板结构，若为有可能发生倾覆的结构，应当有防止楼层板因人员踩踏或者自重的作用而发生倾覆、翻转的措施</w:t>
            </w:r>
            <w:r>
              <w:rPr>
                <w:rFonts w:hint="eastAsia" w:hAnsiTheme="minorEastAsia" w:eastAsiaTheme="minorEastAsia"/>
                <w:color w:val="000000" w:themeColor="text1"/>
                <w:szCs w:val="21"/>
                <w14:textFill>
                  <w14:solidFill>
                    <w14:schemeClr w14:val="tx1"/>
                  </w14:solidFill>
                </w14:textFill>
              </w:rPr>
              <w:t>。</w:t>
            </w:r>
          </w:p>
        </w:tc>
      </w:tr>
      <w:tr w14:paraId="797863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1A889750">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4E074B29">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）监测检修盖板和楼层板的电气安全装置能够在移除任何一块检修盖板或者楼层板时动作，对于机械结构能够保证只能先移除某块检修盖板或者楼层板的，至少在移除该块检修盖板或者楼层板后电气安全装置动作</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002DEEB0">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分别移除各检修盖板与楼层板查看是否能使自动扶梯或者自动人行道停止运行，如果机械结构能够保证只能先移除某一块检修盖板或者楼层板时，至少在移除该块检修盖板或者楼层板后，电气安全装置动作</w:t>
            </w:r>
            <w:r>
              <w:rPr>
                <w:rFonts w:hint="eastAsia" w:hAnsiTheme="minorEastAsia" w:eastAsiaTheme="minorEastAsia"/>
                <w:color w:val="000000" w:themeColor="text1"/>
                <w:szCs w:val="21"/>
                <w14:textFill>
                  <w14:solidFill>
                    <w14:schemeClr w14:val="tx1"/>
                  </w14:solidFill>
                </w14:textFill>
              </w:rPr>
              <w:t>。</w:t>
            </w:r>
          </w:p>
        </w:tc>
      </w:tr>
      <w:tr w14:paraId="550EE5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restart"/>
            <w:vAlign w:val="center"/>
          </w:tcPr>
          <w:p w14:paraId="74258D22">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*A2.2.2.9</w:t>
            </w:r>
          </w:p>
          <w:p w14:paraId="782F3C39">
            <w:pPr>
              <w:overflowPunct w:val="0"/>
              <w:autoSpaceDE w:val="0"/>
              <w:autoSpaceDN w:val="0"/>
              <w:adjustRightInd w:val="0"/>
              <w:snapToGrid w:val="0"/>
              <w:spacing w:line="320" w:lineRule="exact"/>
              <w:jc w:val="center"/>
              <w:rPr>
                <w:rFonts w:hint="eastAsia"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梳齿与</w:t>
            </w:r>
          </w:p>
          <w:p w14:paraId="6348465D">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梳齿板</w:t>
            </w:r>
          </w:p>
        </w:tc>
        <w:tc>
          <w:tcPr>
            <w:tcW w:w="3402" w:type="dxa"/>
            <w:vAlign w:val="center"/>
          </w:tcPr>
          <w:p w14:paraId="466684E0">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检查其是否符合以下要求：</w:t>
            </w:r>
          </w:p>
          <w:p w14:paraId="71CA14B7">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）梳齿板梳齿完好，无缺损</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4029D7FD">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目测检查，梳齿板梳齿和踏面齿是否完好，应观察所有踏面的踏面齿是否完好无缺损</w:t>
            </w:r>
            <w:r>
              <w:rPr>
                <w:rFonts w:hint="eastAsia" w:hAnsiTheme="minorEastAsia" w:eastAsiaTheme="minorEastAsia"/>
                <w:color w:val="000000" w:themeColor="text1"/>
                <w:szCs w:val="21"/>
                <w14:textFill>
                  <w14:solidFill>
                    <w14:schemeClr w14:val="tx1"/>
                  </w14:solidFill>
                </w14:textFill>
              </w:rPr>
              <w:t>。</w:t>
            </w:r>
          </w:p>
        </w:tc>
      </w:tr>
      <w:tr w14:paraId="3442F2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198404EF">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00AC937F">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）梳齿板梳齿与踏面齿槽的啮合深度至少为</w:t>
            </w:r>
            <w:r>
              <w:rPr>
                <w:rFonts w:eastAsiaTheme="minorEastAsia"/>
                <w:color w:val="000000" w:themeColor="text1"/>
                <w:szCs w:val="21"/>
                <w14:textFill>
                  <w14:solidFill>
                    <w14:schemeClr w14:val="tx1"/>
                  </w14:solidFill>
                </w14:textFill>
              </w:rPr>
              <w:t>4mm</w:t>
            </w:r>
            <w:r>
              <w:rPr>
                <w:rFonts w:hAnsiTheme="minorEastAsia" w:eastAsiaTheme="minorEastAsia"/>
                <w:color w:val="000000" w:themeColor="text1"/>
                <w:szCs w:val="21"/>
                <w14:textFill>
                  <w14:solidFill>
                    <w14:schemeClr w14:val="tx1"/>
                  </w14:solidFill>
                </w14:textFill>
              </w:rPr>
              <w:t>，梳齿槽根部与踏面的间隙不超过</w:t>
            </w:r>
            <w:r>
              <w:rPr>
                <w:rFonts w:eastAsiaTheme="minorEastAsia"/>
                <w:color w:val="000000" w:themeColor="text1"/>
                <w:szCs w:val="21"/>
                <w14:textFill>
                  <w14:solidFill>
                    <w14:schemeClr w14:val="tx1"/>
                  </w14:solidFill>
                </w14:textFill>
              </w:rPr>
              <w:t>4mm</w:t>
            </w:r>
            <w:r>
              <w:rPr>
                <w:rFonts w:hint="eastAsia" w:eastAsiaTheme="minorEastAsia"/>
                <w:color w:val="000000" w:themeColor="text1"/>
                <w:szCs w:val="21"/>
                <w14:textFill>
                  <w14:solidFill>
                    <w14:schemeClr w14:val="tx1"/>
                  </w14:solidFill>
                </w14:textFill>
              </w:rPr>
              <w:t>。</w:t>
            </w:r>
          </w:p>
        </w:tc>
        <w:tc>
          <w:tcPr>
            <w:tcW w:w="4274" w:type="dxa"/>
            <w:vAlign w:val="center"/>
          </w:tcPr>
          <w:p w14:paraId="2B33D08F">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查看梳齿板梳齿与踏板面齿槽的啮合深度，梳齿槽根部与踏面的间隙，必要时测量相关数据</w:t>
            </w:r>
          </w:p>
          <w:p w14:paraId="56F7B272">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1042B69D">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梳齿槽根部与踏面的间隙可以通过塞尺直接测量，梳齿板梳齿与踏板面齿槽的啮合深度有两种常见的测量方法。一种是间接法，先利用钢直尺测量踏面齿齿槽深度，再利用塞尺测量梳齿顶与踏面底的齿底间距，啮合深度即为齿槽深度减去齿底间距的差值；另一种是划线法，先沿梯级与梳齿相交的面上划线，给梳齿上作记号，然后拆下梳齿板，通过记号划待测量的线段，然后用卡尺或钢直尺测量，这个线段长度即为本项目中的啮合深度。</w:t>
            </w:r>
          </w:p>
          <w:p w14:paraId="2B68A652">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由于每个梳齿相交线的位置都有多个梳齿板，测量时应在梯级宽度方向上分左、中、右三个位置进行测量，间隙取最大值，啮合深度取最小值</w:t>
            </w:r>
            <w:r>
              <w:rPr>
                <w:rFonts w:hint="eastAsia" w:hAnsiTheme="minorEastAsia" w:eastAsiaTheme="minorEastAsia"/>
                <w:color w:val="000000" w:themeColor="text1"/>
                <w:szCs w:val="21"/>
                <w14:textFill>
                  <w14:solidFill>
                    <w14:schemeClr w14:val="tx1"/>
                  </w14:solidFill>
                </w14:textFill>
              </w:rPr>
              <w:t>。</w:t>
            </w:r>
          </w:p>
        </w:tc>
      </w:tr>
      <w:tr w14:paraId="0B430C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705EBEAB">
            <w:pPr>
              <w:overflowPunct w:val="0"/>
              <w:autoSpaceDE w:val="0"/>
              <w:autoSpaceDN w:val="0"/>
              <w:adjustRightInd w:val="0"/>
              <w:snapToGrid w:val="0"/>
              <w:spacing w:line="32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78B019C7">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）梯级或者踏板进入梳齿板处有异物卡入，并且梳齿与梯级或者踏板不能正常啮合而导致梳齿板与梯级或者踏板发生碰撞时，受检设备能够自动停止运行</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32714CB2">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模拟试验，验证是否符合要求</w:t>
            </w:r>
          </w:p>
          <w:p w14:paraId="36F77289">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779A2766">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首先要判断梳齿板保护开关的动作方向，常见的梳齿板保护开关的动作方向有向后或向上移动两种，试验时要根据梳齿板保护开关的动作方向，用工具使梳齿板向相应方向移动，检查安全开关是否动作，自动扶梯或自动人行道能否启动</w:t>
            </w:r>
            <w:r>
              <w:rPr>
                <w:rFonts w:hint="eastAsia" w:hAnsiTheme="minorEastAsia" w:eastAsiaTheme="minorEastAsia"/>
                <w:color w:val="000000" w:themeColor="text1"/>
                <w:szCs w:val="21"/>
                <w14:textFill>
                  <w14:solidFill>
                    <w14:schemeClr w14:val="tx1"/>
                  </w14:solidFill>
                </w14:textFill>
              </w:rPr>
              <w:t>。</w:t>
            </w:r>
          </w:p>
        </w:tc>
      </w:tr>
      <w:tr w14:paraId="778435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42" w:hRule="atLeast"/>
          <w:jc w:val="center"/>
        </w:trPr>
        <w:tc>
          <w:tcPr>
            <w:tcW w:w="1384" w:type="dxa"/>
            <w:vMerge w:val="restart"/>
            <w:vAlign w:val="center"/>
          </w:tcPr>
          <w:p w14:paraId="0C4189C7">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*A2.2.2.10</w:t>
            </w:r>
          </w:p>
          <w:p w14:paraId="18394A11">
            <w:pPr>
              <w:overflowPunct w:val="0"/>
              <w:autoSpaceDE w:val="0"/>
              <w:autoSpaceDN w:val="0"/>
              <w:adjustRightInd w:val="0"/>
              <w:snapToGrid w:val="0"/>
              <w:spacing w:line="280" w:lineRule="exact"/>
              <w:jc w:val="center"/>
              <w:rPr>
                <w:rFonts w:hint="eastAsia"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紧急停止</w:t>
            </w:r>
          </w:p>
          <w:p w14:paraId="440DE9D8">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开关</w:t>
            </w:r>
          </w:p>
        </w:tc>
        <w:tc>
          <w:tcPr>
            <w:tcW w:w="3402" w:type="dxa"/>
            <w:vAlign w:val="center"/>
          </w:tcPr>
          <w:p w14:paraId="780625C3">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检查其是否符合以下要求：</w:t>
            </w:r>
          </w:p>
          <w:p w14:paraId="681217D8">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）受检设备出入口附近设有紧急停止开关，必要时增设附加紧急停止开关，以使紧急停止开关之间的距离不超过</w:t>
            </w:r>
            <w:r>
              <w:rPr>
                <w:rFonts w:eastAsiaTheme="minorEastAsia"/>
                <w:color w:val="000000" w:themeColor="text1"/>
                <w:szCs w:val="21"/>
                <w14:textFill>
                  <w14:solidFill>
                    <w14:schemeClr w14:val="tx1"/>
                  </w14:solidFill>
                </w14:textFill>
              </w:rPr>
              <w:t>30m</w:t>
            </w:r>
            <w:r>
              <w:rPr>
                <w:rFonts w:hAnsiTheme="minorEastAsia" w:eastAsiaTheme="minorEastAsia"/>
                <w:color w:val="000000" w:themeColor="text1"/>
                <w:szCs w:val="21"/>
                <w14:textFill>
                  <w14:solidFill>
                    <w14:schemeClr w14:val="tx1"/>
                  </w14:solidFill>
                </w14:textFill>
              </w:rPr>
              <w:t>（适用于自动扶梯）或者</w:t>
            </w:r>
            <w:r>
              <w:rPr>
                <w:rFonts w:eastAsiaTheme="minorEastAsia"/>
                <w:color w:val="000000" w:themeColor="text1"/>
                <w:szCs w:val="21"/>
                <w14:textFill>
                  <w14:solidFill>
                    <w14:schemeClr w14:val="tx1"/>
                  </w14:solidFill>
                </w14:textFill>
              </w:rPr>
              <w:t>40m</w:t>
            </w:r>
            <w:r>
              <w:rPr>
                <w:rFonts w:hAnsiTheme="minorEastAsia" w:eastAsiaTheme="minorEastAsia"/>
                <w:color w:val="000000" w:themeColor="text1"/>
                <w:szCs w:val="21"/>
                <w14:textFill>
                  <w14:solidFill>
                    <w14:schemeClr w14:val="tx1"/>
                  </w14:solidFill>
                </w14:textFill>
              </w:rPr>
              <w:t>（适用于自动人行道）</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2255EB3F">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查看在出入口附近是否设置紧急停止开关，对于超过</w:t>
            </w:r>
            <w:r>
              <w:rPr>
                <w:rFonts w:eastAsiaTheme="minorEastAsia"/>
                <w:color w:val="000000" w:themeColor="text1"/>
                <w:szCs w:val="21"/>
                <w14:textFill>
                  <w14:solidFill>
                    <w14:schemeClr w14:val="tx1"/>
                  </w14:solidFill>
                </w14:textFill>
              </w:rPr>
              <w:t>30m</w:t>
            </w:r>
            <w:r>
              <w:rPr>
                <w:rFonts w:hAnsiTheme="minorEastAsia" w:eastAsiaTheme="minorEastAsia"/>
                <w:color w:val="000000" w:themeColor="text1"/>
                <w:szCs w:val="21"/>
                <w14:textFill>
                  <w14:solidFill>
                    <w14:schemeClr w14:val="tx1"/>
                  </w14:solidFill>
                </w14:textFill>
              </w:rPr>
              <w:t>的自动扶梯与超过</w:t>
            </w:r>
            <w:r>
              <w:rPr>
                <w:rFonts w:eastAsiaTheme="minorEastAsia"/>
                <w:color w:val="000000" w:themeColor="text1"/>
                <w:szCs w:val="21"/>
                <w14:textFill>
                  <w14:solidFill>
                    <w14:schemeClr w14:val="tx1"/>
                  </w14:solidFill>
                </w14:textFill>
              </w:rPr>
              <w:t>40m</w:t>
            </w:r>
            <w:r>
              <w:rPr>
                <w:rFonts w:hAnsiTheme="minorEastAsia" w:eastAsiaTheme="minorEastAsia"/>
                <w:color w:val="000000" w:themeColor="text1"/>
                <w:szCs w:val="21"/>
                <w14:textFill>
                  <w14:solidFill>
                    <w14:schemeClr w14:val="tx1"/>
                  </w14:solidFill>
                </w14:textFill>
              </w:rPr>
              <w:t>的自动人行道，还需增加附加紧急停止装置，查看相邻的紧急停止装置间距是否符合要求</w:t>
            </w:r>
            <w:r>
              <w:rPr>
                <w:rFonts w:hint="eastAsia" w:hAnsiTheme="minorEastAsia" w:eastAsiaTheme="minorEastAsia"/>
                <w:color w:val="000000" w:themeColor="text1"/>
                <w:szCs w:val="21"/>
                <w14:textFill>
                  <w14:solidFill>
                    <w14:schemeClr w14:val="tx1"/>
                  </w14:solidFill>
                </w14:textFill>
              </w:rPr>
              <w:t>。</w:t>
            </w:r>
          </w:p>
        </w:tc>
      </w:tr>
      <w:tr w14:paraId="51777C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78" w:hRule="atLeast"/>
          <w:jc w:val="center"/>
        </w:trPr>
        <w:tc>
          <w:tcPr>
            <w:tcW w:w="1384" w:type="dxa"/>
            <w:vMerge w:val="continue"/>
            <w:vAlign w:val="center"/>
          </w:tcPr>
          <w:p w14:paraId="634ADF2C">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34B8CAB7">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）各紧急停止开关标识清晰，对于位于扶手装置高度</w:t>
            </w:r>
            <w:r>
              <w:rPr>
                <w:rFonts w:eastAsiaTheme="minorEastAsia"/>
                <w:color w:val="000000" w:themeColor="text1"/>
                <w:szCs w:val="21"/>
                <w14:textFill>
                  <w14:solidFill>
                    <w14:schemeClr w14:val="tx1"/>
                  </w14:solidFill>
                </w14:textFill>
              </w:rPr>
              <w:t>1/2</w:t>
            </w:r>
            <w:r>
              <w:rPr>
                <w:rFonts w:hAnsiTheme="minorEastAsia" w:eastAsiaTheme="minorEastAsia"/>
                <w:color w:val="000000" w:themeColor="text1"/>
                <w:szCs w:val="21"/>
                <w14:textFill>
                  <w14:solidFill>
                    <w14:schemeClr w14:val="tx1"/>
                  </w14:solidFill>
                </w14:textFill>
              </w:rPr>
              <w:t>以下的紧急停止开关，在扶手装置高度</w:t>
            </w:r>
            <w:r>
              <w:rPr>
                <w:rFonts w:eastAsiaTheme="minorEastAsia"/>
                <w:color w:val="000000" w:themeColor="text1"/>
                <w:szCs w:val="21"/>
                <w14:textFill>
                  <w14:solidFill>
                    <w14:schemeClr w14:val="tx1"/>
                  </w14:solidFill>
                </w14:textFill>
              </w:rPr>
              <w:t>1/2</w:t>
            </w:r>
            <w:r>
              <w:rPr>
                <w:rFonts w:hAnsiTheme="minorEastAsia" w:eastAsiaTheme="minorEastAsia"/>
                <w:color w:val="000000" w:themeColor="text1"/>
                <w:szCs w:val="21"/>
                <w14:textFill>
                  <w14:solidFill>
                    <w14:schemeClr w14:val="tx1"/>
                  </w14:solidFill>
                </w14:textFill>
              </w:rPr>
              <w:t>以上的醒目位置还设有直径至少为</w:t>
            </w:r>
            <w:r>
              <w:rPr>
                <w:rFonts w:eastAsiaTheme="minorEastAsia"/>
                <w:color w:val="000000" w:themeColor="text1"/>
                <w:szCs w:val="21"/>
                <w14:textFill>
                  <w14:solidFill>
                    <w14:schemeClr w14:val="tx1"/>
                  </w14:solidFill>
                </w14:textFill>
              </w:rPr>
              <w:t>80mm</w:t>
            </w:r>
            <w:r>
              <w:rPr>
                <w:rFonts w:hAnsiTheme="minorEastAsia" w:eastAsiaTheme="minorEastAsia"/>
                <w:color w:val="000000" w:themeColor="text1"/>
                <w:szCs w:val="21"/>
                <w14:textFill>
                  <w14:solidFill>
                    <w14:schemeClr w14:val="tx1"/>
                  </w14:solidFill>
                </w14:textFill>
              </w:rPr>
              <w:t>的红底白字</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急停</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指示标记，箭头指向该开关</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0D42E517">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查看紧急停止开关标识是否清晰，如果紧急停止装置设置在扶手装置高度的一半以下，则需要在扶手高度的一半以上相应醒目位置处张贴指示标记，该标记需满足：直径在</w:t>
            </w:r>
            <w:r>
              <w:rPr>
                <w:rFonts w:eastAsiaTheme="minorEastAsia"/>
                <w:color w:val="000000" w:themeColor="text1"/>
                <w:szCs w:val="21"/>
                <w14:textFill>
                  <w14:solidFill>
                    <w14:schemeClr w14:val="tx1"/>
                  </w14:solidFill>
                </w14:textFill>
              </w:rPr>
              <w:t>80mm</w:t>
            </w:r>
            <w:r>
              <w:rPr>
                <w:rFonts w:hAnsiTheme="minorEastAsia" w:eastAsiaTheme="minorEastAsia"/>
                <w:color w:val="000000" w:themeColor="text1"/>
                <w:szCs w:val="21"/>
                <w14:textFill>
                  <w14:solidFill>
                    <w14:schemeClr w14:val="tx1"/>
                  </w14:solidFill>
                </w14:textFill>
              </w:rPr>
              <w:t>及以上，有红底白字</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急停</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字样，字体清晰，字号应尽量大，有指向紧急停止装置的指示箭头</w:t>
            </w:r>
            <w:r>
              <w:rPr>
                <w:rFonts w:hint="eastAsia" w:hAnsiTheme="minorEastAsia" w:eastAsiaTheme="minorEastAsia"/>
                <w:color w:val="000000" w:themeColor="text1"/>
                <w:szCs w:val="21"/>
                <w14:textFill>
                  <w14:solidFill>
                    <w14:schemeClr w14:val="tx1"/>
                  </w14:solidFill>
                </w14:textFill>
              </w:rPr>
              <w:t>。</w:t>
            </w:r>
          </w:p>
        </w:tc>
      </w:tr>
      <w:tr w14:paraId="676F41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66" w:hRule="atLeast"/>
          <w:jc w:val="center"/>
        </w:trPr>
        <w:tc>
          <w:tcPr>
            <w:tcW w:w="1384" w:type="dxa"/>
            <w:vAlign w:val="center"/>
          </w:tcPr>
          <w:p w14:paraId="479BCE16">
            <w:pPr>
              <w:pStyle w:val="5"/>
              <w:overflowPunct w:val="0"/>
              <w:autoSpaceDE w:val="0"/>
              <w:autoSpaceDN w:val="0"/>
              <w:adjustRightInd w:val="0"/>
              <w:snapToGrid w:val="0"/>
              <w:spacing w:after="0" w:line="280" w:lineRule="exact"/>
              <w:ind w:left="0" w:leftChars="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A2.2.2.11</w:t>
            </w:r>
            <w:r>
              <w:rPr>
                <w:rFonts w:hAnsiTheme="minorEastAsia" w:eastAsiaTheme="minorEastAsia"/>
                <w:bCs/>
                <w:color w:val="000000" w:themeColor="text1"/>
                <w:szCs w:val="21"/>
                <w14:textFill>
                  <w14:solidFill>
                    <w14:schemeClr w14:val="tx1"/>
                  </w14:solidFill>
                </w14:textFill>
              </w:rPr>
              <w:t>（</w:t>
            </w:r>
            <w:r>
              <w:rPr>
                <w:rFonts w:eastAsiaTheme="minorEastAsia"/>
                <w:bCs/>
                <w:color w:val="000000" w:themeColor="text1"/>
                <w:szCs w:val="21"/>
                <w14:textFill>
                  <w14:solidFill>
                    <w14:schemeClr w14:val="tx1"/>
                  </w14:solidFill>
                </w14:textFill>
              </w:rPr>
              <w:t>2</w:t>
            </w:r>
            <w:r>
              <w:rPr>
                <w:rFonts w:hAnsiTheme="minorEastAsia" w:eastAsiaTheme="minorEastAsia"/>
                <w:bCs/>
                <w:color w:val="000000" w:themeColor="text1"/>
                <w:szCs w:val="21"/>
                <w14:textFill>
                  <w14:solidFill>
                    <w14:schemeClr w14:val="tx1"/>
                  </w14:solidFill>
                </w14:textFill>
              </w:rPr>
              <w:t>）</w:t>
            </w:r>
          </w:p>
          <w:p w14:paraId="7A373D8D">
            <w:pPr>
              <w:pStyle w:val="5"/>
              <w:overflowPunct w:val="0"/>
              <w:autoSpaceDE w:val="0"/>
              <w:autoSpaceDN w:val="0"/>
              <w:adjustRightInd w:val="0"/>
              <w:snapToGrid w:val="0"/>
              <w:spacing w:after="0" w:line="280" w:lineRule="exact"/>
              <w:ind w:left="0" w:leftChars="0"/>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安全标志</w:t>
            </w:r>
          </w:p>
        </w:tc>
        <w:tc>
          <w:tcPr>
            <w:tcW w:w="3402" w:type="dxa"/>
            <w:vAlign w:val="center"/>
          </w:tcPr>
          <w:p w14:paraId="7C0FBA98">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）在受检设备出入口附近设有包括必须拉住小孩、必须抱着宠物、必须握住扶手带和禁止使用非专用手推车等内容的安全乘用图形标志</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46456094">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查看在自动扶梯或者自动人行道入口处是否有，不少于规定内容中的象形图标识</w:t>
            </w:r>
            <w:r>
              <w:rPr>
                <w:rFonts w:hint="eastAsia" w:hAnsiTheme="minorEastAsia" w:eastAsiaTheme="minorEastAsia"/>
                <w:color w:val="000000" w:themeColor="text1"/>
                <w:szCs w:val="21"/>
                <w14:textFill>
                  <w14:solidFill>
                    <w14:schemeClr w14:val="tx1"/>
                  </w14:solidFill>
                </w14:textFill>
              </w:rPr>
              <w:t>。</w:t>
            </w:r>
          </w:p>
        </w:tc>
      </w:tr>
      <w:tr w14:paraId="6AEF66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restart"/>
            <w:vAlign w:val="center"/>
          </w:tcPr>
          <w:p w14:paraId="20C26521">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*A2.2.3.1</w:t>
            </w:r>
          </w:p>
          <w:p w14:paraId="1E4DDBCC">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扶手装置</w:t>
            </w:r>
          </w:p>
        </w:tc>
        <w:tc>
          <w:tcPr>
            <w:tcW w:w="3402" w:type="dxa"/>
            <w:vAlign w:val="center"/>
          </w:tcPr>
          <w:p w14:paraId="730ACE7D">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检查其是否符合以下要求：</w:t>
            </w:r>
          </w:p>
          <w:p w14:paraId="43CE875E">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）扶手带完好，表面无龟裂、剥离、严重磨损，扶手带单一开裂处最大裂纹宽度不大于</w:t>
            </w:r>
            <w:r>
              <w:rPr>
                <w:rFonts w:eastAsiaTheme="minorEastAsia"/>
                <w:color w:val="000000" w:themeColor="text1"/>
                <w:szCs w:val="21"/>
                <w14:textFill>
                  <w14:solidFill>
                    <w14:schemeClr w14:val="tx1"/>
                  </w14:solidFill>
                </w14:textFill>
              </w:rPr>
              <w:t>3mm</w:t>
            </w:r>
            <w:r>
              <w:rPr>
                <w:rFonts w:hint="eastAsia" w:eastAsiaTheme="minorEastAsia"/>
                <w:color w:val="000000" w:themeColor="text1"/>
                <w:szCs w:val="21"/>
                <w14:textFill>
                  <w14:solidFill>
                    <w14:schemeClr w14:val="tx1"/>
                  </w14:solidFill>
                </w14:textFill>
              </w:rPr>
              <w:t>。</w:t>
            </w:r>
          </w:p>
        </w:tc>
        <w:tc>
          <w:tcPr>
            <w:tcW w:w="4274" w:type="dxa"/>
            <w:vAlign w:val="center"/>
          </w:tcPr>
          <w:p w14:paraId="4BC51E37">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检查扶手带是否完好，表面有无龟裂、剥离、严重磨损，扶手带单一开裂处最大裂纹宽度不大于</w:t>
            </w:r>
            <w:r>
              <w:rPr>
                <w:rFonts w:eastAsiaTheme="minorEastAsia"/>
                <w:color w:val="000000" w:themeColor="text1"/>
                <w:szCs w:val="21"/>
                <w14:textFill>
                  <w14:solidFill>
                    <w14:schemeClr w14:val="tx1"/>
                  </w14:solidFill>
                </w14:textFill>
              </w:rPr>
              <w:t>3mm</w:t>
            </w:r>
            <w:r>
              <w:rPr>
                <w:rFonts w:hAnsiTheme="minorEastAsia" w:eastAsiaTheme="minorEastAsia"/>
                <w:color w:val="000000" w:themeColor="text1"/>
                <w:szCs w:val="21"/>
                <w14:textFill>
                  <w14:solidFill>
                    <w14:schemeClr w14:val="tx1"/>
                  </w14:solidFill>
                </w14:textFill>
              </w:rPr>
              <w:t>；必要时测量扶手带单一开裂处最大裂纹宽度</w:t>
            </w:r>
          </w:p>
        </w:tc>
      </w:tr>
      <w:tr w14:paraId="1E62AC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6F24D0C9">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5DFC2869">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）扶手转向端入口处的最低点与地板之间的垂直距离不小于</w:t>
            </w:r>
            <w:r>
              <w:rPr>
                <w:rFonts w:eastAsiaTheme="minorEastAsia"/>
                <w:color w:val="000000" w:themeColor="text1"/>
                <w:szCs w:val="21"/>
                <w14:textFill>
                  <w14:solidFill>
                    <w14:schemeClr w14:val="tx1"/>
                  </w14:solidFill>
                </w14:textFill>
              </w:rPr>
              <w:t>0.10m</w:t>
            </w:r>
            <w:r>
              <w:rPr>
                <w:rFonts w:hAnsiTheme="minorEastAsia" w:eastAsiaTheme="minorEastAsia"/>
                <w:color w:val="000000" w:themeColor="text1"/>
                <w:szCs w:val="21"/>
                <w14:textFill>
                  <w14:solidFill>
                    <w14:schemeClr w14:val="tx1"/>
                  </w14:solidFill>
                </w14:textFill>
              </w:rPr>
              <w:t>，并且不大于</w:t>
            </w:r>
            <w:r>
              <w:rPr>
                <w:rFonts w:eastAsiaTheme="minorEastAsia"/>
                <w:color w:val="000000" w:themeColor="text1"/>
                <w:szCs w:val="21"/>
                <w14:textFill>
                  <w14:solidFill>
                    <w14:schemeClr w14:val="tx1"/>
                  </w14:solidFill>
                </w14:textFill>
              </w:rPr>
              <w:t>0.25m</w:t>
            </w:r>
            <w:r>
              <w:rPr>
                <w:rFonts w:hint="eastAsia" w:eastAsiaTheme="minorEastAsia"/>
                <w:color w:val="000000" w:themeColor="text1"/>
                <w:szCs w:val="21"/>
                <w14:textFill>
                  <w14:solidFill>
                    <w14:schemeClr w14:val="tx1"/>
                  </w14:solidFill>
                </w14:textFill>
              </w:rPr>
              <w:t>。</w:t>
            </w:r>
          </w:p>
        </w:tc>
        <w:tc>
          <w:tcPr>
            <w:tcW w:w="4274" w:type="dxa"/>
            <w:vAlign w:val="center"/>
          </w:tcPr>
          <w:p w14:paraId="7862B903">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检查扶手转向端入口处的最低点与地板之间的垂直距离，不小于</w:t>
            </w:r>
            <w:r>
              <w:rPr>
                <w:rFonts w:eastAsiaTheme="minorEastAsia"/>
                <w:color w:val="000000" w:themeColor="text1"/>
                <w:szCs w:val="21"/>
                <w14:textFill>
                  <w14:solidFill>
                    <w14:schemeClr w14:val="tx1"/>
                  </w14:solidFill>
                </w14:textFill>
              </w:rPr>
              <w:t>0.10m</w:t>
            </w:r>
            <w:r>
              <w:rPr>
                <w:rFonts w:hAnsiTheme="minorEastAsia" w:eastAsiaTheme="minorEastAsia"/>
                <w:color w:val="000000" w:themeColor="text1"/>
                <w:szCs w:val="21"/>
                <w14:textFill>
                  <w14:solidFill>
                    <w14:schemeClr w14:val="tx1"/>
                  </w14:solidFill>
                </w14:textFill>
              </w:rPr>
              <w:t>，并且不大于</w:t>
            </w:r>
            <w:r>
              <w:rPr>
                <w:rFonts w:eastAsiaTheme="minorEastAsia"/>
                <w:color w:val="000000" w:themeColor="text1"/>
                <w:szCs w:val="21"/>
                <w14:textFill>
                  <w14:solidFill>
                    <w14:schemeClr w14:val="tx1"/>
                  </w14:solidFill>
                </w14:textFill>
              </w:rPr>
              <w:t>0.25m</w:t>
            </w:r>
            <w:r>
              <w:rPr>
                <w:rFonts w:hAnsiTheme="minorEastAsia" w:eastAsiaTheme="minorEastAsia"/>
                <w:color w:val="000000" w:themeColor="text1"/>
                <w:szCs w:val="21"/>
                <w14:textFill>
                  <w14:solidFill>
                    <w14:schemeClr w14:val="tx1"/>
                  </w14:solidFill>
                </w14:textFill>
              </w:rPr>
              <w:t>。</w:t>
            </w:r>
          </w:p>
          <w:p w14:paraId="0020009C">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注：重点检查后期使用过程中，是否在楼层板上加装监控或传感器等装置而导致该距离不符合要求的情况</w:t>
            </w:r>
            <w:r>
              <w:rPr>
                <w:rFonts w:hint="eastAsia" w:hAnsiTheme="minorEastAsia" w:eastAsiaTheme="minorEastAsia"/>
                <w:color w:val="000000" w:themeColor="text1"/>
                <w:szCs w:val="21"/>
                <w14:textFill>
                  <w14:solidFill>
                    <w14:schemeClr w14:val="tx1"/>
                  </w14:solidFill>
                </w14:textFill>
              </w:rPr>
              <w:t>。</w:t>
            </w:r>
          </w:p>
        </w:tc>
      </w:tr>
      <w:tr w14:paraId="356429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23CFA6B2">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3A0902C8">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）朝向梯级、踏板或者胶带一侧的部分光滑、平齐；装设方向与运行方向不一致的压条或者镶条凸出高度不大于</w:t>
            </w:r>
            <w:r>
              <w:rPr>
                <w:rFonts w:eastAsiaTheme="minorEastAsia"/>
                <w:color w:val="000000" w:themeColor="text1"/>
                <w:szCs w:val="21"/>
                <w14:textFill>
                  <w14:solidFill>
                    <w14:schemeClr w14:val="tx1"/>
                  </w14:solidFill>
                </w14:textFill>
              </w:rPr>
              <w:t>3mm</w:t>
            </w:r>
            <w:r>
              <w:rPr>
                <w:rFonts w:hAnsiTheme="minorEastAsia" w:eastAsiaTheme="minorEastAsia"/>
                <w:color w:val="000000" w:themeColor="text1"/>
                <w:szCs w:val="21"/>
                <w14:textFill>
                  <w14:solidFill>
                    <w14:schemeClr w14:val="tx1"/>
                  </w14:solidFill>
                </w14:textFill>
              </w:rPr>
              <w:t>，其边缘呈圆角或者倒角状；沿运行方向的盖板连接处结构能够防止勾绊</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7286A14C">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目测朝向梯级、踏板或者胶带一侧扶手装置部分是否光滑、平齐。检查装设的与受检设备运行方向不一</w:t>
            </w:r>
            <w:r>
              <w:rPr>
                <w:rFonts w:hint="eastAsia" w:hAnsiTheme="minorEastAsia" w:eastAsiaTheme="minorEastAsia"/>
                <w:color w:val="000000" w:themeColor="text1"/>
                <w:szCs w:val="21"/>
                <w14:textFill>
                  <w14:solidFill>
                    <w14:schemeClr w14:val="tx1"/>
                  </w14:solidFill>
                </w14:textFill>
              </w:rPr>
              <w:t>致的</w:t>
            </w:r>
            <w:r>
              <w:rPr>
                <w:rFonts w:hAnsiTheme="minorEastAsia" w:eastAsiaTheme="minorEastAsia"/>
                <w:color w:val="000000" w:themeColor="text1"/>
                <w:szCs w:val="21"/>
                <w14:textFill>
                  <w14:solidFill>
                    <w14:schemeClr w14:val="tx1"/>
                  </w14:solidFill>
                </w14:textFill>
              </w:rPr>
              <w:t>压条或镶条，其凸出高度不应大于</w:t>
            </w:r>
            <w:r>
              <w:rPr>
                <w:rFonts w:eastAsiaTheme="minorEastAsia"/>
                <w:color w:val="000000" w:themeColor="text1"/>
                <w:szCs w:val="21"/>
                <w14:textFill>
                  <w14:solidFill>
                    <w14:schemeClr w14:val="tx1"/>
                  </w14:solidFill>
                </w14:textFill>
              </w:rPr>
              <w:t>3mm</w:t>
            </w:r>
            <w:r>
              <w:rPr>
                <w:rFonts w:hAnsiTheme="minorEastAsia" w:eastAsiaTheme="minorEastAsia"/>
                <w:color w:val="000000" w:themeColor="text1"/>
                <w:szCs w:val="21"/>
                <w14:textFill>
                  <w14:solidFill>
                    <w14:schemeClr w14:val="tx1"/>
                  </w14:solidFill>
                </w14:textFill>
              </w:rPr>
              <w:t>，其边缘应呈圆角或者倒角状；沿运行方向的盖板连接处结构能够防止勾绊；调整间隙使用的压条或镶条不允许装设在围裙板上</w:t>
            </w:r>
            <w:r>
              <w:rPr>
                <w:rFonts w:hint="eastAsia" w:hAnsiTheme="minorEastAsia" w:eastAsiaTheme="minorEastAsia"/>
                <w:color w:val="000000" w:themeColor="text1"/>
                <w:szCs w:val="21"/>
                <w14:textFill>
                  <w14:solidFill>
                    <w14:schemeClr w14:val="tx1"/>
                  </w14:solidFill>
                </w14:textFill>
              </w:rPr>
              <w:t>。</w:t>
            </w:r>
          </w:p>
        </w:tc>
      </w:tr>
      <w:tr w14:paraId="5F3A21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0B54326D">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3CE83527">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4</w:t>
            </w:r>
            <w:r>
              <w:rPr>
                <w:rFonts w:hAnsiTheme="minorEastAsia" w:eastAsiaTheme="minorEastAsia"/>
                <w:color w:val="000000" w:themeColor="text1"/>
                <w:szCs w:val="21"/>
                <w14:textFill>
                  <w14:solidFill>
                    <w14:schemeClr w14:val="tx1"/>
                  </w14:solidFill>
                </w14:textFill>
              </w:rPr>
              <w:t>）扶手带入口保护装置功能有效</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581AC37E">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扶梯（人行道）的电气安全装置检验方法有两种方式：一种是设备运行中动作；一种是设备停止时动作，确认设备不能起动。大多数有风险的情况采用后者。（后同，不再赘述）</w:t>
            </w:r>
          </w:p>
          <w:p w14:paraId="27CA1AD2">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）为了安全起见，快车或检修状态用道具假手模拟被卷入，验证保护装置是否灵敏可靠。</w:t>
            </w:r>
          </w:p>
          <w:p w14:paraId="210EF94F">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）也可以停梯状态按压入口触发装置，检修或快车运行，不能启动（用工具触发装置）。（此种方法的缺点是无法模拟被卷入的状态）</w:t>
            </w:r>
          </w:p>
          <w:p w14:paraId="5FF37C14">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390283FF">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扶手带入口保护是为了防止手指或手被扶手带拖入扶手装置夹伤而设置，当扶手带向外运行时，不存在手被带入的危险。故扶手带入口保护装置在扶手带向外运行时可以不起作用</w:t>
            </w:r>
            <w:r>
              <w:rPr>
                <w:rFonts w:hint="eastAsia" w:hAnsiTheme="minorEastAsia" w:eastAsiaTheme="minorEastAsia"/>
                <w:color w:val="000000" w:themeColor="text1"/>
                <w:szCs w:val="21"/>
                <w14:textFill>
                  <w14:solidFill>
                    <w14:schemeClr w14:val="tx1"/>
                  </w14:solidFill>
                </w14:textFill>
              </w:rPr>
              <w:t>。</w:t>
            </w:r>
          </w:p>
        </w:tc>
      </w:tr>
      <w:tr w14:paraId="7C4807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Align w:val="center"/>
          </w:tcPr>
          <w:p w14:paraId="37D7EB46">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A2.2.3.2</w:t>
            </w:r>
          </w:p>
          <w:p w14:paraId="55C250A2">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扶手带速度监测装置</w:t>
            </w:r>
          </w:p>
        </w:tc>
        <w:tc>
          <w:tcPr>
            <w:tcW w:w="3402" w:type="dxa"/>
            <w:vAlign w:val="center"/>
          </w:tcPr>
          <w:p w14:paraId="3A2118A3">
            <w:pPr>
              <w:pStyle w:val="5"/>
              <w:overflowPunct w:val="0"/>
              <w:autoSpaceDE w:val="0"/>
              <w:autoSpaceDN w:val="0"/>
              <w:adjustRightInd w:val="0"/>
              <w:snapToGrid w:val="0"/>
              <w:spacing w:after="0" w:line="26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检查当扶手带速度与梯级、踏板或者胶带实际速度偏差最大超过</w:t>
            </w:r>
            <w:r>
              <w:rPr>
                <w:rFonts w:eastAsiaTheme="minorEastAsia"/>
                <w:color w:val="000000" w:themeColor="text1"/>
                <w:szCs w:val="21"/>
                <w14:textFill>
                  <w14:solidFill>
                    <w14:schemeClr w14:val="tx1"/>
                  </w14:solidFill>
                </w14:textFill>
              </w:rPr>
              <w:t>15%</w:t>
            </w:r>
            <w:r>
              <w:rPr>
                <w:rFonts w:hAnsiTheme="minorEastAsia" w:eastAsiaTheme="minorEastAsia"/>
                <w:color w:val="000000" w:themeColor="text1"/>
                <w:szCs w:val="21"/>
                <w14:textFill>
                  <w14:solidFill>
                    <w14:schemeClr w14:val="tx1"/>
                  </w14:solidFill>
                </w14:textFill>
              </w:rPr>
              <w:t>，并且持续时间在</w:t>
            </w:r>
            <w:r>
              <w:rPr>
                <w:rFonts w:eastAsiaTheme="minorEastAsia"/>
                <w:color w:val="000000" w:themeColor="text1"/>
                <w:szCs w:val="21"/>
                <w14:textFill>
                  <w14:solidFill>
                    <w14:schemeClr w14:val="tx1"/>
                  </w14:solidFill>
                </w14:textFill>
              </w:rPr>
              <w:t>5s</w:t>
            </w: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15s</w:t>
            </w:r>
            <w:r>
              <w:rPr>
                <w:rFonts w:hAnsiTheme="minorEastAsia" w:eastAsiaTheme="minorEastAsia"/>
                <w:color w:val="000000" w:themeColor="text1"/>
                <w:szCs w:val="21"/>
                <w14:textFill>
                  <w14:solidFill>
                    <w14:schemeClr w14:val="tx1"/>
                  </w14:solidFill>
                </w14:textFill>
              </w:rPr>
              <w:t>范围内时，扶手带速度监测装置是否能够使受检设备自动停止运行</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683E3D68">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由施工单位或维护保养单位按照制造单位提供的方法进行试验，检验人员现场观察、确认</w:t>
            </w:r>
            <w:r>
              <w:rPr>
                <w:rFonts w:hint="eastAsia" w:hAnsiTheme="minorEastAsia" w:eastAsiaTheme="minorEastAsia"/>
                <w:color w:val="000000" w:themeColor="text1"/>
                <w:szCs w:val="21"/>
                <w14:textFill>
                  <w14:solidFill>
                    <w14:schemeClr w14:val="tx1"/>
                  </w14:solidFill>
                </w14:textFill>
              </w:rPr>
              <w:t>。</w:t>
            </w:r>
          </w:p>
        </w:tc>
      </w:tr>
      <w:tr w14:paraId="08DDAD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restart"/>
            <w:vAlign w:val="center"/>
          </w:tcPr>
          <w:p w14:paraId="7DA1DD97">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*A2.2.3.3</w:t>
            </w:r>
          </w:p>
          <w:p w14:paraId="6BC06232">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防爬装置</w:t>
            </w:r>
          </w:p>
        </w:tc>
        <w:tc>
          <w:tcPr>
            <w:tcW w:w="3402" w:type="dxa"/>
            <w:vAlign w:val="center"/>
          </w:tcPr>
          <w:p w14:paraId="16505AB5">
            <w:pPr>
              <w:pStyle w:val="5"/>
              <w:overflowPunct w:val="0"/>
              <w:autoSpaceDE w:val="0"/>
              <w:autoSpaceDN w:val="0"/>
              <w:adjustRightInd w:val="0"/>
              <w:snapToGrid w:val="0"/>
              <w:spacing w:after="0" w:line="26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人员能够爬上外盖板并且存在跌落风险的，检查在受检设备的外盖板上是否装设了符合以下要求的防爬装置：</w:t>
            </w:r>
          </w:p>
          <w:p w14:paraId="515FE587">
            <w:pPr>
              <w:pStyle w:val="5"/>
              <w:overflowPunct w:val="0"/>
              <w:autoSpaceDE w:val="0"/>
              <w:autoSpaceDN w:val="0"/>
              <w:adjustRightInd w:val="0"/>
              <w:snapToGrid w:val="0"/>
              <w:spacing w:after="0" w:line="26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）在位于地平面上方</w:t>
            </w:r>
            <w:r>
              <w:rPr>
                <w:rFonts w:eastAsiaTheme="minorEastAsia"/>
                <w:color w:val="000000" w:themeColor="text1"/>
                <w:szCs w:val="21"/>
                <w14:textFill>
                  <w14:solidFill>
                    <w14:schemeClr w14:val="tx1"/>
                  </w14:solidFill>
                </w14:textFill>
              </w:rPr>
              <w:t>1000mm</w:t>
            </w:r>
            <w:r>
              <w:rPr>
                <w:rFonts w:hAnsiTheme="minorEastAsia" w:eastAsiaTheme="minorEastAsia"/>
                <w:color w:val="000000" w:themeColor="text1"/>
                <w:szCs w:val="21"/>
                <w14:textFill>
                  <w14:solidFill>
                    <w14:schemeClr w14:val="tx1"/>
                  </w14:solidFill>
                </w14:textFill>
              </w:rPr>
              <w:t>土</w:t>
            </w:r>
            <w:r>
              <w:rPr>
                <w:rFonts w:eastAsiaTheme="minorEastAsia"/>
                <w:color w:val="000000" w:themeColor="text1"/>
                <w:szCs w:val="21"/>
                <w14:textFill>
                  <w14:solidFill>
                    <w14:schemeClr w14:val="tx1"/>
                  </w14:solidFill>
                </w14:textFill>
              </w:rPr>
              <w:t>50mm</w:t>
            </w:r>
            <w:r>
              <w:rPr>
                <w:rFonts w:hAnsiTheme="minorEastAsia" w:eastAsiaTheme="minorEastAsia"/>
                <w:color w:val="000000" w:themeColor="text1"/>
                <w:szCs w:val="21"/>
                <w14:textFill>
                  <w14:solidFill>
                    <w14:schemeClr w14:val="tx1"/>
                  </w14:solidFill>
                </w14:textFill>
              </w:rPr>
              <w:t>处</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47898A8F">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目测；必要时测量相关数据</w:t>
            </w:r>
            <w:r>
              <w:rPr>
                <w:rFonts w:hint="eastAsia" w:hAnsiTheme="minorEastAsia" w:eastAsiaTheme="minorEastAsia"/>
                <w:color w:val="000000" w:themeColor="text1"/>
                <w:szCs w:val="21"/>
                <w14:textFill>
                  <w14:solidFill>
                    <w14:schemeClr w14:val="tx1"/>
                  </w14:solidFill>
                </w14:textFill>
              </w:rPr>
              <w:t>。</w:t>
            </w:r>
          </w:p>
        </w:tc>
      </w:tr>
      <w:tr w14:paraId="0D392B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19E57D75">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3C4E80A3">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）其高度至少与扶手带表面齐平，下部与外盖板相交，平行于外盖板方向上的延伸长度不小于</w:t>
            </w:r>
            <w:r>
              <w:rPr>
                <w:rFonts w:eastAsiaTheme="minorEastAsia"/>
                <w:color w:val="000000" w:themeColor="text1"/>
                <w:szCs w:val="21"/>
                <w14:textFill>
                  <w14:solidFill>
                    <w14:schemeClr w14:val="tx1"/>
                  </w14:solidFill>
                </w14:textFill>
              </w:rPr>
              <w:t>1000mm</w:t>
            </w:r>
            <w:r>
              <w:rPr>
                <w:rFonts w:hAnsiTheme="minorEastAsia" w:eastAsiaTheme="minorEastAsia"/>
                <w:color w:val="000000" w:themeColor="text1"/>
                <w:szCs w:val="21"/>
                <w14:textFill>
                  <w14:solidFill>
                    <w14:schemeClr w14:val="tx1"/>
                  </w14:solidFill>
                </w14:textFill>
              </w:rPr>
              <w:t>，并且在此长度范围内无踩脚处</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17572FF6">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目测；必要时测量相关数据</w:t>
            </w:r>
          </w:p>
          <w:p w14:paraId="1B4ECC7D">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60876243">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防爬装置设置目的：是防止人员在扶手装置外侧抓住扶手带，脚踩在外盖板上，向上攀爬而发生高空坠落。如果自动扶梯或自动人行道无外盖板（例如：设置扶手盖板），或已设置阻挡装置使人无法接触外盖板区域，此时该项应划为</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无此项</w:t>
            </w:r>
            <w:r>
              <w:rPr>
                <w:rFonts w:eastAsiaTheme="minorEastAsia"/>
                <w:color w:val="000000" w:themeColor="text1"/>
                <w:szCs w:val="21"/>
                <w14:textFill>
                  <w14:solidFill>
                    <w14:schemeClr w14:val="tx1"/>
                  </w14:solidFill>
                </w14:textFill>
              </w:rPr>
              <w:t>”</w:t>
            </w:r>
            <w:r>
              <w:rPr>
                <w:rFonts w:hint="eastAsia" w:eastAsiaTheme="minorEastAsia"/>
                <w:color w:val="000000" w:themeColor="text1"/>
                <w:szCs w:val="21"/>
                <w14:textFill>
                  <w14:solidFill>
                    <w14:schemeClr w14:val="tx1"/>
                  </w14:solidFill>
                </w14:textFill>
              </w:rPr>
              <w:t>。</w:t>
            </w:r>
          </w:p>
        </w:tc>
      </w:tr>
      <w:tr w14:paraId="477C26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Align w:val="center"/>
          </w:tcPr>
          <w:p w14:paraId="379F180D">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*A2.2.3.4</w:t>
            </w:r>
          </w:p>
          <w:p w14:paraId="06E5550A">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阻挡装置</w:t>
            </w:r>
          </w:p>
        </w:tc>
        <w:tc>
          <w:tcPr>
            <w:tcW w:w="3402" w:type="dxa"/>
            <w:vAlign w:val="center"/>
          </w:tcPr>
          <w:p w14:paraId="460CF47F">
            <w:pPr>
              <w:pStyle w:val="5"/>
              <w:overflowPunct w:val="0"/>
              <w:autoSpaceDE w:val="0"/>
              <w:autoSpaceDN w:val="0"/>
              <w:adjustRightInd w:val="0"/>
              <w:snapToGrid w:val="0"/>
              <w:spacing w:after="0" w:line="26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对于与墙相邻并且外盖板的宽度大于</w:t>
            </w:r>
            <w:r>
              <w:rPr>
                <w:rFonts w:eastAsiaTheme="minorEastAsia"/>
                <w:color w:val="000000" w:themeColor="text1"/>
                <w:szCs w:val="21"/>
                <w14:textFill>
                  <w14:solidFill>
                    <w14:schemeClr w14:val="tx1"/>
                  </w14:solidFill>
                </w14:textFill>
              </w:rPr>
              <w:t>125mm</w:t>
            </w:r>
            <w:r>
              <w:rPr>
                <w:rFonts w:hAnsiTheme="minorEastAsia" w:eastAsiaTheme="minorEastAsia"/>
                <w:color w:val="000000" w:themeColor="text1"/>
                <w:szCs w:val="21"/>
                <w14:textFill>
                  <w14:solidFill>
                    <w14:schemeClr w14:val="tx1"/>
                  </w14:solidFill>
                </w14:textFill>
              </w:rPr>
              <w:t>的受检设备，或者相邻平行布置并且共用外盖板的宽度大于</w:t>
            </w:r>
            <w:r>
              <w:rPr>
                <w:rFonts w:eastAsiaTheme="minorEastAsia"/>
                <w:color w:val="000000" w:themeColor="text1"/>
                <w:szCs w:val="21"/>
                <w14:textFill>
                  <w14:solidFill>
                    <w14:schemeClr w14:val="tx1"/>
                  </w14:solidFill>
                </w14:textFill>
              </w:rPr>
              <w:t>125mm</w:t>
            </w:r>
            <w:r>
              <w:rPr>
                <w:rFonts w:hAnsiTheme="minorEastAsia" w:eastAsiaTheme="minorEastAsia"/>
                <w:color w:val="000000" w:themeColor="text1"/>
                <w:szCs w:val="21"/>
                <w14:textFill>
                  <w14:solidFill>
                    <w14:schemeClr w14:val="tx1"/>
                  </w14:solidFill>
                </w14:textFill>
              </w:rPr>
              <w:t>的自动扶梯或者倾斜的自动人行道，检查在上、下端部装设的阻挡装置是否能够防止人员进入外盖板区域，并且延伸到高度距离扶手带下缘</w:t>
            </w:r>
            <w:r>
              <w:rPr>
                <w:rFonts w:eastAsiaTheme="minorEastAsia"/>
                <w:color w:val="000000" w:themeColor="text1"/>
                <w:szCs w:val="21"/>
                <w14:textFill>
                  <w14:solidFill>
                    <w14:schemeClr w14:val="tx1"/>
                  </w14:solidFill>
                </w14:textFill>
              </w:rPr>
              <w:t>25mm</w:t>
            </w: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150mm</w:t>
            </w:r>
            <w:r>
              <w:rPr>
                <w:rFonts w:hAnsiTheme="minorEastAsia" w:eastAsiaTheme="minorEastAsia"/>
                <w:color w:val="000000" w:themeColor="text1"/>
                <w:szCs w:val="21"/>
                <w14:textFill>
                  <w14:solidFill>
                    <w14:schemeClr w14:val="tx1"/>
                  </w14:solidFill>
                </w14:textFill>
              </w:rPr>
              <w:t>处</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3BAF8F69">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查看阻挡装置的设置，必要时测量相关数据。</w:t>
            </w:r>
          </w:p>
          <w:p w14:paraId="2D9024B0">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438A8482">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阻挡装置是阻止人员进入外盖板区域的装置，通常为一块金属或玻璃或有机玻璃面板。如果受检设备未与墙紧密相邻，也未与其</w:t>
            </w:r>
            <w:r>
              <w:rPr>
                <w:rFonts w:hint="eastAsia" w:hAnsiTheme="minorEastAsia" w:eastAsiaTheme="minorEastAsia"/>
                <w:color w:val="000000" w:themeColor="text1"/>
                <w:szCs w:val="21"/>
                <w14:textFill>
                  <w14:solidFill>
                    <w14:schemeClr w14:val="tx1"/>
                  </w14:solidFill>
                </w14:textFill>
              </w:rPr>
              <w:t>他</w:t>
            </w:r>
            <w:r>
              <w:rPr>
                <w:rFonts w:hAnsiTheme="minorEastAsia" w:eastAsiaTheme="minorEastAsia"/>
                <w:color w:val="000000" w:themeColor="text1"/>
                <w:szCs w:val="21"/>
                <w14:textFill>
                  <w14:solidFill>
                    <w14:schemeClr w14:val="tx1"/>
                  </w14:solidFill>
                </w14:textFill>
              </w:rPr>
              <w:t>设备紧密相邻平行布置，该项为</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无此项</w:t>
            </w:r>
            <w:r>
              <w:rPr>
                <w:rFonts w:eastAsiaTheme="minorEastAsia"/>
                <w:color w:val="000000" w:themeColor="text1"/>
                <w:szCs w:val="21"/>
                <w14:textFill>
                  <w14:solidFill>
                    <w14:schemeClr w14:val="tx1"/>
                  </w14:solidFill>
                </w14:textFill>
              </w:rPr>
              <w:t>”</w:t>
            </w:r>
            <w:r>
              <w:rPr>
                <w:rFonts w:hint="eastAsia" w:eastAsiaTheme="minorEastAsia"/>
                <w:color w:val="000000" w:themeColor="text1"/>
                <w:szCs w:val="21"/>
                <w14:textFill>
                  <w14:solidFill>
                    <w14:schemeClr w14:val="tx1"/>
                  </w14:solidFill>
                </w14:textFill>
              </w:rPr>
              <w:t>。</w:t>
            </w:r>
          </w:p>
        </w:tc>
      </w:tr>
      <w:tr w14:paraId="1E2CA2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Align w:val="center"/>
          </w:tcPr>
          <w:p w14:paraId="2C8505E5">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*A2.2.3.5</w:t>
            </w:r>
          </w:p>
          <w:p w14:paraId="783675A9">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防滑行装置</w:t>
            </w:r>
          </w:p>
        </w:tc>
        <w:tc>
          <w:tcPr>
            <w:tcW w:w="3402" w:type="dxa"/>
            <w:vAlign w:val="center"/>
          </w:tcPr>
          <w:p w14:paraId="14C48D4D">
            <w:pPr>
              <w:pStyle w:val="5"/>
              <w:overflowPunct w:val="0"/>
              <w:autoSpaceDE w:val="0"/>
              <w:autoSpaceDN w:val="0"/>
              <w:adjustRightInd w:val="0"/>
              <w:snapToGrid w:val="0"/>
              <w:spacing w:after="0" w:line="26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自动扶梯或者倾斜的自动人行道和相邻的墙之间装有接近扶手带高度的扶手盖板，并且建筑物（墙）和扶手带中心线之间的距离大于</w:t>
            </w:r>
            <w:r>
              <w:rPr>
                <w:rFonts w:eastAsiaTheme="minorEastAsia"/>
                <w:color w:val="000000" w:themeColor="text1"/>
                <w:szCs w:val="21"/>
                <w14:textFill>
                  <w14:solidFill>
                    <w14:schemeClr w14:val="tx1"/>
                  </w14:solidFill>
                </w14:textFill>
              </w:rPr>
              <w:t>300mm</w:t>
            </w:r>
            <w:r>
              <w:rPr>
                <w:rFonts w:hAnsiTheme="minorEastAsia" w:eastAsiaTheme="minorEastAsia"/>
                <w:color w:val="000000" w:themeColor="text1"/>
                <w:szCs w:val="21"/>
                <w14:textFill>
                  <w14:solidFill>
                    <w14:schemeClr w14:val="tx1"/>
                  </w14:solidFill>
                </w14:textFill>
              </w:rPr>
              <w:t>时，或者相邻自动扶梯或者倾斜的自动人行道的扶手带中心线之间的距离大于</w:t>
            </w:r>
            <w:r>
              <w:rPr>
                <w:rFonts w:eastAsiaTheme="minorEastAsia"/>
                <w:color w:val="000000" w:themeColor="text1"/>
                <w:szCs w:val="21"/>
                <w14:textFill>
                  <w14:solidFill>
                    <w14:schemeClr w14:val="tx1"/>
                  </w14:solidFill>
                </w14:textFill>
              </w:rPr>
              <w:t>400mm</w:t>
            </w:r>
            <w:r>
              <w:rPr>
                <w:rFonts w:hAnsiTheme="minorEastAsia" w:eastAsiaTheme="minorEastAsia"/>
                <w:color w:val="000000" w:themeColor="text1"/>
                <w:szCs w:val="21"/>
                <w14:textFill>
                  <w14:solidFill>
                    <w14:schemeClr w14:val="tx1"/>
                  </w14:solidFill>
                </w14:textFill>
              </w:rPr>
              <w:t>时，检查在扶手盖板上装设的防滑行装置是否无锐角或者锐边，与扶手带的距离不小于</w:t>
            </w:r>
            <w:r>
              <w:rPr>
                <w:rFonts w:eastAsiaTheme="minorEastAsia"/>
                <w:color w:val="000000" w:themeColor="text1"/>
                <w:szCs w:val="21"/>
                <w14:textFill>
                  <w14:solidFill>
                    <w14:schemeClr w14:val="tx1"/>
                  </w14:solidFill>
                </w14:textFill>
              </w:rPr>
              <w:t>100mm</w:t>
            </w:r>
            <w:r>
              <w:rPr>
                <w:rFonts w:hAnsiTheme="minorEastAsia" w:eastAsiaTheme="minorEastAsia"/>
                <w:color w:val="000000" w:themeColor="text1"/>
                <w:szCs w:val="21"/>
                <w14:textFill>
                  <w14:solidFill>
                    <w14:schemeClr w14:val="tx1"/>
                  </w14:solidFill>
                </w14:textFill>
              </w:rPr>
              <w:t>，并且防滑行装置之间的间隔距离不大于</w:t>
            </w:r>
            <w:r>
              <w:rPr>
                <w:rFonts w:eastAsiaTheme="minorEastAsia"/>
                <w:color w:val="000000" w:themeColor="text1"/>
                <w:szCs w:val="21"/>
                <w14:textFill>
                  <w14:solidFill>
                    <w14:schemeClr w14:val="tx1"/>
                  </w14:solidFill>
                </w14:textFill>
              </w:rPr>
              <w:t>1800mm</w:t>
            </w:r>
            <w:r>
              <w:rPr>
                <w:rFonts w:hAnsiTheme="minorEastAsia" w:eastAsiaTheme="minorEastAsia"/>
                <w:color w:val="000000" w:themeColor="text1"/>
                <w:szCs w:val="21"/>
                <w14:textFill>
                  <w14:solidFill>
                    <w14:schemeClr w14:val="tx1"/>
                  </w14:solidFill>
                </w14:textFill>
              </w:rPr>
              <w:t>，高度不小于</w:t>
            </w:r>
            <w:r>
              <w:rPr>
                <w:rFonts w:eastAsiaTheme="minorEastAsia"/>
                <w:color w:val="000000" w:themeColor="text1"/>
                <w:szCs w:val="21"/>
                <w14:textFill>
                  <w14:solidFill>
                    <w14:schemeClr w14:val="tx1"/>
                  </w14:solidFill>
                </w14:textFill>
              </w:rPr>
              <w:t>20mm</w:t>
            </w:r>
            <w:r>
              <w:rPr>
                <w:rFonts w:hint="eastAsia" w:eastAsiaTheme="minorEastAsia"/>
                <w:color w:val="000000" w:themeColor="text1"/>
                <w:szCs w:val="21"/>
                <w14:textFill>
                  <w14:solidFill>
                    <w14:schemeClr w14:val="tx1"/>
                  </w14:solidFill>
                </w14:textFill>
              </w:rPr>
              <w:t>。</w:t>
            </w:r>
          </w:p>
        </w:tc>
        <w:tc>
          <w:tcPr>
            <w:tcW w:w="4274" w:type="dxa"/>
            <w:vAlign w:val="center"/>
          </w:tcPr>
          <w:p w14:paraId="6B21A6B8">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查看防滑行装置的设置，必要时测量相关数据。</w:t>
            </w:r>
          </w:p>
          <w:p w14:paraId="16B8C073">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6C077909">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防滑行装置是扶手盖板上安装的防止在其上由上而下滑行的装置。扶手带中心线与相邻的墙之间的距离大于</w:t>
            </w:r>
            <w:r>
              <w:rPr>
                <w:rFonts w:eastAsiaTheme="minorEastAsia"/>
                <w:color w:val="000000" w:themeColor="text1"/>
                <w:szCs w:val="21"/>
                <w14:textFill>
                  <w14:solidFill>
                    <w14:schemeClr w14:val="tx1"/>
                  </w14:solidFill>
                </w14:textFill>
              </w:rPr>
              <w:t>300mm</w:t>
            </w:r>
            <w:r>
              <w:rPr>
                <w:rFonts w:hAnsiTheme="minorEastAsia" w:eastAsiaTheme="minorEastAsia"/>
                <w:color w:val="000000" w:themeColor="text1"/>
                <w:szCs w:val="21"/>
                <w14:textFill>
                  <w14:solidFill>
                    <w14:schemeClr w14:val="tx1"/>
                  </w14:solidFill>
                </w14:textFill>
              </w:rPr>
              <w:t>时，或与相邻扶手带中心线之间的距离大于</w:t>
            </w:r>
            <w:r>
              <w:rPr>
                <w:rFonts w:eastAsiaTheme="minorEastAsia"/>
                <w:color w:val="000000" w:themeColor="text1"/>
                <w:szCs w:val="21"/>
                <w14:textFill>
                  <w14:solidFill>
                    <w14:schemeClr w14:val="tx1"/>
                  </w14:solidFill>
                </w14:textFill>
              </w:rPr>
              <w:t>400mm</w:t>
            </w:r>
            <w:r>
              <w:rPr>
                <w:rFonts w:hAnsiTheme="minorEastAsia" w:eastAsiaTheme="minorEastAsia"/>
                <w:color w:val="000000" w:themeColor="text1"/>
                <w:szCs w:val="21"/>
                <w14:textFill>
                  <w14:solidFill>
                    <w14:schemeClr w14:val="tx1"/>
                  </w14:solidFill>
                </w14:textFill>
              </w:rPr>
              <w:t>时，需在扶手盖板上装设防滑</w:t>
            </w:r>
            <w:r>
              <w:rPr>
                <w:rFonts w:hint="eastAsia" w:hAnsiTheme="minorEastAsia" w:eastAsiaTheme="minorEastAsia"/>
                <w:color w:val="000000" w:themeColor="text1"/>
                <w:szCs w:val="21"/>
                <w14:textFill>
                  <w14:solidFill>
                    <w14:schemeClr w14:val="tx1"/>
                  </w14:solidFill>
                </w14:textFill>
              </w:rPr>
              <w:t>行</w:t>
            </w:r>
            <w:r>
              <w:rPr>
                <w:rFonts w:hAnsiTheme="minorEastAsia" w:eastAsiaTheme="minorEastAsia"/>
                <w:color w:val="000000" w:themeColor="text1"/>
                <w:szCs w:val="21"/>
                <w14:textFill>
                  <w14:solidFill>
                    <w14:schemeClr w14:val="tx1"/>
                  </w14:solidFill>
                </w14:textFill>
              </w:rPr>
              <w:t>装置。</w:t>
            </w:r>
          </w:p>
          <w:p w14:paraId="7533669A">
            <w:pPr>
              <w:overflowPunct w:val="0"/>
              <w:autoSpaceDE w:val="0"/>
              <w:autoSpaceDN w:val="0"/>
              <w:adjustRightInd w:val="0"/>
              <w:snapToGrid w:val="0"/>
              <w:spacing w:line="26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未设置扶手盖板的受检设备该项应划</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无此项</w:t>
            </w:r>
            <w:r>
              <w:rPr>
                <w:rFonts w:eastAsiaTheme="minorEastAsia"/>
                <w:color w:val="000000" w:themeColor="text1"/>
                <w:szCs w:val="21"/>
                <w14:textFill>
                  <w14:solidFill>
                    <w14:schemeClr w14:val="tx1"/>
                  </w14:solidFill>
                </w14:textFill>
              </w:rPr>
              <w:t>”</w:t>
            </w:r>
            <w:r>
              <w:rPr>
                <w:rFonts w:hint="eastAsia" w:eastAsiaTheme="minorEastAsia"/>
                <w:color w:val="000000" w:themeColor="text1"/>
                <w:szCs w:val="21"/>
                <w14:textFill>
                  <w14:solidFill>
                    <w14:schemeClr w14:val="tx1"/>
                  </w14:solidFill>
                </w14:textFill>
              </w:rPr>
              <w:t>。</w:t>
            </w:r>
          </w:p>
        </w:tc>
      </w:tr>
      <w:tr w14:paraId="7581F2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restart"/>
            <w:vAlign w:val="center"/>
          </w:tcPr>
          <w:p w14:paraId="16DA22FC">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*A2.2.3.7</w:t>
            </w:r>
          </w:p>
          <w:p w14:paraId="22F6D0E6">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围裙板与梯级、踏板间隙</w:t>
            </w:r>
          </w:p>
        </w:tc>
        <w:tc>
          <w:tcPr>
            <w:tcW w:w="3402" w:type="dxa"/>
            <w:vAlign w:val="center"/>
          </w:tcPr>
          <w:p w14:paraId="0C31EEA5">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检查其是否符合以下要求之一：</w:t>
            </w:r>
          </w:p>
          <w:p w14:paraId="74327D65">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）任何一侧的水平间隙不大于</w:t>
            </w:r>
            <w:r>
              <w:rPr>
                <w:rFonts w:eastAsiaTheme="minorEastAsia"/>
                <w:color w:val="000000" w:themeColor="text1"/>
                <w:szCs w:val="21"/>
                <w14:textFill>
                  <w14:solidFill>
                    <w14:schemeClr w14:val="tx1"/>
                  </w14:solidFill>
                </w14:textFill>
              </w:rPr>
              <w:t>4mm</w:t>
            </w:r>
            <w:r>
              <w:rPr>
                <w:rFonts w:hAnsiTheme="minorEastAsia" w:eastAsiaTheme="minorEastAsia"/>
                <w:color w:val="000000" w:themeColor="text1"/>
                <w:szCs w:val="21"/>
                <w14:textFill>
                  <w14:solidFill>
                    <w14:schemeClr w14:val="tx1"/>
                  </w14:solidFill>
                </w14:textFill>
              </w:rPr>
              <w:t>，并且两侧对称位置处的间隙总和不大于</w:t>
            </w:r>
            <w:r>
              <w:rPr>
                <w:rFonts w:eastAsiaTheme="minorEastAsia"/>
                <w:color w:val="000000" w:themeColor="text1"/>
                <w:szCs w:val="21"/>
                <w14:textFill>
                  <w14:solidFill>
                    <w14:schemeClr w14:val="tx1"/>
                  </w14:solidFill>
                </w14:textFill>
              </w:rPr>
              <w:t>7mm</w:t>
            </w:r>
            <w:r>
              <w:rPr>
                <w:rFonts w:hint="eastAsia" w:eastAsiaTheme="minorEastAsia"/>
                <w:color w:val="000000" w:themeColor="text1"/>
                <w:szCs w:val="21"/>
                <w14:textFill>
                  <w14:solidFill>
                    <w14:schemeClr w14:val="tx1"/>
                  </w14:solidFill>
                </w14:textFill>
              </w:rPr>
              <w:t>。</w:t>
            </w:r>
          </w:p>
        </w:tc>
        <w:tc>
          <w:tcPr>
            <w:tcW w:w="4274" w:type="dxa"/>
            <w:vAlign w:val="center"/>
          </w:tcPr>
          <w:p w14:paraId="0FAE4C4A">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查看围裙板与梯级、踏板间隙，必要时测量相关数据</w:t>
            </w:r>
            <w:r>
              <w:rPr>
                <w:rFonts w:hint="eastAsia" w:hAnsiTheme="minorEastAsia" w:eastAsiaTheme="minorEastAsia"/>
                <w:color w:val="000000" w:themeColor="text1"/>
                <w:szCs w:val="21"/>
                <w14:textFill>
                  <w14:solidFill>
                    <w14:schemeClr w14:val="tx1"/>
                  </w14:solidFill>
                </w14:textFill>
              </w:rPr>
              <w:t>。</w:t>
            </w:r>
          </w:p>
        </w:tc>
      </w:tr>
      <w:tr w14:paraId="745BA3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28F3A8BC">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7F6E7249">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）围裙板设置在踏板之上时，踏板表面与围裙板下端的垂直间隙不大于</w:t>
            </w:r>
            <w:r>
              <w:rPr>
                <w:rFonts w:eastAsiaTheme="minorEastAsia"/>
                <w:color w:val="000000" w:themeColor="text1"/>
                <w:szCs w:val="21"/>
                <w14:textFill>
                  <w14:solidFill>
                    <w14:schemeClr w14:val="tx1"/>
                  </w14:solidFill>
                </w14:textFill>
              </w:rPr>
              <w:t>4mm</w:t>
            </w:r>
            <w:r>
              <w:rPr>
                <w:rFonts w:hAnsiTheme="minorEastAsia" w:eastAsiaTheme="minorEastAsia"/>
                <w:color w:val="000000" w:themeColor="text1"/>
                <w:szCs w:val="21"/>
                <w14:textFill>
                  <w14:solidFill>
                    <w14:schemeClr w14:val="tx1"/>
                  </w14:solidFill>
                </w14:textFill>
              </w:rPr>
              <w:t>，踏板侧边与围裙板垂直投影间不产生间隙</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4A823514">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查看踏板表面与围裙板下端之间的垂直间隙以及踏板侧边与围裙板垂直投影间是否产生间隙，必要时测量相关数据</w:t>
            </w:r>
            <w:r>
              <w:rPr>
                <w:rFonts w:hint="eastAsia" w:hAnsiTheme="minorEastAsia" w:eastAsiaTheme="minorEastAsia"/>
                <w:color w:val="000000" w:themeColor="text1"/>
                <w:szCs w:val="21"/>
                <w14:textFill>
                  <w14:solidFill>
                    <w14:schemeClr w14:val="tx1"/>
                  </w14:solidFill>
                </w14:textFill>
              </w:rPr>
              <w:t>。</w:t>
            </w:r>
          </w:p>
        </w:tc>
      </w:tr>
      <w:tr w14:paraId="13F8E9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restart"/>
            <w:vAlign w:val="center"/>
          </w:tcPr>
          <w:p w14:paraId="5448B057">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A2.2.3.9</w:t>
            </w:r>
          </w:p>
          <w:p w14:paraId="0E93F1C0">
            <w:pPr>
              <w:overflowPunct w:val="0"/>
              <w:autoSpaceDE w:val="0"/>
              <w:autoSpaceDN w:val="0"/>
              <w:adjustRightInd w:val="0"/>
              <w:snapToGrid w:val="0"/>
              <w:spacing w:line="30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围裙板防夹</w:t>
            </w:r>
          </w:p>
          <w:p w14:paraId="6CAE73C3">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装置</w:t>
            </w:r>
          </w:p>
        </w:tc>
        <w:tc>
          <w:tcPr>
            <w:tcW w:w="3402" w:type="dxa"/>
            <w:vAlign w:val="center"/>
          </w:tcPr>
          <w:p w14:paraId="07E58EE3">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检查其是否符合以下要求：</w:t>
            </w:r>
          </w:p>
          <w:p w14:paraId="5EA9256E">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）无松动、缺损等现象</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5283A330">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检查其是否有松动、缺损等现象</w:t>
            </w:r>
            <w:r>
              <w:rPr>
                <w:rFonts w:hint="eastAsia" w:hAnsiTheme="minorEastAsia" w:eastAsiaTheme="minorEastAsia"/>
                <w:color w:val="000000" w:themeColor="text1"/>
                <w:szCs w:val="21"/>
                <w14:textFill>
                  <w14:solidFill>
                    <w14:schemeClr w14:val="tx1"/>
                  </w14:solidFill>
                </w14:textFill>
              </w:rPr>
              <w:t>。</w:t>
            </w:r>
          </w:p>
        </w:tc>
      </w:tr>
      <w:tr w14:paraId="24DCA4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7AE70F27">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11B16C20">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）端点位于梳齿与踏面相交线前（梯级侧）不小于</w:t>
            </w:r>
            <w:r>
              <w:rPr>
                <w:rFonts w:eastAsiaTheme="minorEastAsia"/>
                <w:color w:val="000000" w:themeColor="text1"/>
                <w:szCs w:val="21"/>
                <w14:textFill>
                  <w14:solidFill>
                    <w14:schemeClr w14:val="tx1"/>
                  </w14:solidFill>
                </w14:textFill>
              </w:rPr>
              <w:t>50mm</w:t>
            </w:r>
            <w:r>
              <w:rPr>
                <w:rFonts w:hAnsiTheme="minorEastAsia" w:eastAsiaTheme="minorEastAsia"/>
                <w:color w:val="000000" w:themeColor="text1"/>
                <w:szCs w:val="21"/>
                <w14:textFill>
                  <w14:solidFill>
                    <w14:schemeClr w14:val="tx1"/>
                  </w14:solidFill>
                </w14:textFill>
              </w:rPr>
              <w:t>，但不大于</w:t>
            </w:r>
            <w:r>
              <w:rPr>
                <w:rFonts w:eastAsiaTheme="minorEastAsia"/>
                <w:color w:val="000000" w:themeColor="text1"/>
                <w:szCs w:val="21"/>
                <w14:textFill>
                  <w14:solidFill>
                    <w14:schemeClr w14:val="tx1"/>
                  </w14:solidFill>
                </w14:textFill>
              </w:rPr>
              <w:t>150mm</w:t>
            </w:r>
            <w:r>
              <w:rPr>
                <w:rFonts w:hAnsiTheme="minorEastAsia" w:eastAsiaTheme="minorEastAsia"/>
                <w:color w:val="000000" w:themeColor="text1"/>
                <w:szCs w:val="21"/>
                <w14:textFill>
                  <w14:solidFill>
                    <w14:schemeClr w14:val="tx1"/>
                  </w14:solidFill>
                </w14:textFill>
              </w:rPr>
              <w:t>的位置</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287E160E">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必要时测量围裙板防夹装置端点至梳齿与踏面相交线的距离。</w:t>
            </w:r>
          </w:p>
        </w:tc>
      </w:tr>
      <w:tr w14:paraId="753C6A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Align w:val="center"/>
          </w:tcPr>
          <w:p w14:paraId="0D29188D">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A2.2.3.10</w:t>
            </w:r>
          </w:p>
          <w:p w14:paraId="592AD162">
            <w:pPr>
              <w:overflowPunct w:val="0"/>
              <w:autoSpaceDE w:val="0"/>
              <w:autoSpaceDN w:val="0"/>
              <w:adjustRightInd w:val="0"/>
              <w:snapToGrid w:val="0"/>
              <w:spacing w:line="30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围裙板防夹</w:t>
            </w:r>
          </w:p>
          <w:p w14:paraId="234C9EED">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开关</w:t>
            </w:r>
          </w:p>
        </w:tc>
        <w:tc>
          <w:tcPr>
            <w:tcW w:w="3402" w:type="dxa"/>
            <w:vAlign w:val="center"/>
          </w:tcPr>
          <w:p w14:paraId="2127AFC5">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对于设有围裙板防夹开关的自动扶梯，检查夹入梯级和围裙板之间的异物最迟到达围裙板防夹开关处时，该开关是否能够有效动作，使自动扶梯在该梯级到达梳齿板前自动停止运行</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6AF404D9">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此项目宜采用扶梯停止状态，采用模拟方式，如楔形工具测试，验证夹入梯级和围裙板之间的异物最迟到达围裙板防夹开关处时，该开关动作可靠，并且使自动扶梯在该梯级到达梳齿板前自动停止运行。</w:t>
            </w:r>
          </w:p>
          <w:p w14:paraId="5FFAE223">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09DA42A3">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）标准中未对围裙板防夹开关</w:t>
            </w:r>
            <w:r>
              <w:rPr>
                <w:rFonts w:hint="eastAsia" w:hAnsiTheme="minorEastAsia" w:eastAsiaTheme="minorEastAsia"/>
                <w:color w:val="000000" w:themeColor="text1"/>
                <w:szCs w:val="21"/>
                <w14:textFill>
                  <w14:solidFill>
                    <w14:schemeClr w14:val="tx1"/>
                  </w14:solidFill>
                </w14:textFill>
              </w:rPr>
              <w:t>作出</w:t>
            </w:r>
            <w:r>
              <w:rPr>
                <w:rFonts w:hAnsiTheme="minorEastAsia" w:eastAsiaTheme="minorEastAsia"/>
                <w:color w:val="000000" w:themeColor="text1"/>
                <w:szCs w:val="21"/>
                <w14:textFill>
                  <w14:solidFill>
                    <w14:schemeClr w14:val="tx1"/>
                  </w14:solidFill>
                </w14:textFill>
              </w:rPr>
              <w:t>要求。一般制造企业在出厂时设置了该保护装置，那么对于产品有设置的，需要进行验证该项功能有效。</w:t>
            </w:r>
          </w:p>
          <w:p w14:paraId="438A6AC3">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）围裙板防夹开关安装位置一般在自动扶梯的直线段与曲线段相交处，上下各</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个，一般为自动复位的微动开关，动作距离应根据厂家的要求来调整。</w:t>
            </w:r>
          </w:p>
          <w:p w14:paraId="6197C8B1">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）检规中只提及了对自动扶梯的要求，实际很多自动人行道也设置此开关</w:t>
            </w:r>
            <w:r>
              <w:rPr>
                <w:rFonts w:hint="eastAsia" w:hAnsiTheme="minorEastAsia" w:eastAsiaTheme="minorEastAsia"/>
                <w:color w:val="000000" w:themeColor="text1"/>
                <w:szCs w:val="21"/>
                <w14:textFill>
                  <w14:solidFill>
                    <w14:schemeClr w14:val="tx1"/>
                  </w14:solidFill>
                </w14:textFill>
              </w:rPr>
              <w:t>。</w:t>
            </w:r>
          </w:p>
        </w:tc>
      </w:tr>
      <w:tr w14:paraId="2AD980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50" w:hRule="atLeast"/>
          <w:jc w:val="center"/>
        </w:trPr>
        <w:tc>
          <w:tcPr>
            <w:tcW w:w="1384" w:type="dxa"/>
            <w:vMerge w:val="restart"/>
            <w:vAlign w:val="center"/>
          </w:tcPr>
          <w:p w14:paraId="528C261B">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A2.2.4.1</w:t>
            </w:r>
          </w:p>
          <w:p w14:paraId="7704E71D">
            <w:pPr>
              <w:overflowPunct w:val="0"/>
              <w:autoSpaceDE w:val="0"/>
              <w:autoSpaceDN w:val="0"/>
              <w:adjustRightInd w:val="0"/>
              <w:snapToGrid w:val="0"/>
              <w:spacing w:line="30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梯级、踏板</w:t>
            </w:r>
          </w:p>
          <w:p w14:paraId="3D65691F">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（胶带）</w:t>
            </w:r>
          </w:p>
        </w:tc>
        <w:tc>
          <w:tcPr>
            <w:tcW w:w="3402" w:type="dxa"/>
            <w:vAlign w:val="center"/>
          </w:tcPr>
          <w:p w14:paraId="3376C00A">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检查其是否符合以下要求：</w:t>
            </w:r>
          </w:p>
          <w:p w14:paraId="4DDA27F4">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）梯级、踏板或者胶带完好，无破损</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213DDD45">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目测检查</w:t>
            </w:r>
            <w:r>
              <w:rPr>
                <w:rFonts w:hint="eastAsia" w:hAnsiTheme="minorEastAsia" w:eastAsiaTheme="minorEastAsia"/>
                <w:color w:val="000000" w:themeColor="text1"/>
                <w:szCs w:val="21"/>
                <w14:textFill>
                  <w14:solidFill>
                    <w14:schemeClr w14:val="tx1"/>
                  </w14:solidFill>
                </w14:textFill>
              </w:rPr>
              <w:t>。</w:t>
            </w:r>
          </w:p>
        </w:tc>
      </w:tr>
      <w:tr w14:paraId="325C7D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29" w:hRule="atLeast"/>
          <w:jc w:val="center"/>
        </w:trPr>
        <w:tc>
          <w:tcPr>
            <w:tcW w:w="1384" w:type="dxa"/>
            <w:vMerge w:val="continue"/>
            <w:vAlign w:val="center"/>
          </w:tcPr>
          <w:p w14:paraId="07F65529">
            <w:pPr>
              <w:pStyle w:val="5"/>
              <w:overflowPunct w:val="0"/>
              <w:autoSpaceDE w:val="0"/>
              <w:autoSpaceDN w:val="0"/>
              <w:adjustRightInd w:val="0"/>
              <w:snapToGrid w:val="0"/>
              <w:spacing w:after="0" w:line="300" w:lineRule="exact"/>
              <w:ind w:left="0" w:leftChars="0"/>
              <w:jc w:val="center"/>
              <w:rPr>
                <w:rFonts w:eastAsiaTheme="minorEastAsia"/>
                <w:bCs/>
                <w:color w:val="000000" w:themeColor="text1"/>
                <w:szCs w:val="21"/>
                <w14:textFill>
                  <w14:solidFill>
                    <w14:schemeClr w14:val="tx1"/>
                  </w14:solidFill>
                </w14:textFill>
              </w:rPr>
            </w:pPr>
          </w:p>
        </w:tc>
        <w:tc>
          <w:tcPr>
            <w:tcW w:w="3402" w:type="dxa"/>
            <w:vAlign w:val="center"/>
          </w:tcPr>
          <w:p w14:paraId="4179B2D1">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）在工作区段内的任何位置，从踏面测得的两个相邻梯级或者踏板之间的间隙不大于</w:t>
            </w:r>
            <w:r>
              <w:rPr>
                <w:rFonts w:eastAsiaTheme="minorEastAsia"/>
                <w:color w:val="000000" w:themeColor="text1"/>
                <w:szCs w:val="21"/>
                <w14:textFill>
                  <w14:solidFill>
                    <w14:schemeClr w14:val="tx1"/>
                  </w14:solidFill>
                </w14:textFill>
              </w:rPr>
              <w:t>6mm</w:t>
            </w:r>
            <w:r>
              <w:rPr>
                <w:rFonts w:hAnsiTheme="minorEastAsia" w:eastAsiaTheme="minorEastAsia"/>
                <w:color w:val="000000" w:themeColor="text1"/>
                <w:szCs w:val="21"/>
                <w14:textFill>
                  <w14:solidFill>
                    <w14:schemeClr w14:val="tx1"/>
                  </w14:solidFill>
                </w14:textFill>
              </w:rPr>
              <w:t>；在自动人行道过渡曲线区段、如果踏板的前缘和相邻踏板的后缘啮合，其间隙允许增至</w:t>
            </w:r>
            <w:r>
              <w:rPr>
                <w:rFonts w:eastAsiaTheme="minorEastAsia"/>
                <w:color w:val="000000" w:themeColor="text1"/>
                <w:szCs w:val="21"/>
                <w14:textFill>
                  <w14:solidFill>
                    <w14:schemeClr w14:val="tx1"/>
                  </w14:solidFill>
                </w14:textFill>
              </w:rPr>
              <w:t>8mm</w:t>
            </w:r>
            <w:r>
              <w:rPr>
                <w:rFonts w:hAnsiTheme="minorEastAsia" w:eastAsiaTheme="minorEastAsia"/>
                <w:color w:val="000000" w:themeColor="text1"/>
                <w:szCs w:val="21"/>
                <w14:textFill>
                  <w14:solidFill>
                    <w14:schemeClr w14:val="tx1"/>
                  </w14:solidFill>
                </w14:textFill>
              </w:rPr>
              <w:t>（注</w:t>
            </w:r>
            <w:r>
              <w:rPr>
                <w:rFonts w:eastAsiaTheme="minorEastAsia"/>
                <w:color w:val="000000" w:themeColor="text1"/>
                <w:szCs w:val="21"/>
                <w14:textFill>
                  <w14:solidFill>
                    <w14:schemeClr w14:val="tx1"/>
                  </w14:solidFill>
                </w14:textFill>
              </w:rPr>
              <w:t>A2-5</w:t>
            </w:r>
            <w:r>
              <w:rPr>
                <w:rFonts w:hAnsiTheme="minorEastAsia" w:eastAsiaTheme="minorEastAsia"/>
                <w:color w:val="000000" w:themeColor="text1"/>
                <w:szCs w:val="21"/>
                <w14:textFill>
                  <w14:solidFill>
                    <w14:schemeClr w14:val="tx1"/>
                  </w14:solidFill>
                </w14:textFill>
              </w:rPr>
              <w:t>）</w:t>
            </w:r>
          </w:p>
          <w:p w14:paraId="677133AD">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b/>
                <w:bCs/>
                <w:color w:val="000000" w:themeColor="text1"/>
                <w:szCs w:val="21"/>
                <w14:textFill>
                  <w14:solidFill>
                    <w14:schemeClr w14:val="tx1"/>
                  </w14:solidFill>
                </w14:textFill>
              </w:rPr>
              <w:t>注</w:t>
            </w:r>
            <w:r>
              <w:rPr>
                <w:rFonts w:eastAsiaTheme="minorEastAsia"/>
                <w:b/>
                <w:bCs/>
                <w:color w:val="000000" w:themeColor="text1"/>
                <w:szCs w:val="21"/>
                <w14:textFill>
                  <w14:solidFill>
                    <w14:schemeClr w14:val="tx1"/>
                  </w14:solidFill>
                </w14:textFill>
              </w:rPr>
              <w:t>A2-5</w:t>
            </w:r>
            <w:r>
              <w:rPr>
                <w:rFonts w:hAnsiTheme="minorEastAsia" w:eastAsiaTheme="minorEastAsia"/>
                <w:b/>
                <w:bCs/>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对本条第（</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）项进行检验时，可以抽取</w:t>
            </w:r>
            <w:r>
              <w:rPr>
                <w:rFonts w:eastAsiaTheme="minorEastAsia"/>
                <w:color w:val="000000" w:themeColor="text1"/>
                <w:szCs w:val="21"/>
                <w14:textFill>
                  <w14:solidFill>
                    <w14:schemeClr w14:val="tx1"/>
                  </w14:solidFill>
                </w14:textFill>
              </w:rPr>
              <w:t>20%</w:t>
            </w:r>
            <w:r>
              <w:rPr>
                <w:rFonts w:hAnsiTheme="minorEastAsia" w:eastAsiaTheme="minorEastAsia"/>
                <w:color w:val="000000" w:themeColor="text1"/>
                <w:szCs w:val="21"/>
                <w14:textFill>
                  <w14:solidFill>
                    <w14:schemeClr w14:val="tx1"/>
                  </w14:solidFill>
                </w14:textFill>
              </w:rPr>
              <w:t>的可见梯级或者踏板测量相应的间隙</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75E42205">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在自动扶梯或自动人行道水平直线区段、过渡曲线区段、倾斜直线区段抽取</w:t>
            </w:r>
            <w:r>
              <w:rPr>
                <w:rFonts w:eastAsiaTheme="minorEastAsia"/>
                <w:color w:val="000000" w:themeColor="text1"/>
                <w:szCs w:val="21"/>
                <w14:textFill>
                  <w14:solidFill>
                    <w14:schemeClr w14:val="tx1"/>
                  </w14:solidFill>
                </w14:textFill>
              </w:rPr>
              <w:t>20%</w:t>
            </w:r>
            <w:r>
              <w:rPr>
                <w:rFonts w:hAnsiTheme="minorEastAsia" w:eastAsiaTheme="minorEastAsia"/>
                <w:color w:val="000000" w:themeColor="text1"/>
                <w:szCs w:val="21"/>
                <w14:textFill>
                  <w14:solidFill>
                    <w14:schemeClr w14:val="tx1"/>
                  </w14:solidFill>
                </w14:textFill>
              </w:rPr>
              <w:t>的梯级或者踏板，用斜塞尺测量梯级或者踏板之间的间隙，其最大间隙值应符合要求</w:t>
            </w:r>
            <w:r>
              <w:rPr>
                <w:rFonts w:hint="eastAsia" w:hAnsiTheme="minorEastAsia" w:eastAsiaTheme="minorEastAsia"/>
                <w:color w:val="000000" w:themeColor="text1"/>
                <w:szCs w:val="21"/>
                <w14:textFill>
                  <w14:solidFill>
                    <w14:schemeClr w14:val="tx1"/>
                  </w14:solidFill>
                </w14:textFill>
              </w:rPr>
              <w:t>。</w:t>
            </w:r>
          </w:p>
        </w:tc>
      </w:tr>
      <w:tr w14:paraId="3DF829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42" w:hRule="atLeast"/>
          <w:jc w:val="center"/>
        </w:trPr>
        <w:tc>
          <w:tcPr>
            <w:tcW w:w="1384" w:type="dxa"/>
            <w:vAlign w:val="center"/>
          </w:tcPr>
          <w:p w14:paraId="2DD70995">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*A2.2.4.2</w:t>
            </w:r>
          </w:p>
          <w:p w14:paraId="474FB926">
            <w:pPr>
              <w:overflowPunct w:val="0"/>
              <w:autoSpaceDE w:val="0"/>
              <w:autoSpaceDN w:val="0"/>
              <w:adjustRightInd w:val="0"/>
              <w:snapToGrid w:val="0"/>
              <w:spacing w:line="30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梯级、踏板</w:t>
            </w:r>
          </w:p>
          <w:p w14:paraId="666DA59B">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下陷保护</w:t>
            </w:r>
          </w:p>
        </w:tc>
        <w:tc>
          <w:tcPr>
            <w:tcW w:w="3402" w:type="dxa"/>
            <w:vAlign w:val="center"/>
          </w:tcPr>
          <w:p w14:paraId="4A67551E">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检查梯级或者踏板下陷导致不再与梳齿啮合时，电气安全装置是否能够使受检设备自动停止运行，并且下陷的梯级或者踏板不会到达梳齿与踏面相交线；故障锁定功能是否保持有效。</w:t>
            </w:r>
          </w:p>
          <w:p w14:paraId="284FB4F0">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检验时，由施工或者维护保养单位卸除</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个梯级或者踏板，将缺口检修运行至电气安全装置处，检验人员检查电气安全装置至梳齿与踏面相交线的距离是否大于工作制动器的最大制停距离；该装置动作后，是否能够使受检设备停止运行；故障锁定功能是否保持有效</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12D10636">
            <w:pPr>
              <w:numPr>
                <w:ilvl w:val="0"/>
                <w:numId w:val="1"/>
              </w:numPr>
              <w:overflowPunct w:val="0"/>
              <w:autoSpaceDE w:val="0"/>
              <w:autoSpaceDN w:val="0"/>
              <w:adjustRightInd w:val="0"/>
              <w:snapToGrid w:val="0"/>
              <w:spacing w:line="300" w:lineRule="exact"/>
              <w:textAlignment w:val="baseline"/>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拆除梯级或踏板，运行至相关位置</w:t>
            </w:r>
          </w:p>
          <w:p w14:paraId="368E0823">
            <w:pPr>
              <w:numPr>
                <w:ilvl w:val="0"/>
                <w:numId w:val="1"/>
              </w:numPr>
              <w:overflowPunct w:val="0"/>
              <w:autoSpaceDE w:val="0"/>
              <w:autoSpaceDN w:val="0"/>
              <w:adjustRightInd w:val="0"/>
              <w:snapToGrid w:val="0"/>
              <w:spacing w:line="300" w:lineRule="exact"/>
              <w:textAlignment w:val="baseline"/>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根据不同厂家的不同设计，检查检测杆与梯级关联部位的间隙是否符合（应在</w:t>
            </w:r>
            <w:r>
              <w:rPr>
                <w:rFonts w:eastAsiaTheme="minorEastAsia"/>
                <w:color w:val="000000" w:themeColor="text1"/>
                <w:szCs w:val="21"/>
                <w14:textFill>
                  <w14:solidFill>
                    <w14:schemeClr w14:val="tx1"/>
                  </w14:solidFill>
                </w14:textFill>
              </w:rPr>
              <w:t>4mm</w:t>
            </w:r>
            <w:r>
              <w:rPr>
                <w:rFonts w:hAnsiTheme="minorEastAsia" w:eastAsiaTheme="minorEastAsia"/>
                <w:color w:val="000000" w:themeColor="text1"/>
                <w:szCs w:val="21"/>
                <w14:textFill>
                  <w14:solidFill>
                    <w14:schemeClr w14:val="tx1"/>
                  </w14:solidFill>
                </w14:textFill>
              </w:rPr>
              <w:t>之内）</w:t>
            </w:r>
          </w:p>
          <w:p w14:paraId="00B94CDC">
            <w:pPr>
              <w:numPr>
                <w:ilvl w:val="0"/>
                <w:numId w:val="1"/>
              </w:numPr>
              <w:overflowPunct w:val="0"/>
              <w:autoSpaceDE w:val="0"/>
              <w:autoSpaceDN w:val="0"/>
              <w:adjustRightInd w:val="0"/>
              <w:snapToGrid w:val="0"/>
              <w:spacing w:line="300" w:lineRule="exact"/>
              <w:textAlignment w:val="baseline"/>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检查电气安全装置是否起作用</w:t>
            </w:r>
          </w:p>
          <w:p w14:paraId="2526C33A">
            <w:pPr>
              <w:numPr>
                <w:ilvl w:val="0"/>
                <w:numId w:val="1"/>
              </w:numPr>
              <w:overflowPunct w:val="0"/>
              <w:autoSpaceDE w:val="0"/>
              <w:autoSpaceDN w:val="0"/>
              <w:adjustRightInd w:val="0"/>
              <w:snapToGrid w:val="0"/>
              <w:spacing w:line="300" w:lineRule="exact"/>
              <w:textAlignment w:val="baseline"/>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验证故障锁定功能。</w:t>
            </w:r>
          </w:p>
          <w:p w14:paraId="6B75F8CE">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7C7EDA89">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时，除了要按检规的要求手动试验检测杆是否能使安全开关动作并且扶梯停止运行，最重要的是要观察检测杆与支撑梯级的链轮轴之间距离以及检测杆与梯级自身滚轮下端部的距离。如果对此距离不作要求，仅单单试验开关是否能动作，并不能验证梯级下陷保护装置的有效性。如果梯级下陷的深度大于梳齿板梳齿与踏板面齿槽的啮合深度（</w:t>
            </w:r>
            <w:r>
              <w:rPr>
                <w:rFonts w:eastAsiaTheme="minorEastAsia"/>
                <w:color w:val="000000" w:themeColor="text1"/>
                <w:szCs w:val="21"/>
                <w14:textFill>
                  <w14:solidFill>
                    <w14:schemeClr w14:val="tx1"/>
                  </w14:solidFill>
                </w14:textFill>
              </w:rPr>
              <w:t>4mm</w:t>
            </w:r>
            <w:r>
              <w:rPr>
                <w:rFonts w:hAnsiTheme="minorEastAsia" w:eastAsiaTheme="minorEastAsia"/>
                <w:color w:val="000000" w:themeColor="text1"/>
                <w:szCs w:val="21"/>
                <w14:textFill>
                  <w14:solidFill>
                    <w14:schemeClr w14:val="tx1"/>
                  </w14:solidFill>
                </w14:textFill>
              </w:rPr>
              <w:t>），就无法保证梯级与梳齿的有效啮合</w:t>
            </w:r>
            <w:r>
              <w:rPr>
                <w:rFonts w:hint="eastAsia" w:hAnsiTheme="minorEastAsia" w:eastAsiaTheme="minorEastAsia"/>
                <w:color w:val="000000" w:themeColor="text1"/>
                <w:szCs w:val="21"/>
                <w14:textFill>
                  <w14:solidFill>
                    <w14:schemeClr w14:val="tx1"/>
                  </w14:solidFill>
                </w14:textFill>
              </w:rPr>
              <w:t>。</w:t>
            </w:r>
          </w:p>
        </w:tc>
      </w:tr>
      <w:tr w14:paraId="13E921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60" w:hRule="atLeast"/>
          <w:jc w:val="center"/>
        </w:trPr>
        <w:tc>
          <w:tcPr>
            <w:tcW w:w="1384" w:type="dxa"/>
            <w:vAlign w:val="center"/>
          </w:tcPr>
          <w:p w14:paraId="59FC5F3D">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*A2.2.4.3</w:t>
            </w:r>
          </w:p>
          <w:p w14:paraId="6E3043DB">
            <w:pPr>
              <w:overflowPunct w:val="0"/>
              <w:autoSpaceDE w:val="0"/>
              <w:autoSpaceDN w:val="0"/>
              <w:adjustRightInd w:val="0"/>
              <w:snapToGrid w:val="0"/>
              <w:spacing w:line="30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梯级、踏板</w:t>
            </w:r>
          </w:p>
          <w:p w14:paraId="16415321">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缺失保护</w:t>
            </w:r>
          </w:p>
        </w:tc>
        <w:tc>
          <w:tcPr>
            <w:tcW w:w="3402" w:type="dxa"/>
            <w:vAlign w:val="center"/>
          </w:tcPr>
          <w:p w14:paraId="4916FC1A">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检查由梯级或者踏板缺失而导致的缺口从梳齿板位置出现之前，电气安全装置是否能够使受检设备自动停止运行；故障锁定功能是否保持有效。</w:t>
            </w:r>
          </w:p>
          <w:p w14:paraId="56395F24">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检验时，由施工或者维护保养单位卸除</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个梯级或者踏板，将缺口运行至返回分支内与回转段下部相接的直线段位置，正常启动受检设备上行和下行，检验人员分别确认缺口到达梳齿板位置之前，电气安全装置是否能够使受检设备自动停止运行；故障锁定功能是否保持有效</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40FE873D">
            <w:pPr>
              <w:tabs>
                <w:tab w:val="left" w:pos="312"/>
              </w:tabs>
              <w:overflowPunct w:val="0"/>
              <w:autoSpaceDE w:val="0"/>
              <w:autoSpaceDN w:val="0"/>
              <w:adjustRightInd w:val="0"/>
              <w:snapToGrid w:val="0"/>
              <w:spacing w:line="300" w:lineRule="exact"/>
              <w:textAlignment w:val="baseline"/>
              <w:rPr>
                <w:rFonts w:eastAsiaTheme="minorEastAsia"/>
                <w:color w:val="000000" w:themeColor="text1"/>
                <w:szCs w:val="21"/>
                <w14:textFill>
                  <w14:solidFill>
                    <w14:schemeClr w14:val="tx1"/>
                  </w14:solidFill>
                </w14:textFill>
              </w:rPr>
            </w:pPr>
            <w:r>
              <w:rPr>
                <w:rFonts w:hint="eastAsia" w:hAnsiTheme="minorEastAsia"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拆除一个梯级或踏板，将缺口运行至返回分支内与回转段下部相连接的直线段位置；</w:t>
            </w:r>
          </w:p>
          <w:p w14:paraId="5825756A">
            <w:pPr>
              <w:tabs>
                <w:tab w:val="left" w:pos="312"/>
              </w:tabs>
              <w:overflowPunct w:val="0"/>
              <w:autoSpaceDE w:val="0"/>
              <w:autoSpaceDN w:val="0"/>
              <w:adjustRightInd w:val="0"/>
              <w:snapToGrid w:val="0"/>
              <w:spacing w:line="300" w:lineRule="exact"/>
              <w:textAlignment w:val="baseline"/>
              <w:rPr>
                <w:rFonts w:eastAsiaTheme="minorEastAsia"/>
                <w:color w:val="000000" w:themeColor="text1"/>
                <w:szCs w:val="21"/>
                <w14:textFill>
                  <w14:solidFill>
                    <w14:schemeClr w14:val="tx1"/>
                  </w14:solidFill>
                </w14:textFill>
              </w:rPr>
            </w:pPr>
            <w:r>
              <w:rPr>
                <w:rFonts w:hint="eastAsia" w:hAnsiTheme="minorEastAsia"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正常启动设备，分别上行、下行，检验人员检查缺口到达梳齿板位置之前，设备是否停止运行；</w:t>
            </w:r>
          </w:p>
          <w:p w14:paraId="647C77CB">
            <w:pPr>
              <w:tabs>
                <w:tab w:val="left" w:pos="312"/>
              </w:tabs>
              <w:overflowPunct w:val="0"/>
              <w:autoSpaceDE w:val="0"/>
              <w:autoSpaceDN w:val="0"/>
              <w:adjustRightInd w:val="0"/>
              <w:snapToGrid w:val="0"/>
              <w:spacing w:line="300" w:lineRule="exact"/>
              <w:textAlignment w:val="baseline"/>
              <w:rPr>
                <w:rFonts w:eastAsiaTheme="minorEastAsia"/>
                <w:color w:val="000000" w:themeColor="text1"/>
                <w:szCs w:val="21"/>
                <w14:textFill>
                  <w14:solidFill>
                    <w14:schemeClr w14:val="tx1"/>
                  </w14:solidFill>
                </w14:textFill>
              </w:rPr>
            </w:pPr>
            <w:r>
              <w:rPr>
                <w:rFonts w:hint="eastAsia" w:hAnsiTheme="minorEastAsia"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验证故障锁定功能。</w:t>
            </w:r>
          </w:p>
          <w:p w14:paraId="67429AE2">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6E27BF9C">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检规中要求</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将缺口运行至返回分支内与回转段下部相接的直线段位置</w:t>
            </w:r>
            <w:r>
              <w:rPr>
                <w:rFonts w:eastAsiaTheme="minorEastAsia"/>
                <w:color w:val="000000" w:themeColor="text1"/>
                <w:szCs w:val="21"/>
                <w14:textFill>
                  <w14:solidFill>
                    <w14:schemeClr w14:val="tx1"/>
                  </w14:solidFill>
                </w14:textFill>
              </w:rPr>
              <w:t>”</w:t>
            </w:r>
            <w:r>
              <w:rPr>
                <w:rFonts w:hAnsiTheme="minorEastAsia" w:eastAsiaTheme="minorEastAsia"/>
                <w:color w:val="000000" w:themeColor="text1"/>
                <w:szCs w:val="21"/>
                <w14:textFill>
                  <w14:solidFill>
                    <w14:schemeClr w14:val="tx1"/>
                  </w14:solidFill>
                </w14:textFill>
              </w:rPr>
              <w:t>，那么监测缺失的装置应安装在直线段之外的回转段范围内，并且应保证安装位置距离梳齿板的距离比工作制动器最大制停距离大，才能保证缺口到达梳齿板位置之前设备停止运行。驱动站和转向站应各设置一组监测装置，以确保无论设备上行还是下行，因梯级（踏板）缺失而导致的缺口都不会出现在出入口处</w:t>
            </w:r>
            <w:r>
              <w:rPr>
                <w:rFonts w:hint="eastAsia" w:hAnsiTheme="minorEastAsia" w:eastAsiaTheme="minorEastAsia"/>
                <w:color w:val="000000" w:themeColor="text1"/>
                <w:szCs w:val="21"/>
                <w14:textFill>
                  <w14:solidFill>
                    <w14:schemeClr w14:val="tx1"/>
                  </w14:solidFill>
                </w14:textFill>
              </w:rPr>
              <w:t>。</w:t>
            </w:r>
          </w:p>
        </w:tc>
      </w:tr>
      <w:tr w14:paraId="5D6B77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98" w:hRule="atLeast"/>
          <w:jc w:val="center"/>
        </w:trPr>
        <w:tc>
          <w:tcPr>
            <w:tcW w:w="1384" w:type="dxa"/>
            <w:vAlign w:val="center"/>
          </w:tcPr>
          <w:p w14:paraId="195BF5D0">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*A2.2.4.4</w:t>
            </w:r>
          </w:p>
          <w:p w14:paraId="21F6605A">
            <w:pPr>
              <w:overflowPunct w:val="0"/>
              <w:autoSpaceDE w:val="0"/>
              <w:autoSpaceDN w:val="0"/>
              <w:adjustRightInd w:val="0"/>
              <w:snapToGrid w:val="0"/>
              <w:spacing w:line="30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非操纵逆转</w:t>
            </w:r>
          </w:p>
          <w:p w14:paraId="1C1AFB38">
            <w:pPr>
              <w:overflowPunct w:val="0"/>
              <w:autoSpaceDE w:val="0"/>
              <w:autoSpaceDN w:val="0"/>
              <w:adjustRightInd w:val="0"/>
              <w:snapToGrid w:val="0"/>
              <w:spacing w:line="30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保护</w:t>
            </w:r>
          </w:p>
        </w:tc>
        <w:tc>
          <w:tcPr>
            <w:tcW w:w="3402" w:type="dxa"/>
            <w:vAlign w:val="center"/>
          </w:tcPr>
          <w:p w14:paraId="24CEB036">
            <w:pPr>
              <w:pStyle w:val="5"/>
              <w:overflowPunct w:val="0"/>
              <w:autoSpaceDE w:val="0"/>
              <w:autoSpaceDN w:val="0"/>
              <w:adjustRightInd w:val="0"/>
              <w:snapToGrid w:val="0"/>
              <w:spacing w:after="0" w:line="30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检查梯级、踏板或者胶带改变规定运行方向时，非操纵逆转保护装置是否能够使自动扶梯或者倾斜角不小于</w:t>
            </w:r>
            <w:r>
              <w:rPr>
                <w:rFonts w:eastAsiaTheme="minorEastAsia"/>
                <w:color w:val="000000" w:themeColor="text1"/>
                <w:szCs w:val="21"/>
                <w14:textFill>
                  <w14:solidFill>
                    <w14:schemeClr w14:val="tx1"/>
                  </w14:solidFill>
                </w14:textFill>
              </w:rPr>
              <w:t>6°</w:t>
            </w:r>
            <w:r>
              <w:rPr>
                <w:rFonts w:hAnsiTheme="minorEastAsia" w:eastAsiaTheme="minorEastAsia"/>
                <w:color w:val="000000" w:themeColor="text1"/>
                <w:szCs w:val="21"/>
                <w14:textFill>
                  <w14:solidFill>
                    <w14:schemeClr w14:val="tx1"/>
                  </w14:solidFill>
                </w14:textFill>
              </w:rPr>
              <w:t>的自动人行道自动停止运行；故障锁定功能是否保持有效</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76C43F22">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由施工单位或维护保养单位按制造单位提供的方法进行试验，检验人员现场观察、确认。</w:t>
            </w:r>
          </w:p>
          <w:p w14:paraId="5CC0E044">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0CEF09DC">
            <w:pPr>
              <w:overflowPunct w:val="0"/>
              <w:autoSpaceDE w:val="0"/>
              <w:autoSpaceDN w:val="0"/>
              <w:adjustRightInd w:val="0"/>
              <w:snapToGrid w:val="0"/>
              <w:spacing w:line="30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对于倾斜角小于</w:t>
            </w:r>
            <w:r>
              <w:rPr>
                <w:rFonts w:eastAsiaTheme="minorEastAsia"/>
                <w:color w:val="000000" w:themeColor="text1"/>
                <w:szCs w:val="21"/>
                <w14:textFill>
                  <w14:solidFill>
                    <w14:schemeClr w14:val="tx1"/>
                  </w14:solidFill>
                </w14:textFill>
              </w:rPr>
              <w:t>6°</w:t>
            </w:r>
            <w:r>
              <w:rPr>
                <w:rFonts w:hAnsiTheme="minorEastAsia" w:eastAsiaTheme="minorEastAsia"/>
                <w:color w:val="000000" w:themeColor="text1"/>
                <w:szCs w:val="21"/>
                <w14:textFill>
                  <w14:solidFill>
                    <w14:schemeClr w14:val="tx1"/>
                  </w14:solidFill>
                </w14:textFill>
              </w:rPr>
              <w:t>的倾斜式自动人行道和水平式自动人行道，该项目应划为无此项</w:t>
            </w:r>
            <w:r>
              <w:rPr>
                <w:rFonts w:hint="eastAsia" w:hAnsiTheme="minorEastAsia" w:eastAsiaTheme="minorEastAsia"/>
                <w:color w:val="000000" w:themeColor="text1"/>
                <w:szCs w:val="21"/>
                <w14:textFill>
                  <w14:solidFill>
                    <w14:schemeClr w14:val="tx1"/>
                  </w14:solidFill>
                </w14:textFill>
              </w:rPr>
              <w:t>。</w:t>
            </w:r>
          </w:p>
        </w:tc>
      </w:tr>
      <w:tr w14:paraId="162815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68" w:hRule="atLeast"/>
          <w:jc w:val="center"/>
        </w:trPr>
        <w:tc>
          <w:tcPr>
            <w:tcW w:w="1384" w:type="dxa"/>
            <w:vAlign w:val="center"/>
          </w:tcPr>
          <w:p w14:paraId="67EAEE5B">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*A2.2.4.5</w:t>
            </w:r>
          </w:p>
          <w:p w14:paraId="4034D430">
            <w:pPr>
              <w:overflowPunct w:val="0"/>
              <w:autoSpaceDE w:val="0"/>
              <w:autoSpaceDN w:val="0"/>
              <w:adjustRightInd w:val="0"/>
              <w:snapToGrid w:val="0"/>
              <w:spacing w:line="280" w:lineRule="exact"/>
              <w:jc w:val="center"/>
              <w:rPr>
                <w:rFonts w:hint="eastAsia"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驱动元件</w:t>
            </w:r>
          </w:p>
          <w:p w14:paraId="4F1D00B8">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保护</w:t>
            </w:r>
          </w:p>
        </w:tc>
        <w:tc>
          <w:tcPr>
            <w:tcW w:w="3402" w:type="dxa"/>
            <w:vAlign w:val="center"/>
          </w:tcPr>
          <w:p w14:paraId="00C0A149">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检查直接驱动梯级、踏板或者胶带的元件断裂或者过分伸长时，受检设备是否能够自动停止运行；故障锁定功能是否保持有效</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236DA760">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模拟驱动元件断裂或者过分伸长的状况，检查动作装置能否使安全装置动作，并且使设备停止运行；根据故障锁定原理，检查故障锁定功能是否有效</w:t>
            </w:r>
          </w:p>
          <w:p w14:paraId="0F61A215">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b/>
                <w:bCs/>
                <w:color w:val="000000" w:themeColor="text1"/>
                <w:szCs w:val="21"/>
                <w14:textFill>
                  <w14:solidFill>
                    <w14:schemeClr w14:val="tx1"/>
                  </w14:solidFill>
                </w14:textFill>
              </w:rPr>
              <w:t>注：</w:t>
            </w:r>
            <w:r>
              <w:rPr>
                <w:rFonts w:hAnsiTheme="minorEastAsia" w:eastAsiaTheme="minorEastAsia"/>
                <w:color w:val="000000" w:themeColor="text1"/>
                <w:szCs w:val="21"/>
                <w14:textFill>
                  <w14:solidFill>
                    <w14:schemeClr w14:val="tx1"/>
                  </w14:solidFill>
                </w14:textFill>
              </w:rPr>
              <w:t>此保护装置非指驱动主机与驱动站链轮之间驱动元件链条断裂或者过分伸长的保护，检规和标准对驱动主机与驱动站链轮之间驱动链条没有要求；</w:t>
            </w:r>
          </w:p>
          <w:p w14:paraId="2448EBA1">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检验时除了检查安全开关是否有效之外，还应检查安全开关与打板的相对位置及固定情况，确认在打板正常行程范围内能触发安全开关动作</w:t>
            </w:r>
            <w:r>
              <w:rPr>
                <w:rFonts w:hint="eastAsia" w:hAnsiTheme="minorEastAsia" w:eastAsiaTheme="minorEastAsia"/>
                <w:color w:val="000000" w:themeColor="text1"/>
                <w:szCs w:val="21"/>
                <w14:textFill>
                  <w14:solidFill>
                    <w14:schemeClr w14:val="tx1"/>
                  </w14:solidFill>
                </w14:textFill>
              </w:rPr>
              <w:t>。</w:t>
            </w:r>
          </w:p>
        </w:tc>
      </w:tr>
      <w:tr w14:paraId="7D123F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25" w:hRule="atLeast"/>
          <w:jc w:val="center"/>
        </w:trPr>
        <w:tc>
          <w:tcPr>
            <w:tcW w:w="1384" w:type="dxa"/>
            <w:vAlign w:val="center"/>
          </w:tcPr>
          <w:p w14:paraId="7E4695F8">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*A2.2.4.6</w:t>
            </w:r>
          </w:p>
          <w:p w14:paraId="50F52D09">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距离缩</w:t>
            </w:r>
          </w:p>
          <w:p w14:paraId="012F6B42">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短保护</w:t>
            </w:r>
          </w:p>
        </w:tc>
        <w:tc>
          <w:tcPr>
            <w:tcW w:w="3402" w:type="dxa"/>
            <w:vAlign w:val="center"/>
          </w:tcPr>
          <w:p w14:paraId="3BE72243">
            <w:pPr>
              <w:pStyle w:val="5"/>
              <w:overflowPunct w:val="0"/>
              <w:autoSpaceDE w:val="0"/>
              <w:autoSpaceDN w:val="0"/>
              <w:adjustRightInd w:val="0"/>
              <w:snapToGrid w:val="0"/>
              <w:spacing w:after="0" w:line="280" w:lineRule="exact"/>
              <w:ind w:left="0" w:leftChars="0"/>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检查驱动装置与转向装置之间的距离发生过分伸长或者缩短时，受检设备是否能够自动停止运行</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424D848D">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模拟驱动装置与转向装置之间的距离伸长或者缩短的状况，检查动作装置能否使安全装置动作，并且使设备停止运行</w:t>
            </w:r>
            <w:r>
              <w:rPr>
                <w:rFonts w:hint="eastAsia" w:hAnsiTheme="minorEastAsia" w:eastAsiaTheme="minorEastAsia"/>
                <w:color w:val="000000" w:themeColor="text1"/>
                <w:szCs w:val="21"/>
                <w14:textFill>
                  <w14:solidFill>
                    <w14:schemeClr w14:val="tx1"/>
                  </w14:solidFill>
                </w14:textFill>
              </w:rPr>
              <w:t>。</w:t>
            </w:r>
          </w:p>
        </w:tc>
      </w:tr>
      <w:tr w14:paraId="149560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7" w:hRule="atLeast"/>
          <w:jc w:val="center"/>
        </w:trPr>
        <w:tc>
          <w:tcPr>
            <w:tcW w:w="1384" w:type="dxa"/>
            <w:vMerge w:val="restart"/>
            <w:vAlign w:val="center"/>
          </w:tcPr>
          <w:p w14:paraId="7674596D">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*A2.3.1</w:t>
            </w:r>
          </w:p>
          <w:p w14:paraId="488BB48D">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运行试验</w:t>
            </w:r>
          </w:p>
        </w:tc>
        <w:tc>
          <w:tcPr>
            <w:tcW w:w="3402" w:type="dxa"/>
            <w:vAlign w:val="center"/>
          </w:tcPr>
          <w:p w14:paraId="7E890483">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）对于由使用者的进入而自动启动或者加速的受检设备，观察在使用者到达梳齿与踏面相交线之前，受检设备是否已经启动和加速，其运行方向标识是否正确并且清晰可见</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0D311D9A">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模拟使用者进入，在到达梳齿与踏面相交线前设备是否按照要求启动或加速。</w:t>
            </w:r>
          </w:p>
          <w:p w14:paraId="5E5F86FD">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7433BD72">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对于没有采用自动启动或自动加速的自动扶梯或自动人行道，该项目为无此项。</w:t>
            </w:r>
          </w:p>
          <w:p w14:paraId="59124AFA">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对于后期加装待机运行功能的设备，应重点关注启动和加速是否满足标准的要求</w:t>
            </w:r>
            <w:r>
              <w:rPr>
                <w:rFonts w:hint="eastAsia" w:hAnsiTheme="minorEastAsia" w:eastAsiaTheme="minorEastAsia"/>
                <w:color w:val="000000" w:themeColor="text1"/>
                <w:szCs w:val="21"/>
                <w14:textFill>
                  <w14:solidFill>
                    <w14:schemeClr w14:val="tx1"/>
                  </w14:solidFill>
                </w14:textFill>
              </w:rPr>
              <w:t>。</w:t>
            </w:r>
          </w:p>
        </w:tc>
      </w:tr>
      <w:tr w14:paraId="46FF28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33" w:hRule="atLeast"/>
          <w:jc w:val="center"/>
        </w:trPr>
        <w:tc>
          <w:tcPr>
            <w:tcW w:w="1384" w:type="dxa"/>
            <w:vMerge w:val="continue"/>
            <w:vAlign w:val="center"/>
          </w:tcPr>
          <w:p w14:paraId="0EA6E11C">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1C981837">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）对于由使用者的进入而自动启动的受检设备，观察、测量当使用者从预定运行方向进入时，是否经过足够的时间（至少为预期输送时间再加上</w:t>
            </w:r>
            <w:r>
              <w:rPr>
                <w:rFonts w:eastAsiaTheme="minorEastAsia"/>
                <w:color w:val="000000" w:themeColor="text1"/>
                <w:szCs w:val="21"/>
                <w14:textFill>
                  <w14:solidFill>
                    <w14:schemeClr w14:val="tx1"/>
                  </w14:solidFill>
                </w14:textFill>
              </w:rPr>
              <w:t>10s</w:t>
            </w:r>
            <w:r>
              <w:rPr>
                <w:rFonts w:hAnsiTheme="minorEastAsia" w:eastAsiaTheme="minorEastAsia"/>
                <w:color w:val="000000" w:themeColor="text1"/>
                <w:szCs w:val="21"/>
                <w14:textFill>
                  <w14:solidFill>
                    <w14:schemeClr w14:val="tx1"/>
                  </w14:solidFill>
                </w14:textFill>
              </w:rPr>
              <w:t>）才能自动停止运行；当使用者从预定运行方向相反的方向进入时，是否仍按照预先确定的方向启动，运行时间不少于</w:t>
            </w:r>
            <w:r>
              <w:rPr>
                <w:rFonts w:eastAsiaTheme="minorEastAsia"/>
                <w:color w:val="000000" w:themeColor="text1"/>
                <w:szCs w:val="21"/>
                <w14:textFill>
                  <w14:solidFill>
                    <w14:schemeClr w14:val="tx1"/>
                  </w14:solidFill>
                </w14:textFill>
              </w:rPr>
              <w:t>10s</w:t>
            </w:r>
            <w:r>
              <w:rPr>
                <w:rFonts w:hint="eastAsia" w:eastAsiaTheme="minorEastAsia"/>
                <w:color w:val="000000" w:themeColor="text1"/>
                <w:szCs w:val="21"/>
                <w14:textFill>
                  <w14:solidFill>
                    <w14:schemeClr w14:val="tx1"/>
                  </w14:solidFill>
                </w14:textFill>
              </w:rPr>
              <w:t>。</w:t>
            </w:r>
          </w:p>
        </w:tc>
        <w:tc>
          <w:tcPr>
            <w:tcW w:w="4274" w:type="dxa"/>
            <w:vAlign w:val="center"/>
          </w:tcPr>
          <w:p w14:paraId="75B74B5E">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）模拟乘客按预定方向走出梯路后，秒表开始计时，至少</w:t>
            </w:r>
            <w:r>
              <w:rPr>
                <w:rFonts w:eastAsiaTheme="minorEastAsia"/>
                <w:color w:val="000000" w:themeColor="text1"/>
                <w:szCs w:val="21"/>
                <w14:textFill>
                  <w14:solidFill>
                    <w14:schemeClr w14:val="tx1"/>
                  </w14:solidFill>
                </w14:textFill>
              </w:rPr>
              <w:t>10s</w:t>
            </w:r>
            <w:r>
              <w:rPr>
                <w:rFonts w:hAnsiTheme="minorEastAsia" w:eastAsiaTheme="minorEastAsia"/>
                <w:color w:val="000000" w:themeColor="text1"/>
                <w:szCs w:val="21"/>
                <w14:textFill>
                  <w14:solidFill>
                    <w14:schemeClr w14:val="tx1"/>
                  </w14:solidFill>
                </w14:textFill>
              </w:rPr>
              <w:t>后设备停止运行。</w:t>
            </w:r>
          </w:p>
          <w:p w14:paraId="0956BA4B">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）模拟给出非预定方向的信号，按预定方向运行至少</w:t>
            </w:r>
            <w:r>
              <w:rPr>
                <w:rFonts w:eastAsiaTheme="minorEastAsia"/>
                <w:color w:val="000000" w:themeColor="text1"/>
                <w:szCs w:val="21"/>
                <w14:textFill>
                  <w14:solidFill>
                    <w14:schemeClr w14:val="tx1"/>
                  </w14:solidFill>
                </w14:textFill>
              </w:rPr>
              <w:t>10s</w:t>
            </w:r>
            <w:r>
              <w:rPr>
                <w:rFonts w:hAnsiTheme="minorEastAsia" w:eastAsiaTheme="minorEastAsia"/>
                <w:color w:val="000000" w:themeColor="text1"/>
                <w:szCs w:val="21"/>
                <w14:textFill>
                  <w14:solidFill>
                    <w14:schemeClr w14:val="tx1"/>
                  </w14:solidFill>
                </w14:textFill>
              </w:rPr>
              <w:t>（可以为名义速度，也可以低于名义速度）。</w:t>
            </w:r>
          </w:p>
          <w:p w14:paraId="4E3DE029">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0A568656">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当自动扶梯或自动人行道不能自动启动时，该项目为无此项</w:t>
            </w:r>
            <w:r>
              <w:rPr>
                <w:rFonts w:hint="eastAsia" w:hAnsiTheme="minorEastAsia" w:eastAsiaTheme="minorEastAsia"/>
                <w:color w:val="000000" w:themeColor="text1"/>
                <w:szCs w:val="21"/>
                <w14:textFill>
                  <w14:solidFill>
                    <w14:schemeClr w14:val="tx1"/>
                  </w14:solidFill>
                </w14:textFill>
              </w:rPr>
              <w:t>。</w:t>
            </w:r>
          </w:p>
        </w:tc>
      </w:tr>
      <w:tr w14:paraId="4AC4FA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Merge w:val="continue"/>
            <w:vAlign w:val="center"/>
          </w:tcPr>
          <w:p w14:paraId="53791D69">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2A8C0246">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）受检设备空载，以正常速度进行两个方向的连续运行，观察其是否运行平稳，无异常碰擦、干涉、松动、抖动和声响</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000F6EB9">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将空载自动扶梯或者自动人行道置于向上正常运行状态，观察梯级（踏板）与围裙板、梳齿板有无</w:t>
            </w:r>
            <w:r>
              <w:rPr>
                <w:rFonts w:hint="eastAsia" w:hAnsiTheme="minorEastAsia" w:eastAsiaTheme="minorEastAsia"/>
                <w:color w:val="000000" w:themeColor="text1"/>
                <w:szCs w:val="21"/>
                <w14:textFill>
                  <w14:solidFill>
                    <w14:schemeClr w14:val="tx1"/>
                  </w14:solidFill>
                </w14:textFill>
              </w:rPr>
              <w:t>剐蹭</w:t>
            </w:r>
            <w:r>
              <w:rPr>
                <w:rFonts w:hAnsiTheme="minorEastAsia" w:eastAsiaTheme="minorEastAsia"/>
                <w:color w:val="000000" w:themeColor="text1"/>
                <w:szCs w:val="21"/>
                <w14:textFill>
                  <w14:solidFill>
                    <w14:schemeClr w14:val="tx1"/>
                  </w14:solidFill>
                </w14:textFill>
              </w:rPr>
              <w:t>、是否有异常声响、抖动等异常状态。</w:t>
            </w:r>
          </w:p>
          <w:p w14:paraId="199FC891">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173ADCF0">
            <w:pPr>
              <w:numPr>
                <w:ilvl w:val="0"/>
                <w:numId w:val="2"/>
              </w:numPr>
              <w:overflowPunct w:val="0"/>
              <w:autoSpaceDE w:val="0"/>
              <w:autoSpaceDN w:val="0"/>
              <w:adjustRightInd w:val="0"/>
              <w:snapToGrid w:val="0"/>
              <w:spacing w:line="280" w:lineRule="exact"/>
              <w:textAlignment w:val="baseline"/>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两个方向且至少全梯路循环各一次；</w:t>
            </w:r>
          </w:p>
          <w:p w14:paraId="3B698459">
            <w:pPr>
              <w:numPr>
                <w:ilvl w:val="0"/>
                <w:numId w:val="2"/>
              </w:numPr>
              <w:overflowPunct w:val="0"/>
              <w:autoSpaceDE w:val="0"/>
              <w:autoSpaceDN w:val="0"/>
              <w:adjustRightInd w:val="0"/>
              <w:snapToGrid w:val="0"/>
              <w:spacing w:line="280" w:lineRule="exact"/>
              <w:textAlignment w:val="baseline"/>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两侧梯级链条长度不一样（异常摩擦、运行不平稳）、梯级安装位置不合适（碰擦）、未紧固（松动）、轨道夹入异物（抖动）</w:t>
            </w:r>
            <w:r>
              <w:rPr>
                <w:rFonts w:hint="eastAsia" w:hAnsiTheme="minorEastAsia" w:eastAsiaTheme="minorEastAsia"/>
                <w:color w:val="000000" w:themeColor="text1"/>
                <w:szCs w:val="21"/>
                <w14:textFill>
                  <w14:solidFill>
                    <w14:schemeClr w14:val="tx1"/>
                  </w14:solidFill>
                </w14:textFill>
              </w:rPr>
              <w:t>。</w:t>
            </w:r>
          </w:p>
        </w:tc>
      </w:tr>
      <w:tr w14:paraId="6A6E2C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Align w:val="center"/>
          </w:tcPr>
          <w:p w14:paraId="6A1D8A7B">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*A2.3.2</w:t>
            </w:r>
          </w:p>
          <w:p w14:paraId="4BD47C4B">
            <w:pPr>
              <w:overflowPunct w:val="0"/>
              <w:autoSpaceDE w:val="0"/>
              <w:autoSpaceDN w:val="0"/>
              <w:adjustRightInd w:val="0"/>
              <w:snapToGrid w:val="0"/>
              <w:spacing w:line="28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扶手带运行</w:t>
            </w:r>
          </w:p>
          <w:p w14:paraId="4C44B033">
            <w:pPr>
              <w:overflowPunct w:val="0"/>
              <w:autoSpaceDE w:val="0"/>
              <w:autoSpaceDN w:val="0"/>
              <w:adjustRightInd w:val="0"/>
              <w:snapToGrid w:val="0"/>
              <w:spacing w:line="280" w:lineRule="exact"/>
              <w:jc w:val="center"/>
              <w:rPr>
                <w:rFonts w:hint="eastAsia"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速度偏差</w:t>
            </w:r>
          </w:p>
          <w:p w14:paraId="5EB34BA0">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试验</w:t>
            </w:r>
          </w:p>
        </w:tc>
        <w:tc>
          <w:tcPr>
            <w:tcW w:w="3402" w:type="dxa"/>
            <w:vAlign w:val="center"/>
          </w:tcPr>
          <w:p w14:paraId="49D1CC2D">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受检设备空载，分别测量、计算两个方向的扶手带运行速度相对于梯级、踏板或者胶带实际速度的偏差，判断其是否在</w:t>
            </w:r>
            <w:r>
              <w:rPr>
                <w:rFonts w:eastAsiaTheme="minorEastAsia"/>
                <w:color w:val="000000" w:themeColor="text1"/>
                <w:szCs w:val="21"/>
                <w14:textFill>
                  <w14:solidFill>
                    <w14:schemeClr w14:val="tx1"/>
                  </w14:solidFill>
                </w14:textFill>
              </w:rPr>
              <w:t>0%</w:t>
            </w: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范围内</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536767D4">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受检设备空载，用同步率测试仪、转速表等仪器分别测量左右扶手带和梯级、踏板或胶带速度，左右扶手上下行各测一次，偏差取较大值</w:t>
            </w:r>
            <w:r>
              <w:rPr>
                <w:rFonts w:hint="eastAsia" w:hAnsiTheme="minorEastAsia" w:eastAsiaTheme="minorEastAsia"/>
                <w:color w:val="000000" w:themeColor="text1"/>
                <w:szCs w:val="21"/>
                <w14:textFill>
                  <w14:solidFill>
                    <w14:schemeClr w14:val="tx1"/>
                  </w14:solidFill>
                </w14:textFill>
              </w:rPr>
              <w:t>。</w:t>
            </w:r>
          </w:p>
        </w:tc>
      </w:tr>
      <w:tr w14:paraId="6DC64D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84" w:type="dxa"/>
            <w:vAlign w:val="center"/>
          </w:tcPr>
          <w:p w14:paraId="50BD00EB">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*A2.3.3</w:t>
            </w:r>
          </w:p>
          <w:p w14:paraId="663C36CF">
            <w:pPr>
              <w:overflowPunct w:val="0"/>
              <w:autoSpaceDE w:val="0"/>
              <w:autoSpaceDN w:val="0"/>
              <w:adjustRightInd w:val="0"/>
              <w:snapToGrid w:val="0"/>
              <w:spacing w:line="280" w:lineRule="exact"/>
              <w:jc w:val="center"/>
              <w:rPr>
                <w:rFonts w:hint="eastAsia"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制停距离</w:t>
            </w:r>
          </w:p>
          <w:p w14:paraId="6175F832">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试验</w:t>
            </w:r>
          </w:p>
        </w:tc>
        <w:tc>
          <w:tcPr>
            <w:tcW w:w="3402" w:type="dxa"/>
            <w:vAlign w:val="center"/>
          </w:tcPr>
          <w:p w14:paraId="40238CEF">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进行制停距离试验时，制停距离从用于制停的电气装置被触发时开始测量。自动扶梯监督检验时，将总制动载荷分布在上部</w:t>
            </w:r>
            <w:r>
              <w:rPr>
                <w:rFonts w:eastAsiaTheme="minorEastAsia"/>
                <w:color w:val="000000" w:themeColor="text1"/>
                <w:szCs w:val="21"/>
                <w14:textFill>
                  <w14:solidFill>
                    <w14:schemeClr w14:val="tx1"/>
                  </w14:solidFill>
                </w14:textFill>
              </w:rPr>
              <w:t>2/3</w:t>
            </w:r>
            <w:r>
              <w:rPr>
                <w:rFonts w:hAnsiTheme="minorEastAsia" w:eastAsiaTheme="minorEastAsia"/>
                <w:color w:val="000000" w:themeColor="text1"/>
                <w:szCs w:val="21"/>
                <w14:textFill>
                  <w14:solidFill>
                    <w14:schemeClr w14:val="tx1"/>
                  </w14:solidFill>
                </w14:textFill>
              </w:rPr>
              <w:t>的可见梯级上进行下行制停距离试验；自动人行道监督检验以及受检设备定期检验时，进行两个方向的空载制停距离试验。</w:t>
            </w:r>
          </w:p>
          <w:p w14:paraId="5F42D211">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测量受检设备的制停距离是否符合本附件表</w:t>
            </w:r>
            <w:r>
              <w:rPr>
                <w:rFonts w:eastAsiaTheme="minorEastAsia"/>
                <w:color w:val="000000" w:themeColor="text1"/>
                <w:szCs w:val="21"/>
                <w14:textFill>
                  <w14:solidFill>
                    <w14:schemeClr w14:val="tx1"/>
                  </w14:solidFill>
                </w14:textFill>
              </w:rPr>
              <w:t>A2-1</w:t>
            </w:r>
            <w:r>
              <w:rPr>
                <w:rFonts w:hAnsiTheme="minorEastAsia" w:eastAsiaTheme="minorEastAsia"/>
                <w:color w:val="000000" w:themeColor="text1"/>
                <w:szCs w:val="21"/>
                <w14:textFill>
                  <w14:solidFill>
                    <w14:schemeClr w14:val="tx1"/>
                  </w14:solidFill>
                </w14:textFill>
              </w:rPr>
              <w:t>、表</w:t>
            </w:r>
            <w:r>
              <w:rPr>
                <w:rFonts w:eastAsiaTheme="minorEastAsia"/>
                <w:color w:val="000000" w:themeColor="text1"/>
                <w:szCs w:val="21"/>
                <w14:textFill>
                  <w14:solidFill>
                    <w14:schemeClr w14:val="tx1"/>
                  </w14:solidFill>
                </w14:textFill>
              </w:rPr>
              <w:t>A2-2</w:t>
            </w:r>
            <w:r>
              <w:rPr>
                <w:rFonts w:hAnsiTheme="minorEastAsia" w:eastAsiaTheme="minorEastAsia"/>
                <w:color w:val="000000" w:themeColor="text1"/>
                <w:szCs w:val="21"/>
                <w14:textFill>
                  <w14:solidFill>
                    <w14:schemeClr w14:val="tx1"/>
                  </w14:solidFill>
                </w14:textFill>
              </w:rPr>
              <w:t>要求</w:t>
            </w:r>
            <w:r>
              <w:rPr>
                <w:rFonts w:hint="eastAsia" w:hAnsiTheme="minorEastAsia" w:eastAsiaTheme="minorEastAsia"/>
                <w:color w:val="000000" w:themeColor="text1"/>
                <w:szCs w:val="21"/>
                <w14:textFill>
                  <w14:solidFill>
                    <w14:schemeClr w14:val="tx1"/>
                  </w14:solidFill>
                </w14:textFill>
              </w:rPr>
              <w:t>。</w:t>
            </w:r>
          </w:p>
          <w:p w14:paraId="22F80FE0">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表</w:t>
            </w:r>
            <w:r>
              <w:rPr>
                <w:rFonts w:eastAsiaTheme="minorEastAsia"/>
                <w:color w:val="000000" w:themeColor="text1"/>
                <w:szCs w:val="21"/>
                <w14:textFill>
                  <w14:solidFill>
                    <w14:schemeClr w14:val="tx1"/>
                  </w14:solidFill>
                </w14:textFill>
              </w:rPr>
              <w:t>A2-1</w:t>
            </w:r>
            <w:r>
              <w:rPr>
                <w:rFonts w:hAnsiTheme="minorEastAsia" w:eastAsiaTheme="minorEastAsia"/>
                <w:color w:val="000000" w:themeColor="text1"/>
                <w:szCs w:val="21"/>
                <w14:textFill>
                  <w14:solidFill>
                    <w14:schemeClr w14:val="tx1"/>
                  </w14:solidFill>
                </w14:textFill>
              </w:rPr>
              <w:t>自动扶梯制停距离</w:t>
            </w:r>
          </w:p>
          <w:tbl>
            <w:tblPr>
              <w:tblStyle w:val="12"/>
              <w:tblW w:w="3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510"/>
            </w:tblGrid>
            <w:tr w14:paraId="37D4A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09" w:type="dxa"/>
                </w:tcPr>
                <w:p w14:paraId="79A428F7">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名义速度</w:t>
                  </w:r>
                </w:p>
              </w:tc>
              <w:tc>
                <w:tcPr>
                  <w:tcW w:w="1510" w:type="dxa"/>
                </w:tcPr>
                <w:p w14:paraId="22FFF0D7">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制停距离范围</w:t>
                  </w:r>
                </w:p>
              </w:tc>
            </w:tr>
            <w:tr w14:paraId="117E8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09" w:type="dxa"/>
                </w:tcPr>
                <w:p w14:paraId="244C1DF8">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0.50m/s</w:t>
                  </w:r>
                </w:p>
              </w:tc>
              <w:tc>
                <w:tcPr>
                  <w:tcW w:w="1510" w:type="dxa"/>
                </w:tcPr>
                <w:p w14:paraId="5E030EED">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0.20m</w:t>
                  </w:r>
                  <w:r>
                    <w:rPr>
                      <w:rFonts w:hint="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1.00m</w:t>
                  </w:r>
                </w:p>
              </w:tc>
            </w:tr>
            <w:tr w14:paraId="158AB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09" w:type="dxa"/>
                </w:tcPr>
                <w:p w14:paraId="07E8DB9F">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0.65m/s</w:t>
                  </w:r>
                </w:p>
              </w:tc>
              <w:tc>
                <w:tcPr>
                  <w:tcW w:w="1510" w:type="dxa"/>
                </w:tcPr>
                <w:p w14:paraId="246DDEE9">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0.30m</w:t>
                  </w:r>
                  <w:r>
                    <w:rPr>
                      <w:rFonts w:hint="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1.30m</w:t>
                  </w:r>
                </w:p>
              </w:tc>
            </w:tr>
            <w:tr w14:paraId="37A6F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09" w:type="dxa"/>
                </w:tcPr>
                <w:p w14:paraId="4AA6A6FD">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0.75m/s</w:t>
                  </w:r>
                </w:p>
              </w:tc>
              <w:tc>
                <w:tcPr>
                  <w:tcW w:w="1510" w:type="dxa"/>
                </w:tcPr>
                <w:p w14:paraId="12E778F6">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0.40m</w:t>
                  </w:r>
                  <w:r>
                    <w:rPr>
                      <w:rFonts w:hint="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1.50m</w:t>
                  </w:r>
                </w:p>
              </w:tc>
            </w:tr>
          </w:tbl>
          <w:p w14:paraId="2ED0DE1B">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表</w:t>
            </w:r>
            <w:r>
              <w:rPr>
                <w:rFonts w:eastAsiaTheme="minorEastAsia"/>
                <w:color w:val="000000" w:themeColor="text1"/>
                <w:szCs w:val="21"/>
                <w14:textFill>
                  <w14:solidFill>
                    <w14:schemeClr w14:val="tx1"/>
                  </w14:solidFill>
                </w14:textFill>
              </w:rPr>
              <w:t>A2-2</w:t>
            </w:r>
            <w:r>
              <w:rPr>
                <w:rFonts w:hAnsiTheme="minorEastAsia" w:eastAsiaTheme="minorEastAsia"/>
                <w:color w:val="000000" w:themeColor="text1"/>
                <w:szCs w:val="21"/>
                <w14:textFill>
                  <w14:solidFill>
                    <w14:schemeClr w14:val="tx1"/>
                  </w14:solidFill>
                </w14:textFill>
              </w:rPr>
              <w:t>自动人行道制停距离</w:t>
            </w:r>
          </w:p>
          <w:tbl>
            <w:tblPr>
              <w:tblStyle w:val="12"/>
              <w:tblW w:w="3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510"/>
            </w:tblGrid>
            <w:tr w14:paraId="010F9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9" w:type="dxa"/>
                </w:tcPr>
                <w:p w14:paraId="156F4D7D">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名义速度</w:t>
                  </w:r>
                </w:p>
              </w:tc>
              <w:tc>
                <w:tcPr>
                  <w:tcW w:w="1510" w:type="dxa"/>
                </w:tcPr>
                <w:p w14:paraId="115EB7B3">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制停距离范围</w:t>
                  </w:r>
                </w:p>
              </w:tc>
            </w:tr>
            <w:tr w14:paraId="3FBDD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9" w:type="dxa"/>
                </w:tcPr>
                <w:p w14:paraId="3C44260B">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0.50m/s</w:t>
                  </w:r>
                </w:p>
              </w:tc>
              <w:tc>
                <w:tcPr>
                  <w:tcW w:w="1510" w:type="dxa"/>
                </w:tcPr>
                <w:p w14:paraId="0F63A345">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0.20m</w:t>
                  </w:r>
                  <w:r>
                    <w:rPr>
                      <w:rFonts w:hint="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1.00m</w:t>
                  </w:r>
                </w:p>
              </w:tc>
            </w:tr>
            <w:tr w14:paraId="51B6B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9" w:type="dxa"/>
                </w:tcPr>
                <w:p w14:paraId="3ADFD815">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0.65m/s</w:t>
                  </w:r>
                </w:p>
              </w:tc>
              <w:tc>
                <w:tcPr>
                  <w:tcW w:w="1510" w:type="dxa"/>
                </w:tcPr>
                <w:p w14:paraId="3CA7975E">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0.30m</w:t>
                  </w:r>
                  <w:r>
                    <w:rPr>
                      <w:rFonts w:hint="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1.30m</w:t>
                  </w:r>
                </w:p>
              </w:tc>
            </w:tr>
            <w:tr w14:paraId="597B5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509" w:type="dxa"/>
                </w:tcPr>
                <w:p w14:paraId="15C18BEA">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0.75m/s</w:t>
                  </w:r>
                </w:p>
              </w:tc>
              <w:tc>
                <w:tcPr>
                  <w:tcW w:w="1510" w:type="dxa"/>
                </w:tcPr>
                <w:p w14:paraId="2A3A815F">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0.40m</w:t>
                  </w:r>
                  <w:r>
                    <w:rPr>
                      <w:rFonts w:hint="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1.50m</w:t>
                  </w:r>
                </w:p>
              </w:tc>
            </w:tr>
            <w:tr w14:paraId="45DD0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509" w:type="dxa"/>
                </w:tcPr>
                <w:p w14:paraId="65895F7D">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0.90m/s</w:t>
                  </w:r>
                </w:p>
              </w:tc>
              <w:tc>
                <w:tcPr>
                  <w:tcW w:w="1510" w:type="dxa"/>
                </w:tcPr>
                <w:p w14:paraId="33E4FEE3">
                  <w:pPr>
                    <w:overflowPunct w:val="0"/>
                    <w:autoSpaceDE w:val="0"/>
                    <w:autoSpaceDN w:val="0"/>
                    <w:adjustRightInd w:val="0"/>
                    <w:snapToGrid w:val="0"/>
                    <w:spacing w:line="280" w:lineRule="exact"/>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0.55m</w:t>
                  </w:r>
                  <w:r>
                    <w:rPr>
                      <w:rFonts w:hint="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1.70m</w:t>
                  </w:r>
                </w:p>
              </w:tc>
            </w:tr>
          </w:tbl>
          <w:p w14:paraId="29597C88">
            <w:pPr>
              <w:tabs>
                <w:tab w:val="left" w:pos="1622"/>
              </w:tabs>
              <w:overflowPunct w:val="0"/>
              <w:autoSpaceDE w:val="0"/>
              <w:autoSpaceDN w:val="0"/>
              <w:adjustRightInd w:val="0"/>
              <w:snapToGrid w:val="0"/>
              <w:spacing w:line="280" w:lineRule="exact"/>
              <w:ind w:left="113"/>
              <w:jc w:val="lef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ab/>
            </w:r>
          </w:p>
          <w:p w14:paraId="0B667C0E">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p>
        </w:tc>
        <w:tc>
          <w:tcPr>
            <w:tcW w:w="4274" w:type="dxa"/>
            <w:vAlign w:val="center"/>
          </w:tcPr>
          <w:p w14:paraId="605636C9">
            <w:pPr>
              <w:numPr>
                <w:ilvl w:val="0"/>
                <w:numId w:val="3"/>
              </w:numPr>
              <w:overflowPunct w:val="0"/>
              <w:autoSpaceDE w:val="0"/>
              <w:autoSpaceDN w:val="0"/>
              <w:adjustRightInd w:val="0"/>
              <w:snapToGrid w:val="0"/>
              <w:spacing w:line="280" w:lineRule="exact"/>
              <w:textAlignment w:val="baseline"/>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制停距离应从用于制停的电气装置被触发时开始测量（设备正常速度运行，按紧急停止按钮）。</w:t>
            </w:r>
          </w:p>
          <w:p w14:paraId="4C76741A">
            <w:pPr>
              <w:numPr>
                <w:ilvl w:val="0"/>
                <w:numId w:val="3"/>
              </w:numPr>
              <w:overflowPunct w:val="0"/>
              <w:autoSpaceDE w:val="0"/>
              <w:autoSpaceDN w:val="0"/>
              <w:adjustRightInd w:val="0"/>
              <w:snapToGrid w:val="0"/>
              <w:spacing w:line="280" w:lineRule="exact"/>
              <w:textAlignment w:val="baseline"/>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测量方法：（</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）专用仪器测量或（</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）标记法测量</w:t>
            </w:r>
          </w:p>
          <w:p w14:paraId="4019E78E">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1383A05B">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自动扶梯监督检验时，进行有载向下制动试验并进行音像记录。</w:t>
            </w:r>
          </w:p>
          <w:p w14:paraId="63A6B042">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需要施加的载荷参照左表，为安全考虑，可集中把载荷放置在整个梯级的上</w:t>
            </w:r>
            <w:r>
              <w:rPr>
                <w:rFonts w:eastAsiaTheme="minorEastAsia"/>
                <w:color w:val="000000" w:themeColor="text1"/>
                <w:szCs w:val="21"/>
                <w14:textFill>
                  <w14:solidFill>
                    <w14:schemeClr w14:val="tx1"/>
                  </w14:solidFill>
                </w14:textFill>
              </w:rPr>
              <w:t>2/3</w:t>
            </w:r>
            <w:r>
              <w:rPr>
                <w:rFonts w:hAnsiTheme="minorEastAsia" w:eastAsiaTheme="minorEastAsia"/>
                <w:color w:val="000000" w:themeColor="text1"/>
                <w:szCs w:val="21"/>
                <w14:textFill>
                  <w14:solidFill>
                    <w14:schemeClr w14:val="tx1"/>
                  </w14:solidFill>
                </w14:textFill>
              </w:rPr>
              <w:t>区域内，还应当在空载制动试验符合要求的情况下进行有载制动试验。</w:t>
            </w:r>
          </w:p>
          <w:p w14:paraId="529304B2">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自动人行道监督检验时进行两个方向的空载制动试验并进行音像记录。</w:t>
            </w:r>
          </w:p>
          <w:p w14:paraId="1D6B0822">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定期检验时，只进行两个方向的空载制动试验</w:t>
            </w:r>
            <w:r>
              <w:rPr>
                <w:rFonts w:hint="eastAsia" w:hAnsiTheme="minorEastAsia" w:eastAsiaTheme="minorEastAsia"/>
                <w:color w:val="000000" w:themeColor="text1"/>
                <w:szCs w:val="21"/>
                <w14:textFill>
                  <w14:solidFill>
                    <w14:schemeClr w14:val="tx1"/>
                  </w14:solidFill>
                </w14:textFill>
              </w:rPr>
              <w:t>。</w:t>
            </w:r>
          </w:p>
        </w:tc>
      </w:tr>
      <w:tr w14:paraId="5893AE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78" w:hRule="atLeast"/>
          <w:jc w:val="center"/>
        </w:trPr>
        <w:tc>
          <w:tcPr>
            <w:tcW w:w="1384" w:type="dxa"/>
            <w:vMerge w:val="restart"/>
            <w:vAlign w:val="center"/>
          </w:tcPr>
          <w:p w14:paraId="3E463382">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*A2.3.4</w:t>
            </w:r>
          </w:p>
          <w:p w14:paraId="7DEAF914">
            <w:pPr>
              <w:overflowPunct w:val="0"/>
              <w:autoSpaceDE w:val="0"/>
              <w:autoSpaceDN w:val="0"/>
              <w:adjustRightInd w:val="0"/>
              <w:snapToGrid w:val="0"/>
              <w:spacing w:line="280" w:lineRule="exact"/>
              <w:jc w:val="center"/>
              <w:rPr>
                <w:rFonts w:hAnsiTheme="minorEastAsia"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附加制动器</w:t>
            </w:r>
          </w:p>
          <w:p w14:paraId="04EB2510">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r>
              <w:rPr>
                <w:rFonts w:hAnsiTheme="minorEastAsia" w:eastAsiaTheme="minorEastAsia"/>
                <w:bCs/>
                <w:color w:val="000000" w:themeColor="text1"/>
                <w:szCs w:val="21"/>
                <w14:textFill>
                  <w14:solidFill>
                    <w14:schemeClr w14:val="tx1"/>
                  </w14:solidFill>
                </w14:textFill>
              </w:rPr>
              <w:t>试验</w:t>
            </w:r>
          </w:p>
        </w:tc>
        <w:tc>
          <w:tcPr>
            <w:tcW w:w="3402" w:type="dxa"/>
            <w:vAlign w:val="center"/>
          </w:tcPr>
          <w:p w14:paraId="3B75F9FD">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）检查在附加制动器动作开始时是否能够强制切断控制电路</w:t>
            </w:r>
            <w:r>
              <w:rPr>
                <w:rFonts w:hint="eastAsia" w:hAnsiTheme="minorEastAsia" w:eastAsiaTheme="minorEastAsia"/>
                <w:color w:val="000000" w:themeColor="text1"/>
                <w:szCs w:val="21"/>
                <w14:textFill>
                  <w14:solidFill>
                    <w14:schemeClr w14:val="tx1"/>
                  </w14:solidFill>
                </w14:textFill>
              </w:rPr>
              <w:t>。</w:t>
            </w:r>
          </w:p>
        </w:tc>
        <w:tc>
          <w:tcPr>
            <w:tcW w:w="4274" w:type="dxa"/>
            <w:vMerge w:val="restart"/>
            <w:vAlign w:val="center"/>
          </w:tcPr>
          <w:p w14:paraId="1F389264">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）附加制动器有载试验应在制停距离试验合格的基础上才允许进行。</w:t>
            </w:r>
          </w:p>
          <w:p w14:paraId="06318215">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）只有自动扶梯监督检验时才做载荷试验（试验载荷：将总制动载荷均匀分布在受检设备上部</w:t>
            </w:r>
            <w:r>
              <w:rPr>
                <w:rFonts w:eastAsiaTheme="minorEastAsia"/>
                <w:color w:val="000000" w:themeColor="text1"/>
                <w:szCs w:val="21"/>
                <w14:textFill>
                  <w14:solidFill>
                    <w14:schemeClr w14:val="tx1"/>
                  </w14:solidFill>
                </w14:textFill>
              </w:rPr>
              <w:t>2/3</w:t>
            </w:r>
            <w:r>
              <w:rPr>
                <w:rFonts w:hAnsiTheme="minorEastAsia" w:eastAsiaTheme="minorEastAsia"/>
                <w:color w:val="000000" w:themeColor="text1"/>
                <w:szCs w:val="21"/>
                <w14:textFill>
                  <w14:solidFill>
                    <w14:schemeClr w14:val="tx1"/>
                  </w14:solidFill>
                </w14:textFill>
              </w:rPr>
              <w:t>的可见梯级上）；其余情况都仅做空载试验。</w:t>
            </w:r>
          </w:p>
          <w:p w14:paraId="25D7F500">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）有载情况下（仅针对自动扶梯）：</w:t>
            </w:r>
          </w:p>
          <w:p w14:paraId="23472864">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a</w:t>
            </w:r>
            <w:r>
              <w:rPr>
                <w:rFonts w:hAnsiTheme="minorEastAsia" w:eastAsiaTheme="minorEastAsia"/>
                <w:color w:val="000000" w:themeColor="text1"/>
                <w:szCs w:val="21"/>
                <w14:textFill>
                  <w14:solidFill>
                    <w14:schemeClr w14:val="tx1"/>
                  </w14:solidFill>
                </w14:textFill>
              </w:rPr>
              <w:t>）使自动扶梯处于得电状态（主电源送电），人为使附加制动器动作（按制造厂家方法），再人为使工作制动器打开，观察自动扶梯是否有溜车现象，如果有溜车现象应立即使工作制动器制动；</w:t>
            </w:r>
          </w:p>
          <w:p w14:paraId="27215201">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b</w:t>
            </w:r>
            <w:r>
              <w:rPr>
                <w:rFonts w:hAnsiTheme="minorEastAsia" w:eastAsiaTheme="minorEastAsia"/>
                <w:color w:val="000000" w:themeColor="text1"/>
                <w:szCs w:val="21"/>
                <w14:textFill>
                  <w14:solidFill>
                    <w14:schemeClr w14:val="tx1"/>
                  </w14:solidFill>
                </w14:textFill>
              </w:rPr>
              <w:t>）使自动扶梯处于得电状态（主电源送电），人为使工作制动器打开，梯级在载荷的作用下向下溜车时触发附加制动器（断电或按制造单位的方法），附加制动器应能制停受检设备；如果附加制动器不能制停受检设备或者不能减低受检设备的运行速度，应立即使工作制动器制动。</w:t>
            </w:r>
          </w:p>
          <w:p w14:paraId="3DCC64E7">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4</w:t>
            </w:r>
            <w:r>
              <w:rPr>
                <w:rFonts w:hAnsiTheme="minorEastAsia" w:eastAsiaTheme="minorEastAsia"/>
                <w:color w:val="000000" w:themeColor="text1"/>
                <w:szCs w:val="21"/>
                <w14:textFill>
                  <w14:solidFill>
                    <w14:schemeClr w14:val="tx1"/>
                  </w14:solidFill>
                </w14:textFill>
              </w:rPr>
              <w:t>）空载情况下：使自动扶梯或自动人行道检修运行，人为使工作制动器保持在打开状态，此时触发附加制动器（断电或按制造单位的方法），观察受检设备能否停止</w:t>
            </w:r>
            <w:r>
              <w:rPr>
                <w:rFonts w:hint="eastAsia" w:hAnsiTheme="minorEastAsia" w:eastAsiaTheme="minorEastAsia"/>
                <w:color w:val="000000" w:themeColor="text1"/>
                <w:szCs w:val="21"/>
                <w14:textFill>
                  <w14:solidFill>
                    <w14:schemeClr w14:val="tx1"/>
                  </w14:solidFill>
                </w14:textFill>
              </w:rPr>
              <w:t>。</w:t>
            </w:r>
          </w:p>
        </w:tc>
      </w:tr>
      <w:tr w14:paraId="62BD73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43" w:hRule="atLeast"/>
          <w:jc w:val="center"/>
        </w:trPr>
        <w:tc>
          <w:tcPr>
            <w:tcW w:w="1384" w:type="dxa"/>
            <w:vMerge w:val="continue"/>
            <w:vAlign w:val="center"/>
          </w:tcPr>
          <w:p w14:paraId="620A290C">
            <w:pPr>
              <w:overflowPunct w:val="0"/>
              <w:autoSpaceDE w:val="0"/>
              <w:autoSpaceDN w:val="0"/>
              <w:adjustRightInd w:val="0"/>
              <w:snapToGrid w:val="0"/>
              <w:spacing w:line="280" w:lineRule="exact"/>
              <w:jc w:val="center"/>
              <w:rPr>
                <w:rFonts w:eastAsiaTheme="minorEastAsia"/>
                <w:bCs/>
                <w:color w:val="000000" w:themeColor="text1"/>
                <w:szCs w:val="21"/>
                <w14:textFill>
                  <w14:solidFill>
                    <w14:schemeClr w14:val="tx1"/>
                  </w14:solidFill>
                </w14:textFill>
              </w:rPr>
            </w:pPr>
          </w:p>
        </w:tc>
        <w:tc>
          <w:tcPr>
            <w:tcW w:w="3402" w:type="dxa"/>
            <w:vAlign w:val="center"/>
          </w:tcPr>
          <w:p w14:paraId="72E9E3E7">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）自动扶梯监督检验时，将总制动载荷均匀分布在上部</w:t>
            </w:r>
            <w:r>
              <w:rPr>
                <w:rFonts w:eastAsiaTheme="minorEastAsia"/>
                <w:color w:val="000000" w:themeColor="text1"/>
                <w:szCs w:val="21"/>
                <w14:textFill>
                  <w14:solidFill>
                    <w14:schemeClr w14:val="tx1"/>
                  </w14:solidFill>
                </w14:textFill>
              </w:rPr>
              <w:t>2/3</w:t>
            </w:r>
            <w:r>
              <w:rPr>
                <w:rFonts w:hAnsiTheme="minorEastAsia" w:eastAsiaTheme="minorEastAsia"/>
                <w:color w:val="000000" w:themeColor="text1"/>
                <w:szCs w:val="21"/>
                <w14:textFill>
                  <w14:solidFill>
                    <w14:schemeClr w14:val="tx1"/>
                  </w14:solidFill>
                </w14:textFill>
              </w:rPr>
              <w:t>的可见梯级上进行试验；自动人行道监督检验以及受检设备定期检验时，进行空载试验。在工作制动器松开状态下，受检设备下行时触发附加制动器动作，观察附加制动器是否能够使受检设备可靠制停</w:t>
            </w:r>
            <w:r>
              <w:rPr>
                <w:rFonts w:hint="eastAsia" w:hAnsiTheme="minorEastAsia" w:eastAsiaTheme="minorEastAsia"/>
                <w:color w:val="000000" w:themeColor="text1"/>
                <w:szCs w:val="21"/>
                <w14:textFill>
                  <w14:solidFill>
                    <w14:schemeClr w14:val="tx1"/>
                  </w14:solidFill>
                </w14:textFill>
              </w:rPr>
              <w:t>。</w:t>
            </w:r>
          </w:p>
        </w:tc>
        <w:tc>
          <w:tcPr>
            <w:tcW w:w="4274" w:type="dxa"/>
            <w:vMerge w:val="continue"/>
            <w:vAlign w:val="center"/>
          </w:tcPr>
          <w:p w14:paraId="0EE28EEE">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p>
        </w:tc>
      </w:tr>
      <w:tr w14:paraId="538448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26" w:hRule="atLeast"/>
          <w:jc w:val="center"/>
        </w:trPr>
        <w:tc>
          <w:tcPr>
            <w:tcW w:w="1384" w:type="dxa"/>
            <w:vMerge w:val="continue"/>
            <w:vAlign w:val="center"/>
          </w:tcPr>
          <w:p w14:paraId="6DA3123A">
            <w:pPr>
              <w:overflowPunct w:val="0"/>
              <w:autoSpaceDE w:val="0"/>
              <w:autoSpaceDN w:val="0"/>
              <w:adjustRightInd w:val="0"/>
              <w:snapToGrid w:val="0"/>
              <w:spacing w:line="280" w:lineRule="exact"/>
              <w:rPr>
                <w:rFonts w:eastAsiaTheme="minorEastAsia"/>
                <w:bCs/>
                <w:color w:val="000000" w:themeColor="text1"/>
                <w:szCs w:val="21"/>
                <w14:textFill>
                  <w14:solidFill>
                    <w14:schemeClr w14:val="tx1"/>
                  </w14:solidFill>
                </w14:textFill>
              </w:rPr>
            </w:pPr>
          </w:p>
        </w:tc>
        <w:tc>
          <w:tcPr>
            <w:tcW w:w="3402" w:type="dxa"/>
            <w:vAlign w:val="center"/>
          </w:tcPr>
          <w:p w14:paraId="74C760AA">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）如果受检设备设有两个及以上驱动主机，并且采用工作制动器互为附加制动器时，检查每一制动器是否均符合本条第（</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）和第（</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）项的要求</w:t>
            </w:r>
            <w:r>
              <w:rPr>
                <w:rFonts w:hint="eastAsia" w:hAnsiTheme="minorEastAsia" w:eastAsiaTheme="minorEastAsia"/>
                <w:color w:val="000000" w:themeColor="text1"/>
                <w:szCs w:val="21"/>
                <w14:textFill>
                  <w14:solidFill>
                    <w14:schemeClr w14:val="tx1"/>
                  </w14:solidFill>
                </w14:textFill>
              </w:rPr>
              <w:t>。</w:t>
            </w:r>
          </w:p>
        </w:tc>
        <w:tc>
          <w:tcPr>
            <w:tcW w:w="4274" w:type="dxa"/>
            <w:vAlign w:val="center"/>
          </w:tcPr>
          <w:p w14:paraId="29812018">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）有载情况下，使自动扶梯处于得电状态（主电源送电），人为打开一台工作制动器，观察自动扶梯是否有溜车现象。随后用同样方法测试另外一台。</w:t>
            </w:r>
          </w:p>
          <w:p w14:paraId="54EA9B7E">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）空载情况下，使自动扶梯或自动人行道检修运行，人为使其中一台工作制动器保持在打开状态，此时断电，另一台工作制动器应能使受检设备停止。随后同样方法测试另外一台。</w:t>
            </w:r>
          </w:p>
          <w:p w14:paraId="16EF35F1">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hAnsiTheme="minorEastAsia" w:eastAsiaTheme="minorEastAsia"/>
                <w:color w:val="000000" w:themeColor="text1"/>
                <w:szCs w:val="21"/>
                <w14:textFill>
                  <w14:solidFill>
                    <w14:schemeClr w14:val="tx1"/>
                  </w14:solidFill>
                </w14:textFill>
              </w:rPr>
              <w:t>【检验提示】</w:t>
            </w:r>
          </w:p>
          <w:p w14:paraId="30BF29A6">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w:t>
            </w:r>
            <w:r>
              <w:rPr>
                <w:rFonts w:hAnsiTheme="minorEastAsia" w:eastAsiaTheme="minorEastAsia"/>
                <w:color w:val="000000" w:themeColor="text1"/>
                <w:szCs w:val="21"/>
                <w14:textFill>
                  <w14:solidFill>
                    <w14:schemeClr w14:val="tx1"/>
                  </w14:solidFill>
                </w14:textFill>
              </w:rPr>
              <w:t>工作制动器互为附加制动器应满足制停距离的要求。</w:t>
            </w:r>
          </w:p>
          <w:p w14:paraId="1334CF0A">
            <w:pPr>
              <w:overflowPunct w:val="0"/>
              <w:autoSpaceDE w:val="0"/>
              <w:autoSpaceDN w:val="0"/>
              <w:adjustRightInd w:val="0"/>
              <w:snapToGrid w:val="0"/>
              <w:spacing w:line="280" w:lineRule="exac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2.</w:t>
            </w:r>
            <w:r>
              <w:rPr>
                <w:rFonts w:hAnsiTheme="minorEastAsia" w:eastAsiaTheme="minorEastAsia"/>
                <w:color w:val="000000" w:themeColor="text1"/>
                <w:szCs w:val="21"/>
                <w14:textFill>
                  <w14:solidFill>
                    <w14:schemeClr w14:val="tx1"/>
                  </w14:solidFill>
                </w14:textFill>
              </w:rPr>
              <w:t>对于受检设备未采用两个及以上驱动主机的工作制动器互为附加制动器时，</w:t>
            </w:r>
            <w:r>
              <w:rPr>
                <w:rFonts w:eastAsiaTheme="minorEastAsia"/>
                <w:color w:val="000000" w:themeColor="text1"/>
                <w:szCs w:val="21"/>
                <w14:textFill>
                  <w14:solidFill>
                    <w14:schemeClr w14:val="tx1"/>
                  </w14:solidFill>
                </w14:textFill>
              </w:rPr>
              <w:t>A2.3.4</w:t>
            </w:r>
            <w:r>
              <w:rPr>
                <w:rFonts w:hAnsiTheme="minorEastAsia" w:eastAsiaTheme="minorEastAsia"/>
                <w:color w:val="000000" w:themeColor="text1"/>
                <w:szCs w:val="21"/>
                <w14:textFill>
                  <w14:solidFill>
                    <w14:schemeClr w14:val="tx1"/>
                  </w14:solidFill>
                </w14:textFill>
              </w:rPr>
              <w:t>（</w:t>
            </w:r>
            <w:r>
              <w:rPr>
                <w:rFonts w:eastAsiaTheme="minorEastAsia"/>
                <w:color w:val="000000" w:themeColor="text1"/>
                <w:szCs w:val="21"/>
                <w14:textFill>
                  <w14:solidFill>
                    <w14:schemeClr w14:val="tx1"/>
                  </w14:solidFill>
                </w14:textFill>
              </w:rPr>
              <w:t>3</w:t>
            </w:r>
            <w:r>
              <w:rPr>
                <w:rFonts w:hAnsiTheme="minorEastAsia" w:eastAsiaTheme="minorEastAsia"/>
                <w:color w:val="000000" w:themeColor="text1"/>
                <w:szCs w:val="21"/>
                <w14:textFill>
                  <w14:solidFill>
                    <w14:schemeClr w14:val="tx1"/>
                  </w14:solidFill>
                </w14:textFill>
              </w:rPr>
              <w:t>）为无此项</w:t>
            </w:r>
            <w:r>
              <w:rPr>
                <w:rFonts w:hint="eastAsia" w:hAnsiTheme="minorEastAsia" w:eastAsiaTheme="minorEastAsia"/>
                <w:color w:val="000000" w:themeColor="text1"/>
                <w:szCs w:val="21"/>
                <w14:textFill>
                  <w14:solidFill>
                    <w14:schemeClr w14:val="tx1"/>
                  </w14:solidFill>
                </w14:textFill>
              </w:rPr>
              <w:t>。</w:t>
            </w:r>
          </w:p>
        </w:tc>
      </w:tr>
    </w:tbl>
    <w:p w14:paraId="18646344">
      <w:pPr>
        <w:overflowPunct w:val="0"/>
        <w:autoSpaceDE w:val="0"/>
        <w:autoSpaceDN w:val="0"/>
        <w:adjustRightInd w:val="0"/>
        <w:snapToGrid w:val="0"/>
        <w:spacing w:line="400" w:lineRule="exact"/>
        <w:rPr>
          <w:rFonts w:hAnsiTheme="minorEastAsia" w:eastAsiaTheme="minorEastAsia"/>
          <w:snapToGrid w:val="0"/>
          <w:color w:val="000000"/>
          <w:kern w:val="0"/>
          <w:szCs w:val="21"/>
        </w:rPr>
      </w:pPr>
      <w:r>
        <w:rPr>
          <w:rFonts w:hAnsiTheme="minorEastAsia" w:eastAsiaTheme="minorEastAsia"/>
          <w:snapToGrid w:val="0"/>
          <w:color w:val="000000"/>
          <w:kern w:val="0"/>
          <w:szCs w:val="21"/>
        </w:rPr>
        <w:t>注</w:t>
      </w:r>
      <w:r>
        <w:rPr>
          <w:rFonts w:hint="eastAsia" w:hAnsiTheme="minorEastAsia" w:eastAsiaTheme="minorEastAsia"/>
          <w:snapToGrid w:val="0"/>
          <w:color w:val="000000"/>
          <w:kern w:val="0"/>
          <w:szCs w:val="21"/>
        </w:rPr>
        <w:t>1</w:t>
      </w:r>
      <w:r>
        <w:rPr>
          <w:rFonts w:hAnsiTheme="minorEastAsia" w:eastAsiaTheme="minorEastAsia"/>
          <w:snapToGrid w:val="0"/>
          <w:color w:val="000000"/>
          <w:kern w:val="0"/>
          <w:szCs w:val="21"/>
        </w:rPr>
        <w:t>：</w:t>
      </w:r>
      <w:r>
        <w:rPr>
          <w:rFonts w:eastAsiaTheme="minorEastAsia"/>
          <w:snapToGrid w:val="0"/>
          <w:color w:val="000000"/>
          <w:kern w:val="0"/>
          <w:szCs w:val="21"/>
        </w:rPr>
        <w:t>*</w:t>
      </w:r>
      <w:r>
        <w:rPr>
          <w:rFonts w:hAnsiTheme="minorEastAsia" w:eastAsiaTheme="minorEastAsia"/>
          <w:snapToGrid w:val="0"/>
          <w:color w:val="000000"/>
          <w:kern w:val="0"/>
          <w:szCs w:val="21"/>
        </w:rPr>
        <w:t>项为</w:t>
      </w:r>
      <w:r>
        <w:rPr>
          <w:rFonts w:hint="eastAsia" w:hAnsiTheme="minorEastAsia" w:eastAsiaTheme="minorEastAsia"/>
          <w:snapToGrid w:val="0"/>
          <w:color w:val="000000"/>
          <w:kern w:val="0"/>
          <w:szCs w:val="21"/>
        </w:rPr>
        <w:t>关键</w:t>
      </w:r>
      <w:r>
        <w:rPr>
          <w:rFonts w:hAnsiTheme="minorEastAsia" w:eastAsiaTheme="minorEastAsia"/>
          <w:snapToGrid w:val="0"/>
          <w:color w:val="000000"/>
          <w:kern w:val="0"/>
          <w:szCs w:val="21"/>
        </w:rPr>
        <w:t>项</w:t>
      </w:r>
      <w:r>
        <w:rPr>
          <w:rFonts w:hint="eastAsia" w:hAnsiTheme="minorEastAsia" w:eastAsiaTheme="minorEastAsia"/>
          <w:snapToGrid w:val="0"/>
          <w:color w:val="000000"/>
          <w:kern w:val="0"/>
          <w:szCs w:val="21"/>
        </w:rPr>
        <w:t>，</w:t>
      </w:r>
      <w:r>
        <w:rPr>
          <w:rFonts w:hAnsiTheme="minorEastAsia" w:eastAsiaTheme="minorEastAsia"/>
          <w:snapToGrid w:val="0"/>
          <w:color w:val="000000"/>
          <w:kern w:val="0"/>
          <w:szCs w:val="21"/>
        </w:rPr>
        <w:t>其余项为一般项。</w:t>
      </w:r>
    </w:p>
    <w:p w14:paraId="6BA5E4F0">
      <w:pPr>
        <w:overflowPunct w:val="0"/>
        <w:autoSpaceDE w:val="0"/>
        <w:autoSpaceDN w:val="0"/>
        <w:adjustRightInd w:val="0"/>
        <w:snapToGrid w:val="0"/>
        <w:spacing w:line="400" w:lineRule="exac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注2：对于允许按照GB 16899-1997《自动扶梯和自动人行道的制造与安装安全规范》及更早期标准生产的受检设备，如果本附件A2.2.1.7条、A2.2.1.8条第(2)项、A2.2.2.8条第(2)项、A2.2.3.2条、A2.2.4.3条和本附件A2.2.4.2条、A2.2.4.4条、A2.2.4.5条中的故障锁定功能未按照《电梯监督检验和定期检验规则--自动扶梯与自动人行道》(TSG T7005-2012)进行过检验并且未按照本规则进行过监督检验，定期检验时可以不检验。</w:t>
      </w:r>
    </w:p>
    <w:p w14:paraId="5DB07687">
      <w:pPr>
        <w:overflowPunct w:val="0"/>
        <w:autoSpaceDE w:val="0"/>
        <w:autoSpaceDN w:val="0"/>
        <w:adjustRightInd w:val="0"/>
        <w:snapToGrid w:val="0"/>
        <w:spacing w:line="400" w:lineRule="exac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注3：如果本附件A2.2.19条、A2.2.2.7条第(2)项、A2.2.3.10条未按照TSG T7001-2023《电梯监督检验和定期检验规则》进行过监督检验，定期检验时可以不检验。</w:t>
      </w:r>
    </w:p>
    <w:p w14:paraId="0D46F53A">
      <w:pPr>
        <w:overflowPunct w:val="0"/>
        <w:autoSpaceDE w:val="0"/>
        <w:autoSpaceDN w:val="0"/>
        <w:adjustRightInd w:val="0"/>
        <w:snapToGrid w:val="0"/>
        <w:spacing w:line="400" w:lineRule="exac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注4：对于制造日期为1998年2月1日以前的受检设备，如果本附件A2.2.2.9条第(3)项A2.2.4.2条、A2.2.4.4条、A2.3.2条未按照《电梯监督检验和定期检验规则--自动扶梯与自动人行道》进行过检验，并且未按照本规则进行过监督检验，这些项目均按照一般项目处理。</w:t>
      </w:r>
    </w:p>
    <w:p w14:paraId="0433526E">
      <w:pPr>
        <w:overflowPunct w:val="0"/>
        <w:autoSpaceDE w:val="0"/>
        <w:autoSpaceDN w:val="0"/>
        <w:adjustRightInd w:val="0"/>
        <w:snapToGrid w:val="0"/>
        <w:spacing w:line="400" w:lineRule="exac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注5：本附件表A2-4所列检验项目中，A2.2.1.2条第(3)项、A2.2.1.8条、A2.2.3.7条、A2.2.4.1条仅适用于TSG T7001-2023《电梯监督检验和定期检验规则》4.1条第(2)项所述自动扶梯与自动人行道的定期检验，其余项目适用于TSG T7001-2023《电梯监督检验和定期检验规则》4.1条第(1)和第(2)项所述自动扶梯与自动人行道的定期检验。</w:t>
      </w:r>
      <w:bookmarkStart w:id="0" w:name="_GoBack"/>
      <w:bookmarkEnd w:id="0"/>
    </w:p>
    <w:p w14:paraId="1CE2074D">
      <w:pPr>
        <w:widowControl/>
        <w:jc w:val="left"/>
        <w:rPr>
          <w:rFonts w:hAnsiTheme="minorEastAsia" w:eastAsiaTheme="minorEastAsia"/>
          <w:snapToGrid w:val="0"/>
          <w:color w:val="000000"/>
          <w:kern w:val="0"/>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DD98C6-2BE7-4062-AAB6-5977B5BABA8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5830DF6C-300D-4ECE-BD7C-74D2AD62555B}"/>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15"/>
      <w:docPartObj>
        <w:docPartGallery w:val="autotext"/>
      </w:docPartObj>
    </w:sdtPr>
    <w:sdtContent>
      <w:p w14:paraId="32B0CC5A">
        <w:pPr>
          <w:pStyle w:val="7"/>
          <w:wordWrap w:val="0"/>
          <w:ind w:firstLine="360"/>
          <w:jc w:val="right"/>
        </w:pPr>
        <w:r>
          <w:rPr>
            <w:rFonts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lang w:val="zh-CN"/>
          </w:rPr>
          <w:t>1</w:t>
        </w:r>
        <w:r>
          <w:rPr>
            <w:rFonts w:ascii="Times New Roman"/>
            <w:sz w:val="28"/>
            <w:szCs w:val="28"/>
          </w:rPr>
          <w:fldChar w:fldCharType="end"/>
        </w:r>
        <w:r>
          <w:rPr>
            <w:rFonts w:hint="eastAsia"/>
            <w:sz w:val="28"/>
            <w:szCs w:val="28"/>
          </w:rPr>
          <w:t xml:space="preserve"> —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14"/>
    </w:sdtPr>
    <w:sdtEndPr>
      <w:rPr>
        <w:sz w:val="28"/>
        <w:szCs w:val="28"/>
      </w:rPr>
    </w:sdtEndPr>
    <w:sdtContent>
      <w:p w14:paraId="5B5CAA46">
        <w:pPr>
          <w:pStyle w:val="7"/>
          <w:ind w:firstLine="360"/>
        </w:pPr>
        <w:r>
          <w:rPr>
            <w:rFonts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lang w:val="zh-CN"/>
          </w:rPr>
          <w:t>4</w:t>
        </w:r>
        <w:r>
          <w:rPr>
            <w:rFonts w:ascii="Times New Roman"/>
            <w:sz w:val="28"/>
            <w:szCs w:val="28"/>
          </w:rPr>
          <w:fldChar w:fldCharType="end"/>
        </w:r>
        <w:r>
          <w:rPr>
            <w:rFonts w:hint="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F2468">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0E341">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6AC14">
    <w:pPr>
      <w:pStyle w:val="8"/>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45E0B">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841E69"/>
    <w:multiLevelType w:val="singleLevel"/>
    <w:tmpl w:val="65841E69"/>
    <w:lvl w:ilvl="0" w:tentative="0">
      <w:start w:val="1"/>
      <w:numFmt w:val="decimal"/>
      <w:suff w:val="nothing"/>
      <w:lvlText w:val="（%1）"/>
      <w:lvlJc w:val="left"/>
    </w:lvl>
  </w:abstractNum>
  <w:abstractNum w:abstractNumId="1">
    <w:nsid w:val="6584217D"/>
    <w:multiLevelType w:val="singleLevel"/>
    <w:tmpl w:val="6584217D"/>
    <w:lvl w:ilvl="0" w:tentative="0">
      <w:start w:val="1"/>
      <w:numFmt w:val="decimal"/>
      <w:lvlText w:val="(%1)"/>
      <w:lvlJc w:val="left"/>
      <w:pPr>
        <w:tabs>
          <w:tab w:val="left" w:pos="312"/>
        </w:tabs>
      </w:pPr>
    </w:lvl>
  </w:abstractNum>
  <w:abstractNum w:abstractNumId="2">
    <w:nsid w:val="658CF6BE"/>
    <w:multiLevelType w:val="singleLevel"/>
    <w:tmpl w:val="658CF6BE"/>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hideSpellingError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1MWZhOWM3MTgyYmU3NGE5NWE2MTMyMTc4NThiOTAifQ=="/>
  </w:docVars>
  <w:rsids>
    <w:rsidRoot w:val="002F1DFD"/>
    <w:rsid w:val="0009255A"/>
    <w:rsid w:val="00094B3B"/>
    <w:rsid w:val="000D0719"/>
    <w:rsid w:val="000D4A22"/>
    <w:rsid w:val="000F3FAB"/>
    <w:rsid w:val="00140019"/>
    <w:rsid w:val="00143A88"/>
    <w:rsid w:val="0018065F"/>
    <w:rsid w:val="00187944"/>
    <w:rsid w:val="001B4A4B"/>
    <w:rsid w:val="00231BFF"/>
    <w:rsid w:val="0023388C"/>
    <w:rsid w:val="002754EB"/>
    <w:rsid w:val="00276955"/>
    <w:rsid w:val="002A16CF"/>
    <w:rsid w:val="002D5415"/>
    <w:rsid w:val="002F1DFD"/>
    <w:rsid w:val="00335710"/>
    <w:rsid w:val="00373A77"/>
    <w:rsid w:val="003D682B"/>
    <w:rsid w:val="003E44F3"/>
    <w:rsid w:val="0040742A"/>
    <w:rsid w:val="00424F81"/>
    <w:rsid w:val="0047595C"/>
    <w:rsid w:val="00485DBE"/>
    <w:rsid w:val="00491ADB"/>
    <w:rsid w:val="00492DC7"/>
    <w:rsid w:val="004F4A6E"/>
    <w:rsid w:val="00501D03"/>
    <w:rsid w:val="00554186"/>
    <w:rsid w:val="005657A1"/>
    <w:rsid w:val="005677C3"/>
    <w:rsid w:val="0063788E"/>
    <w:rsid w:val="0064728F"/>
    <w:rsid w:val="006564D0"/>
    <w:rsid w:val="00660751"/>
    <w:rsid w:val="006B40BA"/>
    <w:rsid w:val="006D07C5"/>
    <w:rsid w:val="007423D5"/>
    <w:rsid w:val="007A6442"/>
    <w:rsid w:val="007C3193"/>
    <w:rsid w:val="007D576F"/>
    <w:rsid w:val="007D77F8"/>
    <w:rsid w:val="0081792B"/>
    <w:rsid w:val="008A3F0C"/>
    <w:rsid w:val="008B4BB9"/>
    <w:rsid w:val="008D20CC"/>
    <w:rsid w:val="008E58D0"/>
    <w:rsid w:val="00927E35"/>
    <w:rsid w:val="0095622B"/>
    <w:rsid w:val="009D7CED"/>
    <w:rsid w:val="009F01DC"/>
    <w:rsid w:val="00A255F4"/>
    <w:rsid w:val="00A76FC3"/>
    <w:rsid w:val="00A960C8"/>
    <w:rsid w:val="00AB4F8E"/>
    <w:rsid w:val="00AD5479"/>
    <w:rsid w:val="00B1265B"/>
    <w:rsid w:val="00B345F1"/>
    <w:rsid w:val="00B90794"/>
    <w:rsid w:val="00BA6B5B"/>
    <w:rsid w:val="00C375FF"/>
    <w:rsid w:val="00CC206A"/>
    <w:rsid w:val="00D201C4"/>
    <w:rsid w:val="00D25174"/>
    <w:rsid w:val="00DB5DFA"/>
    <w:rsid w:val="00E33559"/>
    <w:rsid w:val="00E86519"/>
    <w:rsid w:val="00E923F1"/>
    <w:rsid w:val="00EC71E2"/>
    <w:rsid w:val="00F02413"/>
    <w:rsid w:val="00FA5A59"/>
    <w:rsid w:val="06C278B5"/>
    <w:rsid w:val="06D62EC4"/>
    <w:rsid w:val="08893733"/>
    <w:rsid w:val="0E731911"/>
    <w:rsid w:val="103764A9"/>
    <w:rsid w:val="125961DD"/>
    <w:rsid w:val="189964EA"/>
    <w:rsid w:val="19A454D9"/>
    <w:rsid w:val="1A694281"/>
    <w:rsid w:val="1AD532A6"/>
    <w:rsid w:val="1C915908"/>
    <w:rsid w:val="211C215D"/>
    <w:rsid w:val="212451FF"/>
    <w:rsid w:val="22090BF9"/>
    <w:rsid w:val="23447230"/>
    <w:rsid w:val="2B216FF5"/>
    <w:rsid w:val="2B457803"/>
    <w:rsid w:val="2E586AAF"/>
    <w:rsid w:val="30872E52"/>
    <w:rsid w:val="35D501BC"/>
    <w:rsid w:val="36435E6F"/>
    <w:rsid w:val="3670588D"/>
    <w:rsid w:val="372314D5"/>
    <w:rsid w:val="37AE73A3"/>
    <w:rsid w:val="3C933FD2"/>
    <w:rsid w:val="3E9052B0"/>
    <w:rsid w:val="3FEB5A27"/>
    <w:rsid w:val="4151103E"/>
    <w:rsid w:val="41FB544E"/>
    <w:rsid w:val="44A645E7"/>
    <w:rsid w:val="4B632585"/>
    <w:rsid w:val="4BB42BF9"/>
    <w:rsid w:val="4F0771E0"/>
    <w:rsid w:val="50162CA5"/>
    <w:rsid w:val="52232583"/>
    <w:rsid w:val="53051C89"/>
    <w:rsid w:val="546926EB"/>
    <w:rsid w:val="54BD068F"/>
    <w:rsid w:val="54E53DB6"/>
    <w:rsid w:val="5C5D3B6B"/>
    <w:rsid w:val="5E3D2C1E"/>
    <w:rsid w:val="640D2AD4"/>
    <w:rsid w:val="68DE4AD8"/>
    <w:rsid w:val="6A0107AA"/>
    <w:rsid w:val="6A5D04B6"/>
    <w:rsid w:val="6A6B466F"/>
    <w:rsid w:val="6AAB7FF6"/>
    <w:rsid w:val="71F2621E"/>
    <w:rsid w:val="722D5172"/>
    <w:rsid w:val="74021033"/>
    <w:rsid w:val="7B826EBB"/>
    <w:rsid w:val="7C125825"/>
    <w:rsid w:val="7D3C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5"/>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3"/>
    <w:basedOn w:val="1"/>
    <w:next w:val="1"/>
    <w:link w:val="16"/>
    <w:autoRedefine/>
    <w:qFormat/>
    <w:uiPriority w:val="0"/>
    <w:pPr>
      <w:keepNext/>
      <w:keepLines/>
      <w:spacing w:line="540" w:lineRule="exact"/>
      <w:outlineLvl w:val="2"/>
    </w:pPr>
    <w:rPr>
      <w:rFonts w:eastAsia="楷体"/>
      <w:kern w:val="0"/>
      <w:sz w:val="20"/>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Title"/>
    <w:basedOn w:val="1"/>
    <w:autoRedefine/>
    <w:qFormat/>
    <w:uiPriority w:val="10"/>
    <w:pPr>
      <w:spacing w:before="240" w:after="60"/>
      <w:jc w:val="center"/>
      <w:outlineLvl w:val="0"/>
    </w:pPr>
    <w:rPr>
      <w:rFonts w:ascii="Arial" w:hAnsi="Arial"/>
      <w:b/>
      <w:sz w:val="32"/>
    </w:rPr>
  </w:style>
  <w:style w:type="paragraph" w:styleId="5">
    <w:name w:val="Body Text Indent"/>
    <w:basedOn w:val="1"/>
    <w:autoRedefine/>
    <w:qFormat/>
    <w:uiPriority w:val="0"/>
    <w:pPr>
      <w:spacing w:after="120"/>
      <w:ind w:left="420" w:leftChars="200"/>
    </w:pPr>
  </w:style>
  <w:style w:type="paragraph" w:styleId="6">
    <w:name w:val="Balloon Text"/>
    <w:basedOn w:val="1"/>
    <w:link w:val="17"/>
    <w:autoRedefine/>
    <w:qFormat/>
    <w:uiPriority w:val="0"/>
    <w:rPr>
      <w:sz w:val="18"/>
      <w:szCs w:val="18"/>
    </w:rPr>
  </w:style>
  <w:style w:type="paragraph" w:styleId="7">
    <w:name w:val="footer"/>
    <w:basedOn w:val="1"/>
    <w:link w:val="18"/>
    <w:autoRedefine/>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9">
    <w:name w:val="Body Text Indent 3"/>
    <w:basedOn w:val="1"/>
    <w:autoRedefine/>
    <w:qFormat/>
    <w:uiPriority w:val="0"/>
    <w:pPr>
      <w:spacing w:line="360" w:lineRule="auto"/>
      <w:ind w:firstLine="482" w:firstLineChars="200"/>
    </w:pPr>
    <w:rPr>
      <w:rFonts w:ascii="宋体"/>
      <w:b/>
      <w:bCs/>
      <w:sz w:val="24"/>
    </w:rPr>
  </w:style>
  <w:style w:type="paragraph" w:styleId="10">
    <w:name w:val="Body Text First Indent 2"/>
    <w:basedOn w:val="5"/>
    <w:autoRedefine/>
    <w:qFormat/>
    <w:uiPriority w:val="0"/>
    <w:pPr>
      <w:ind w:firstLine="420" w:firstLineChars="200"/>
    </w:pPr>
    <w:rPr>
      <w:szCs w:val="22"/>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autoRedefine/>
    <w:qFormat/>
    <w:uiPriority w:val="0"/>
  </w:style>
  <w:style w:type="character" w:customStyle="1" w:styleId="15">
    <w:name w:val="标题 1 Char"/>
    <w:link w:val="2"/>
    <w:autoRedefine/>
    <w:qFormat/>
    <w:uiPriority w:val="0"/>
    <w:rPr>
      <w:rFonts w:eastAsia="方正小标宋简体"/>
      <w:kern w:val="44"/>
      <w:sz w:val="44"/>
      <w:szCs w:val="20"/>
    </w:rPr>
  </w:style>
  <w:style w:type="character" w:customStyle="1" w:styleId="16">
    <w:name w:val="标题 3 Char"/>
    <w:link w:val="4"/>
    <w:autoRedefine/>
    <w:qFormat/>
    <w:uiPriority w:val="0"/>
    <w:rPr>
      <w:rFonts w:eastAsia="楷体"/>
      <w:kern w:val="0"/>
      <w:sz w:val="20"/>
      <w:szCs w:val="20"/>
    </w:rPr>
  </w:style>
  <w:style w:type="character" w:customStyle="1" w:styleId="17">
    <w:name w:val="批注框文本 Char"/>
    <w:link w:val="6"/>
    <w:autoRedefine/>
    <w:qFormat/>
    <w:uiPriority w:val="0"/>
    <w:rPr>
      <w:kern w:val="2"/>
      <w:sz w:val="18"/>
      <w:szCs w:val="18"/>
    </w:rPr>
  </w:style>
  <w:style w:type="character" w:customStyle="1" w:styleId="18">
    <w:name w:val="页脚 Char"/>
    <w:link w:val="7"/>
    <w:autoRedefine/>
    <w:qFormat/>
    <w:uiPriority w:val="99"/>
    <w:rPr>
      <w:rFonts w:ascii="宋体"/>
      <w:color w:val="000000"/>
      <w:sz w:val="18"/>
      <w:szCs w:val="18"/>
    </w:rPr>
  </w:style>
  <w:style w:type="paragraph" w:customStyle="1" w:styleId="19">
    <w:name w:val="Table Paragraph"/>
    <w:basedOn w:val="1"/>
    <w:autoRedefine/>
    <w:qFormat/>
    <w:uiPriority w:val="1"/>
    <w:pPr>
      <w:autoSpaceDE w:val="0"/>
      <w:autoSpaceDN w:val="0"/>
      <w:adjustRightInd w:val="0"/>
      <w:spacing w:line="312" w:lineRule="atLeast"/>
      <w:jc w:val="left"/>
      <w:textAlignment w:val="baseline"/>
    </w:pPr>
    <w:rPr>
      <w:kern w:val="0"/>
      <w:sz w:val="24"/>
      <w:szCs w:val="20"/>
    </w:rPr>
  </w:style>
  <w:style w:type="paragraph" w:customStyle="1" w:styleId="20">
    <w:name w:val="首行缩进"/>
    <w:autoRedefine/>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customStyle="1" w:styleId="21">
    <w:name w:val="列表段落1"/>
    <w:basedOn w:val="1"/>
    <w:autoRedefine/>
    <w:qFormat/>
    <w:uiPriority w:val="34"/>
    <w:pPr>
      <w:autoSpaceDE w:val="0"/>
      <w:autoSpaceDN w:val="0"/>
      <w:ind w:firstLine="420" w:firstLineChars="200"/>
      <w:jc w:val="left"/>
    </w:pPr>
    <w:rPr>
      <w:rFonts w:ascii="宋体" w:hAnsi="宋体" w:cs="宋体"/>
      <w:kern w:val="0"/>
      <w:sz w:val="22"/>
      <w:szCs w:val="22"/>
      <w:lang w:eastAsia="en-US"/>
    </w:rPr>
  </w:style>
  <w:style w:type="paragraph" w:customStyle="1" w:styleId="22">
    <w:name w:val="样式 Table Paragraph + (中文) +中文正文 (符号) +中文正文 五号 文字 1 两端对齐 左侧:..."/>
    <w:basedOn w:val="19"/>
    <w:qFormat/>
    <w:uiPriority w:val="0"/>
    <w:pPr>
      <w:spacing w:line="280" w:lineRule="exact"/>
      <w:ind w:left="-57" w:right="-57"/>
      <w:jc w:val="both"/>
    </w:pPr>
    <w:rPr>
      <w:rFonts w:cs="宋体" w:hAnsiTheme="minorEastAsia" w:eastAsiaTheme="minorEastAsia"/>
      <w:color w:val="000000" w:themeColor="text1"/>
      <w:sz w:val="21"/>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14</Pages>
  <Words>10402</Words>
  <Characters>10887</Characters>
  <Lines>554</Lines>
  <Paragraphs>156</Paragraphs>
  <TotalTime>135</TotalTime>
  <ScaleCrop>false</ScaleCrop>
  <LinksUpToDate>false</LinksUpToDate>
  <CharactersWithSpaces>11207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2022-04-28T03:27:00Z</dcterms:created>
  <dc:creator>千航网络</dc:creator>
  <cp:lastModifiedBy>Ellen  章小璐</cp:lastModifiedBy>
  <cp:lastPrinted>2025-08-29T03:36:00Z</cp:lastPrinted>
  <dcterms:modified xsi:type="dcterms:W3CDTF">2025-09-03T08:14:04Z</dcterms:modified>
  <dc:title>【NTKO Office文档控件缺省模板】</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96EC7B9243B94914B5CC9A72772B8418_13</vt:lpwstr>
  </property>
  <property fmtid="{D5CDD505-2E9C-101B-9397-08002B2CF9AE}" pid="4" name="KSOTemplateDocerSaveRecord">
    <vt:lpwstr>eyJoZGlkIjoiZTM2MWEyNWZmMTg5NjZhZDRhNWYxNTIxODIwYTZkYzMiLCJ1c2VySWQiOiIyNzE5Mjg3NDUifQ==</vt:lpwstr>
  </property>
</Properties>
</file>