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1E186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7C131C2">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5E68A3C">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cs="Times New Roman"/>
          <w:snapToGrid w:val="0"/>
          <w:sz w:val="28"/>
          <w:szCs w:val="28"/>
          <w:u w:val="single"/>
        </w:rPr>
        <w:t>张政</w:t>
      </w:r>
      <w:r>
        <w:rPr>
          <w:rFonts w:ascii="Times New Roman" w:hAnsi="Times New Roman" w:eastAsia="仿宋_GB2312" w:cs="Times New Roman"/>
          <w:snapToGrid w:val="0"/>
          <w:sz w:val="28"/>
          <w:szCs w:val="28"/>
        </w:rPr>
        <w:t>：</w:t>
      </w:r>
    </w:p>
    <w:p w14:paraId="244DE37B">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u w:val="single"/>
        </w:rPr>
        <w:t>苏DC6T8＊</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车辆识别代号：LE4ZG4JB7JL259217</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奔驰牌的小型汽车，</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14</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63C92A5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上海内环高架外圈近虹桥路路段的</w:t>
      </w:r>
      <w:r>
        <w:rPr>
          <w:rFonts w:hint="eastAsia" w:ascii="Times New Roman" w:hAnsi="Times New Roman" w:eastAsia="仿宋_GB2312"/>
          <w:snapToGrid w:val="0"/>
          <w:sz w:val="28"/>
          <w:szCs w:val="28"/>
        </w:rPr>
        <w:t>违法行为（代码1116B），违反了《中华人民共和国道路交通安全法》第三十八条、第四十四条的规定，依据《中华人民共和国道路交通安全法》第九十条，应当处以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5C87B1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上海华夏高架路北侧唐黄路上匝道的</w:t>
      </w:r>
      <w:r>
        <w:rPr>
          <w:rFonts w:hint="eastAsia" w:ascii="Times New Roman" w:hAnsi="Times New Roman" w:eastAsia="仿宋_GB2312"/>
          <w:snapToGrid w:val="0"/>
          <w:sz w:val="28"/>
          <w:szCs w:val="28"/>
        </w:rPr>
        <w:t>违法行为（代码1116B），违反了《中华人民共和国道路交通安全法》第三十八条、第四十四条的规定，依据《中华人民共和国道路交通安全法》第九十条，应当处以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C9EE68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上海华夏高架路北侧唐黄路上匝道的</w:t>
      </w:r>
      <w:r>
        <w:rPr>
          <w:rFonts w:hint="eastAsia" w:ascii="Times New Roman" w:hAnsi="Times New Roman" w:eastAsia="仿宋_GB2312"/>
          <w:snapToGrid w:val="0"/>
          <w:sz w:val="28"/>
          <w:szCs w:val="28"/>
        </w:rPr>
        <w:t>违法行为（代码1116B），违反了《中华人民共和国道路交通安全法》第三十八条、第四十四条的规定，依据《中华人民共和国道路交通安全法》第九十条，应当处以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412D56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上海昌吉路墨玉路西约305米的</w:t>
      </w:r>
      <w:r>
        <w:rPr>
          <w:rFonts w:hint="eastAsia" w:ascii="Times New Roman" w:hAnsi="Times New Roman" w:eastAsia="仿宋_GB2312"/>
          <w:snapToGrid w:val="0"/>
          <w:sz w:val="28"/>
          <w:szCs w:val="28"/>
        </w:rPr>
        <w:t>违法行为（代码11177），违反了《中华人民共和国道路交通安全法》第三十八条、第四十四条的规定，依据《中华人民共和国道路交通安全法》第九十条，应当处以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E6BEFA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上海S1迎宾高速北侧华夏高架入口匝道</w:t>
      </w:r>
      <w:r>
        <w:rPr>
          <w:rFonts w:hint="eastAsia"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违法行为（代码1116B），违反了《中华人民共和国道路交通安全法》第三十八条、第四十四条的规定，依据《中华人民共和国道路交通安全法》第九十条，应当处以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A8435A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上海虹许路/吴中路</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违法行为（代码11170），违反了《中华人民共和国道路交通安全法》第三十八条、第四十四条的规定，依据《中华人民共和国道路交通安全法》第九十条，应当处以200元罚款。</w:t>
      </w:r>
    </w:p>
    <w:p w14:paraId="3B559FD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上海中环路外圈吴中路入口匝道</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违法行为（代码1116B），违反了《中华人民共和国道路交通安全法》第三十八条、第四十四条的规定，依据《中华人民共和国道路交通安全法》第九十条，应当处以200元罚款。</w:t>
      </w:r>
    </w:p>
    <w:p w14:paraId="0FBEDA1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上海S1迎宾高速北侧华夏高架入口匝道</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违法行为（代码1116B），违反了《中华人民共和国道路交通安全法》第三十八条、第四十四条的规定，依据《中华人民共和国道路交通安全法》第九十条，应当处以200元罚款。</w:t>
      </w:r>
    </w:p>
    <w:p w14:paraId="47E3131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上海北横通道南侧恒丰路上匝道</w:t>
      </w:r>
      <w:r>
        <w:rPr>
          <w:rFonts w:hint="eastAsia" w:ascii="Times New Roman" w:hAnsi="Times New Roman" w:eastAsia="仿宋_GB2312"/>
          <w:snapToGrid w:val="0"/>
          <w:sz w:val="28"/>
          <w:szCs w:val="28"/>
        </w:rPr>
        <w:t>违法行为（代码1116B），违反了《中华人民共和国道路交通安全法》第三十八条、第四十四条的规定，依据《中华人民共和国道路交通安全法》第九十条，应当处以200元罚款。</w:t>
      </w:r>
    </w:p>
    <w:p w14:paraId="52739DED">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浙江湖州高速S12申嘉湖高速嘉兴方向97KM400M</w:t>
      </w:r>
      <w:r>
        <w:rPr>
          <w:rFonts w:hint="eastAsia" w:ascii="Times New Roman" w:hAnsi="Times New Roman" w:eastAsia="仿宋_GB2312"/>
          <w:snapToGrid w:val="0"/>
          <w:sz w:val="28"/>
          <w:szCs w:val="28"/>
        </w:rPr>
        <w:t>违法行为（代码46161），违反了《中华人民共和国道路交通安全法》第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条第一款、《中华人民共和国道路交通安全法实施条例》第七十八条的规定，依据《中华人民共和国道路交通安全法》第九十条，应当处以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FD188D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上海昌吉路墨玉路西约305米</w:t>
      </w:r>
      <w:r>
        <w:rPr>
          <w:rFonts w:hint="eastAsia" w:ascii="仿宋_GB2312" w:eastAsia="仿宋_GB2312"/>
          <w:sz w:val="28"/>
          <w:szCs w:val="28"/>
          <w:u w:val="single"/>
        </w:rPr>
        <w:t>的</w:t>
      </w:r>
      <w:r>
        <w:rPr>
          <w:rFonts w:hint="eastAsia" w:ascii="Times New Roman" w:hAnsi="Times New Roman" w:eastAsia="仿宋_GB2312"/>
          <w:snapToGrid w:val="0"/>
          <w:sz w:val="28"/>
          <w:szCs w:val="28"/>
        </w:rPr>
        <w:t>违法行为（代码11177），违反了《中华人民共和国道路交通安全法》第三十八条、第四十四条的规定，依据《中华人民共和国道路交通安全法》第九十条，应当处以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F1B217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上海昌吉路墨玉路西约305米</w:t>
      </w:r>
      <w:r>
        <w:rPr>
          <w:rFonts w:hint="eastAsia" w:ascii="仿宋_GB2312" w:eastAsia="仿宋_GB2312"/>
          <w:sz w:val="28"/>
          <w:szCs w:val="28"/>
          <w:u w:val="single"/>
        </w:rPr>
        <w:t>的</w:t>
      </w:r>
      <w:r>
        <w:rPr>
          <w:rFonts w:hint="eastAsia" w:ascii="Times New Roman" w:hAnsi="Times New Roman" w:eastAsia="仿宋_GB2312"/>
          <w:snapToGrid w:val="0"/>
          <w:sz w:val="28"/>
          <w:szCs w:val="28"/>
        </w:rPr>
        <w:t>违法行为（代码11177），违反了《中华人民共和国道路交通安全法》第三十八条、第四十四条的规定，依据《中华人民共和国道路交通安全法》第九十条，应当处以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6B80C1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上海秀沿路/康沈公路</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违法行为（代码16250），违反了《中华人民共和国道路交通安全法》第三十八条、第四十四条的规定，依据《中华人民共和国道路交通安全法》第九十条，应当处以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2F191E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上海中环路外圈吴中路入口匝道</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违法行为（代码1116B），违反了《中华人民共和国道路交通安全法》第三十八条、第四十四条的规定，依据《中华人民共和国道路交通安全法》第九十条，应当处以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C6B354E">
      <w:pPr>
        <w:ind w:firstLine="560" w:firstLineChars="200"/>
        <w:rPr>
          <w:rFonts w:ascii="Times New Roman" w:hAnsi="Times New Roman" w:eastAsia="仿宋_GB2312"/>
          <w:snapToGrid w:val="0"/>
          <w:sz w:val="28"/>
          <w:szCs w:val="28"/>
        </w:rPr>
      </w:pPr>
    </w:p>
    <w:p w14:paraId="446F98E6">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628B6B6">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bookmarkStart w:id="0" w:name="_GoBack"/>
      <w:bookmarkEnd w:id="0"/>
    </w:p>
    <w:p w14:paraId="03325244">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C17725F">
      <w:pPr>
        <w:adjustRightInd w:val="0"/>
        <w:snapToGrid w:val="0"/>
        <w:spacing w:line="560" w:lineRule="exact"/>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溧阳市</w:t>
      </w:r>
      <w:r>
        <w:rPr>
          <w:rFonts w:ascii="Times New Roman" w:hAnsi="Times New Roman" w:eastAsia="仿宋_GB2312" w:cs="Times New Roman"/>
          <w:sz w:val="32"/>
          <w:szCs w:val="32"/>
        </w:rPr>
        <w:t>公安局</w:t>
      </w:r>
      <w:r>
        <w:rPr>
          <w:rFonts w:hint="eastAsia" w:ascii="Times New Roman" w:hAnsi="Times New Roman" w:eastAsia="仿宋_GB2312" w:cs="Times New Roman"/>
          <w:sz w:val="32"/>
          <w:szCs w:val="32"/>
        </w:rPr>
        <w:t>车辆管理所</w:t>
      </w:r>
    </w:p>
    <w:p w14:paraId="7FA31D7C">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日</w:t>
      </w:r>
    </w:p>
    <w:p w14:paraId="00E2B75B">
      <w:pPr>
        <w:ind w:firstLine="560" w:firstLineChars="200"/>
        <w:rPr>
          <w:rFonts w:ascii="Times New Roman" w:hAnsi="Times New Roman" w:eastAsia="仿宋_GB2312"/>
          <w:snapToGrid w:val="0"/>
          <w:sz w:val="28"/>
          <w:szCs w:val="28"/>
        </w:rPr>
      </w:pPr>
    </w:p>
    <w:p w14:paraId="0ACA5A71">
      <w:pPr>
        <w:ind w:firstLine="560" w:firstLineChars="200"/>
        <w:rPr>
          <w:rFonts w:ascii="Times New Roman" w:hAnsi="Times New Roman" w:eastAsia="仿宋_GB2312"/>
          <w:snapToGrid w:val="0"/>
          <w:sz w:val="28"/>
          <w:szCs w:val="28"/>
        </w:rPr>
      </w:pPr>
    </w:p>
    <w:p w14:paraId="030A8AB1">
      <w:pPr>
        <w:ind w:firstLine="560" w:firstLineChars="200"/>
        <w:rPr>
          <w:rFonts w:ascii="Times New Roman" w:hAnsi="Times New Roman" w:eastAsia="仿宋_GB2312"/>
          <w:snapToGrid w:val="0"/>
          <w:sz w:val="28"/>
          <w:szCs w:val="28"/>
        </w:rPr>
      </w:pPr>
    </w:p>
    <w:p w14:paraId="14870545">
      <w:pPr>
        <w:ind w:firstLine="560" w:firstLineChars="200"/>
        <w:rPr>
          <w:rFonts w:ascii="Times New Roman" w:hAnsi="Times New Roman" w:eastAsia="仿宋_GB2312"/>
          <w:snapToGrid w:val="0"/>
          <w:sz w:val="28"/>
          <w:szCs w:val="28"/>
        </w:rPr>
      </w:pPr>
    </w:p>
    <w:p w14:paraId="11CE6E81">
      <w:pPr>
        <w:ind w:firstLine="560" w:firstLineChars="200"/>
        <w:rPr>
          <w:rFonts w:ascii="Times New Roman" w:hAnsi="Times New Roman" w:eastAsia="仿宋_GB2312"/>
          <w:snapToGrid w:val="0"/>
          <w:sz w:val="28"/>
          <w:szCs w:val="28"/>
        </w:rPr>
      </w:pPr>
    </w:p>
    <w:p w14:paraId="42841B2C">
      <w:pPr>
        <w:ind w:firstLine="560" w:firstLineChars="200"/>
        <w:rPr>
          <w:rFonts w:ascii="Times New Roman" w:hAnsi="Times New Roman" w:eastAsia="仿宋_GB2312"/>
          <w:snapToGrid w:val="0"/>
          <w:sz w:val="28"/>
          <w:szCs w:val="28"/>
        </w:rPr>
      </w:pPr>
    </w:p>
    <w:p w14:paraId="73E11E04">
      <w:pPr>
        <w:ind w:firstLine="560" w:firstLineChars="200"/>
        <w:rPr>
          <w:rFonts w:ascii="Times New Roman" w:hAnsi="Times New Roman" w:eastAsia="仿宋_GB2312"/>
          <w:snapToGrid w:val="0"/>
          <w:sz w:val="28"/>
          <w:szCs w:val="28"/>
        </w:rPr>
      </w:pPr>
    </w:p>
    <w:p w14:paraId="4FE92D13">
      <w:pPr>
        <w:ind w:firstLine="560" w:firstLineChars="200"/>
        <w:rPr>
          <w:rFonts w:ascii="Times New Roman" w:hAnsi="Times New Roman" w:eastAsia="仿宋_GB2312"/>
          <w:snapToGrid w:val="0"/>
          <w:sz w:val="28"/>
          <w:szCs w:val="28"/>
        </w:rPr>
      </w:pPr>
    </w:p>
    <w:p w14:paraId="4216A757">
      <w:pPr>
        <w:ind w:firstLine="560" w:firstLineChars="200"/>
        <w:rPr>
          <w:rFonts w:ascii="Times New Roman" w:hAnsi="Times New Roman" w:eastAsia="仿宋_GB2312"/>
          <w:snapToGrid w:val="0"/>
          <w:sz w:val="28"/>
          <w:szCs w:val="28"/>
        </w:rPr>
      </w:pPr>
    </w:p>
    <w:p w14:paraId="38A0BD9C">
      <w:pPr>
        <w:ind w:firstLine="560" w:firstLineChars="200"/>
        <w:rPr>
          <w:rFonts w:ascii="Times New Roman" w:hAnsi="Times New Roman" w:eastAsia="仿宋_GB2312"/>
          <w:snapToGrid w:val="0"/>
          <w:sz w:val="28"/>
          <w:szCs w:val="28"/>
        </w:rPr>
      </w:pPr>
    </w:p>
    <w:p w14:paraId="15A6A959">
      <w:pPr>
        <w:ind w:firstLine="420" w:firstLineChars="150"/>
        <w:rPr>
          <w:rFonts w:ascii="Times New Roman" w:hAnsi="Times New Roman" w:eastAsia="仿宋_GB2312"/>
          <w:snapToGrid w:val="0"/>
          <w:sz w:val="28"/>
          <w:szCs w:val="28"/>
        </w:rPr>
      </w:pPr>
    </w:p>
    <w:p w14:paraId="1D1B568B">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68F"/>
    <w:rsid w:val="007C5D1C"/>
    <w:rsid w:val="00D9268F"/>
    <w:rsid w:val="452405C9"/>
    <w:rsid w:val="51F40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link w:val="5"/>
    <w:semiHidden/>
    <w:uiPriority w:val="99"/>
    <w:rPr>
      <w:sz w:val="18"/>
      <w:szCs w:val="18"/>
    </w:rPr>
  </w:style>
  <w:style w:type="character" w:customStyle="1" w:styleId="9">
    <w:name w:val="页脚 Char"/>
    <w:link w:val="4"/>
    <w:semiHidden/>
    <w:qFormat/>
    <w:uiPriority w:val="99"/>
    <w:rPr>
      <w:sz w:val="18"/>
      <w:szCs w:val="18"/>
    </w:rPr>
  </w:style>
  <w:style w:type="character" w:customStyle="1" w:styleId="10">
    <w:name w:val="批注框文本 Char"/>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CGS</Company>
  <Pages>4</Pages>
  <Words>2004</Words>
  <Characters>2263</Characters>
  <Lines>16</Lines>
  <Paragraphs>4</Paragraphs>
  <TotalTime>3</TotalTime>
  <ScaleCrop>false</ScaleCrop>
  <LinksUpToDate>false</LinksUpToDate>
  <CharactersWithSpaces>2338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2025-09-11T08:38:01Z</dcterms:modified>
  <dc:title>关于逾期不接受处理的机动车交通违法行为拟作出行政处罚决定的告知公告</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eyJoZGlkIjoiZGJkMWQzMzYxYzFiYzk5NDMwZjgyNDU3ZDdiM2NhNDYiLCJ1c2VySWQiOiI2ODMzNDIzODUifQ==</vt:lpwstr>
  </property>
  <property fmtid="{D5CDD505-2E9C-101B-9397-08002B2CF9AE}" pid="4" name="ICV">
    <vt:lpwstr>1873B668856A4C1694243EE0049635E6_13</vt:lpwstr>
  </property>
</Properties>
</file>