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F4257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B68B90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4D00A42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常公（交）罚决送字〔2025〕第104号</w:t>
      </w:r>
    </w:p>
    <w:p w14:paraId="79E94EE0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荀志超：</w:t>
      </w:r>
    </w:p>
    <w:p w14:paraId="6AC8A76C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小型轿车苏DDG252*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LJ2K8YH4PA07111319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几何牌的小型轿车，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3204811955222920、3204811955222931、3204811955222953、3204811955222942、3204811955222964、3201251501254521的《公安交通管理简易程序处罚决定书》,自公告发布之日起经过60日即视为送达。</w:t>
      </w:r>
    </w:p>
    <w:p w14:paraId="21D135D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5F11EC2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5928BF6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53AC54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EF32CD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2339228C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67CDE48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2025年9月29日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2059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5E03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1229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CGS</Company>
  <Pages>1</Pages>
  <Words>632</Words>
  <Characters>810</Characters>
  <Lines>6</Lines>
  <Paragraphs>1</Paragraphs>
  <TotalTime>56</TotalTime>
  <ScaleCrop>false</ScaleCrop>
  <LinksUpToDate>false</LinksUpToDate>
  <CharactersWithSpaces>874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2025-09-29T01:47:39Z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9DC586CD1F6D43FEB45928BE7CB2064F_13</vt:lpwstr>
  </property>
</Properties>
</file>