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B252525">
      <w:pPr>
        <w:adjustRightInd w:val="0"/>
        <w:snapToGrid w:val="0"/>
        <w:spacing w:line="740" w:lineRule="exact"/>
        <w:jc w:val="left"/>
        <w:rPr>
          <w:rFonts w:ascii="Times New Roman" w:hAnsi="Times New Roman" w:eastAsia="黑体" w:cs="Times New Roman"/>
          <w:color w:val="000000"/>
          <w:sz w:val="32"/>
          <w:szCs w:val="32"/>
        </w:rPr>
      </w:pPr>
      <w:r>
        <w:rPr>
          <w:rFonts w:ascii="Times New Roman" w:eastAsia="黑体" w:cs="Times New Roman"/>
          <w:color w:val="000000"/>
          <w:sz w:val="32"/>
          <w:szCs w:val="32"/>
        </w:rPr>
        <w:t>附件</w:t>
      </w:r>
    </w:p>
    <w:p w14:paraId="467418BE">
      <w:pPr>
        <w:adjustRightInd w:val="0"/>
        <w:snapToGrid w:val="0"/>
        <w:spacing w:line="700" w:lineRule="exact"/>
        <w:jc w:val="center"/>
        <w:rPr>
          <w:rFonts w:ascii="Times New Roman" w:hAnsi="Times New Roman" w:eastAsia="方正小标宋简体" w:cs="Times New Roman"/>
          <w:sz w:val="44"/>
          <w:szCs w:val="44"/>
        </w:rPr>
      </w:pPr>
      <w:r>
        <w:rPr>
          <w:rFonts w:ascii="Times New Roman" w:hAnsi="Times New Roman" w:eastAsia="方正小标宋简体" w:cs="Times New Roman"/>
          <w:sz w:val="44"/>
          <w:szCs w:val="44"/>
        </w:rPr>
        <w:t>关于逾期不接受处理的机动车交通违法行为拟作出行政处罚的告知公告</w:t>
      </w:r>
    </w:p>
    <w:p w14:paraId="41C9F000">
      <w:pPr>
        <w:adjustRightInd w:val="0"/>
        <w:snapToGrid w:val="0"/>
        <w:spacing w:line="570" w:lineRule="exact"/>
        <w:rPr>
          <w:rFonts w:ascii="Times New Roman" w:hAnsi="Times New Roman" w:eastAsia="仿宋_GB2312" w:cs="Times New Roman"/>
          <w:snapToGrid w:val="0"/>
          <w:sz w:val="28"/>
          <w:szCs w:val="28"/>
        </w:rPr>
      </w:pPr>
      <w:r>
        <w:rPr>
          <w:rFonts w:hint="eastAsia" w:ascii="Times New Roman" w:hAnsi="Times New Roman" w:eastAsia="仿宋_GB2312"/>
          <w:snapToGrid w:val="0"/>
          <w:sz w:val="28"/>
          <w:szCs w:val="28"/>
          <w:u w:val="single"/>
        </w:rPr>
        <w:t>张政</w:t>
      </w:r>
      <w:r>
        <w:rPr>
          <w:rFonts w:ascii="Times New Roman" w:hAnsi="Times New Roman" w:eastAsia="仿宋_GB2312" w:cs="Times New Roman"/>
          <w:snapToGrid w:val="0"/>
          <w:sz w:val="28"/>
          <w:szCs w:val="28"/>
        </w:rPr>
        <w:t>：</w:t>
      </w:r>
    </w:p>
    <w:p w14:paraId="6DF8C2F9">
      <w:pPr>
        <w:adjustRightInd w:val="0"/>
        <w:snapToGrid w:val="0"/>
        <w:spacing w:line="570" w:lineRule="exact"/>
        <w:ind w:firstLine="560" w:firstLineChars="200"/>
        <w:rPr>
          <w:rFonts w:ascii="Times New Roman" w:hAnsi="Times New Roman" w:eastAsia="仿宋_GB2312" w:cs="Times New Roman"/>
          <w:snapToGrid w:val="0"/>
          <w:sz w:val="28"/>
          <w:szCs w:val="28"/>
        </w:rPr>
      </w:pPr>
      <w:r>
        <w:rPr>
          <w:rFonts w:hint="eastAsia" w:ascii="Times New Roman" w:hAnsi="Times New Roman" w:eastAsia="仿宋_GB2312"/>
          <w:snapToGrid w:val="0"/>
          <w:sz w:val="28"/>
          <w:szCs w:val="28"/>
        </w:rPr>
        <w:t>你名下的</w:t>
      </w:r>
      <w:r>
        <w:rPr>
          <w:rFonts w:hint="eastAsia" w:ascii="Times New Roman" w:hAnsi="Times New Roman" w:eastAsia="仿宋_GB2312"/>
          <w:snapToGrid w:val="0"/>
          <w:sz w:val="28"/>
          <w:szCs w:val="28"/>
          <w:u w:val="single"/>
        </w:rPr>
        <w:t>苏</w:t>
      </w:r>
      <w:r>
        <w:rPr>
          <w:rFonts w:hint="eastAsia" w:ascii="仿宋" w:hAnsi="仿宋" w:eastAsia="仿宋" w:cs="Times New Roman"/>
          <w:snapToGrid w:val="0"/>
          <w:kern w:val="0"/>
          <w:sz w:val="28"/>
          <w:szCs w:val="28"/>
        </w:rPr>
        <w:t>DC6T8</w:t>
      </w:r>
      <w:r>
        <w:rPr>
          <w:rFonts w:hint="eastAsia" w:ascii="Times New Roman" w:hAnsi="Times New Roman" w:eastAsia="仿宋_GB2312"/>
          <w:snapToGrid w:val="0"/>
          <w:sz w:val="28"/>
          <w:szCs w:val="28"/>
          <w:u w:val="single"/>
        </w:rPr>
        <w:t>*</w:t>
      </w:r>
      <w:r>
        <w:rPr>
          <w:rFonts w:ascii="Times New Roman" w:hAnsi="Times New Roman" w:eastAsia="仿宋_GB2312"/>
          <w:snapToGrid w:val="0"/>
          <w:sz w:val="28"/>
          <w:szCs w:val="28"/>
          <w:u w:val="single"/>
        </w:rPr>
        <w:t xml:space="preserve"> (</w:t>
      </w:r>
      <w:r>
        <w:rPr>
          <w:rFonts w:hint="eastAsia" w:ascii="Times New Roman" w:hAnsi="Times New Roman" w:eastAsia="仿宋_GB2312"/>
          <w:snapToGrid w:val="0"/>
          <w:sz w:val="28"/>
          <w:szCs w:val="28"/>
          <w:u w:val="single"/>
        </w:rPr>
        <w:t>车辆识别代号：</w:t>
      </w:r>
      <w:r>
        <w:rPr>
          <w:rFonts w:ascii="Times New Roman" w:hAnsi="Times New Roman" w:eastAsia="仿宋_GB2312" w:cs="Times New Roman"/>
          <w:snapToGrid w:val="0"/>
          <w:kern w:val="0"/>
          <w:sz w:val="32"/>
          <w:szCs w:val="32"/>
          <w:u w:val="single"/>
        </w:rPr>
        <w:t>LE4ZG4JB7JL259217</w:t>
      </w:r>
      <w:r>
        <w:rPr>
          <w:rFonts w:hint="eastAsia" w:ascii="Times New Roman" w:hAnsi="Times New Roman" w:eastAsia="仿宋_GB2312" w:cs="Times New Roman"/>
          <w:snapToGrid w:val="0"/>
          <w:kern w:val="0"/>
          <w:sz w:val="32"/>
          <w:szCs w:val="32"/>
          <w:u w:val="single"/>
          <w:lang w:eastAsia="zh-CN"/>
        </w:rPr>
        <w:t>）</w:t>
      </w:r>
      <w:bookmarkStart w:id="0" w:name="_GoBack"/>
      <w:bookmarkEnd w:id="0"/>
      <w:r>
        <w:rPr>
          <w:rFonts w:ascii="Times New Roman" w:hAnsi="Times New Roman" w:eastAsia="仿宋_GB2312" w:cs="Times New Roman"/>
          <w:snapToGrid w:val="0"/>
          <w:kern w:val="0"/>
          <w:sz w:val="32"/>
          <w:szCs w:val="32"/>
        </w:rPr>
        <w:t>梅赛德斯-奔驰牌</w:t>
      </w:r>
      <w:r>
        <w:rPr>
          <w:rFonts w:hint="eastAsia" w:ascii="Times New Roman" w:hAnsi="Times New Roman" w:eastAsia="仿宋_GB2312"/>
          <w:snapToGrid w:val="0"/>
          <w:sz w:val="28"/>
          <w:szCs w:val="28"/>
          <w:u w:val="single"/>
        </w:rPr>
        <w:t>的小型轿车，</w:t>
      </w:r>
      <w:r>
        <w:rPr>
          <w:rFonts w:ascii="Times New Roman" w:hAnsi="Times New Roman" w:eastAsia="仿宋_GB2312"/>
          <w:snapToGrid w:val="0"/>
          <w:sz w:val="28"/>
          <w:szCs w:val="28"/>
        </w:rPr>
        <w:t>发生的</w:t>
      </w:r>
      <w:r>
        <w:rPr>
          <w:rFonts w:hint="eastAsia" w:ascii="Times New Roman" w:hAnsi="Times New Roman" w:eastAsia="仿宋_GB2312"/>
          <w:snapToGrid w:val="0"/>
          <w:sz w:val="28"/>
          <w:szCs w:val="28"/>
          <w:u w:val="single"/>
        </w:rPr>
        <w:t>14</w:t>
      </w:r>
      <w:r>
        <w:rPr>
          <w:rFonts w:ascii="Times New Roman" w:hAnsi="Times New Roman" w:eastAsia="仿宋_GB2312"/>
          <w:snapToGrid w:val="0"/>
          <w:sz w:val="28"/>
          <w:szCs w:val="28"/>
        </w:rPr>
        <w:t>起交通违法行为在三十日内未申请延期处理、未接受</w:t>
      </w:r>
      <w:r>
        <w:rPr>
          <w:rFonts w:ascii="Times New Roman" w:hAnsi="Times New Roman" w:eastAsia="仿宋_GB2312" w:cs="Times New Roman"/>
          <w:snapToGrid w:val="0"/>
          <w:sz w:val="28"/>
          <w:szCs w:val="28"/>
        </w:rPr>
        <w:t>处理，现依照《道路交通安全违法行为处理程序规定》第五十四条之规定，将拟作出的行政处罚决定的事实、理由、依据公告如下：</w:t>
      </w:r>
    </w:p>
    <w:p w14:paraId="6F8009D1">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一、</w:t>
      </w:r>
      <w:r>
        <w:rPr>
          <w:rFonts w:hint="eastAsia" w:ascii="仿宋_GB2312" w:eastAsia="仿宋_GB2312"/>
          <w:color w:val="000000"/>
          <w:sz w:val="28"/>
          <w:szCs w:val="28"/>
          <w:u w:val="single"/>
        </w:rPr>
        <w:t>2025</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01</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03</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15</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48</w:t>
      </w:r>
      <w:r>
        <w:rPr>
          <w:rFonts w:hint="eastAsia" w:ascii="Times New Roman" w:hAnsi="Times New Roman" w:eastAsia="仿宋_GB2312"/>
          <w:snapToGrid w:val="0"/>
          <w:sz w:val="28"/>
          <w:szCs w:val="28"/>
        </w:rPr>
        <w:t>分</w:t>
      </w:r>
      <w:r>
        <w:rPr>
          <w:rFonts w:ascii="Times New Roman" w:hAnsi="Times New Roman" w:eastAsia="仿宋_GB2312"/>
          <w:snapToGrid w:val="0"/>
          <w:sz w:val="28"/>
          <w:szCs w:val="28"/>
          <w:u w:val="single"/>
        </w:rPr>
        <w:t>中环路外圈吴中路入口匝道</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机动车违反禁令标志指示的</w:t>
      </w:r>
      <w:r>
        <w:rPr>
          <w:rFonts w:hint="eastAsia" w:ascii="Times New Roman" w:hAnsi="Times New Roman" w:eastAsia="仿宋_GB2312"/>
          <w:snapToGrid w:val="0"/>
          <w:sz w:val="28"/>
          <w:szCs w:val="28"/>
        </w:rPr>
        <w:t>违法行为（代码1116B），违反了《中华人民共和国道路交通安全法》第三十八条的规定，依据《中华人民共和国道路交通安全法》第一百一十四条、第九十条，应当处以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0DD62201">
      <w:pPr>
        <w:ind w:firstLine="700" w:firstLineChars="250"/>
        <w:rPr>
          <w:rFonts w:ascii="Times New Roman" w:hAnsi="Times New Roman" w:eastAsia="仿宋_GB2312"/>
          <w:snapToGrid w:val="0"/>
          <w:sz w:val="28"/>
          <w:szCs w:val="28"/>
          <w:u w:val="single"/>
        </w:rPr>
      </w:pPr>
      <w:r>
        <w:rPr>
          <w:rFonts w:hint="eastAsia" w:ascii="Times New Roman" w:hAnsi="Times New Roman" w:eastAsia="仿宋_GB2312"/>
          <w:snapToGrid w:val="0"/>
          <w:sz w:val="28"/>
          <w:szCs w:val="28"/>
        </w:rPr>
        <w:t>二、</w:t>
      </w:r>
      <w:r>
        <w:rPr>
          <w:rFonts w:hint="eastAsia" w:ascii="仿宋_GB2312" w:eastAsia="仿宋_GB2312"/>
          <w:color w:val="000000"/>
          <w:sz w:val="28"/>
          <w:szCs w:val="28"/>
          <w:u w:val="single"/>
        </w:rPr>
        <w:t>2025</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01</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01</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14</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40</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秀沿路/康沈公路</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16250），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453423CD">
      <w:pPr>
        <w:ind w:firstLine="700" w:firstLineChars="2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三、</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12</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23</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09</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12</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昌吉路墨玉路西约305米</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机动车违反禁止标线指示的</w:t>
      </w:r>
      <w:r>
        <w:rPr>
          <w:rFonts w:hint="eastAsia" w:ascii="Times New Roman" w:hAnsi="Times New Roman" w:eastAsia="仿宋_GB2312"/>
          <w:snapToGrid w:val="0"/>
          <w:sz w:val="28"/>
          <w:szCs w:val="28"/>
        </w:rPr>
        <w:t>违法行为（代码11177），违反了《中华人民共和国道路交通安全法》第三十八条、第四十四条的规定，依据《中华人民共和国道路交通安全法》第九十条、《江苏省道路交通安全条例》第五十七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7D18696E">
      <w:pPr>
        <w:ind w:firstLine="700" w:firstLineChars="2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四、</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11</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24</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08</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45</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昌吉路墨玉路西约305米</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机动车违反禁止标线指示的</w:t>
      </w:r>
      <w:r>
        <w:rPr>
          <w:rFonts w:hint="eastAsia" w:ascii="Times New Roman" w:hAnsi="Times New Roman" w:eastAsia="仿宋_GB2312"/>
          <w:snapToGrid w:val="0"/>
          <w:sz w:val="28"/>
          <w:szCs w:val="28"/>
        </w:rPr>
        <w:t>违法行为（代码11177），违反了《中华人民共和国道路交通安全法》第三十八条、第四十四条的规定，依据《中华人民共和国道路交通安全法》第九十条、《江苏省道路交通安全条例》第五十七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4EA70A5E">
      <w:pPr>
        <w:ind w:firstLine="840" w:firstLineChars="3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五、</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08</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31</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12</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12</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S12申嘉湖高速嘉兴方向97KM400M</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驾驶中型以上载客载货汽车、校车、危险物品运输车辆以外的其他机动车行驶超过规定时速20%以上未达到50%的（高速公路）</w:t>
      </w:r>
      <w:r>
        <w:rPr>
          <w:rFonts w:hint="eastAsia" w:ascii="Times New Roman" w:hAnsi="Times New Roman" w:eastAsia="仿宋_GB2312"/>
          <w:snapToGrid w:val="0"/>
          <w:sz w:val="28"/>
          <w:szCs w:val="28"/>
        </w:rPr>
        <w:t>违法行为（代码46161），违反了《中华人民共和国道路交通安全法实施条例》第七十八条第二款的规定，依据《中华人民共和国道路交通安全法》第一百一十四条、《浙江省实施&lt;中华人民共和国道路交通安全法&gt;办法》第八十二条第一款第一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232BBC67">
      <w:pPr>
        <w:ind w:firstLine="700" w:firstLineChars="2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六、</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08</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16</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16</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58</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北横通道南侧恒丰路上匝道</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驾驶中型以上载客载货汽车、校车、危险物品运输车辆以外的其他机动车行驶超过规定时速20%以上未达到50%的（高速公路）</w:t>
      </w:r>
      <w:r>
        <w:rPr>
          <w:rFonts w:hint="eastAsia" w:ascii="Times New Roman" w:hAnsi="Times New Roman" w:eastAsia="仿宋_GB2312"/>
          <w:snapToGrid w:val="0"/>
          <w:sz w:val="28"/>
          <w:szCs w:val="28"/>
        </w:rPr>
        <w:t>违法行为（代码46161），违反了《中华人民共和国道路交通安全法实施条例》第七十八条第二款的规定，依据《中华人民共和国道路交通安全法》第一百一十四条、《浙江省实施&lt;中华人民共和国道路交通安全法&gt;办法》第八十二条第一款第一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65F863B7">
      <w:pPr>
        <w:ind w:firstLine="840" w:firstLineChars="3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七、</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08</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13</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07</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23</w:t>
      </w:r>
      <w:r>
        <w:rPr>
          <w:rFonts w:hint="eastAsia" w:ascii="Times New Roman" w:hAnsi="Times New Roman" w:eastAsia="仿宋_GB2312"/>
          <w:snapToGrid w:val="0"/>
          <w:sz w:val="28"/>
          <w:szCs w:val="28"/>
        </w:rPr>
        <w:t>分在</w:t>
      </w:r>
      <w:r>
        <w:rPr>
          <w:rFonts w:ascii="Times New Roman" w:hAnsi="Times New Roman" w:eastAsia="仿宋_GB2312"/>
          <w:snapToGrid w:val="0"/>
          <w:sz w:val="28"/>
          <w:szCs w:val="28"/>
          <w:u w:val="single"/>
        </w:rPr>
        <w:t>S1迎宾高速北侧华夏高架入口匝道</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机动车违反禁令标志指示的</w:t>
      </w:r>
      <w:r>
        <w:rPr>
          <w:rFonts w:hint="eastAsia" w:ascii="Times New Roman" w:hAnsi="Times New Roman" w:eastAsia="仿宋_GB2312"/>
          <w:snapToGrid w:val="0"/>
          <w:sz w:val="28"/>
          <w:szCs w:val="28"/>
        </w:rPr>
        <w:t>违法行为（代码1116B），违反了《中华人民共和国道路交通安全法》第三十八条的规定，依据《中华人民共和国道路交通安全法》第一百一十四条、第九十条，应当处以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27FD1662">
      <w:pPr>
        <w:ind w:firstLine="700" w:firstLineChars="2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八、</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08</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07</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08</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30</w:t>
      </w:r>
      <w:r>
        <w:rPr>
          <w:rFonts w:hint="eastAsia" w:ascii="Times New Roman" w:hAnsi="Times New Roman" w:eastAsia="仿宋_GB2312"/>
          <w:snapToGrid w:val="0"/>
          <w:sz w:val="28"/>
          <w:szCs w:val="28"/>
        </w:rPr>
        <w:t>分在</w:t>
      </w:r>
      <w:r>
        <w:rPr>
          <w:rFonts w:ascii="Times New Roman" w:hAnsi="Times New Roman" w:eastAsia="仿宋_GB2312"/>
          <w:snapToGrid w:val="0"/>
          <w:sz w:val="28"/>
          <w:szCs w:val="28"/>
          <w:u w:val="single"/>
        </w:rPr>
        <w:t>中环路外圈吴中路入口匝道</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机动车违反禁令标志指示的</w:t>
      </w:r>
      <w:r>
        <w:rPr>
          <w:rFonts w:hint="eastAsia" w:ascii="Times New Roman" w:hAnsi="Times New Roman" w:eastAsia="仿宋_GB2312"/>
          <w:snapToGrid w:val="0"/>
          <w:sz w:val="28"/>
          <w:szCs w:val="28"/>
        </w:rPr>
        <w:t>违法行为（代码1116B），违反了《中华人民共和国道路交通安全法》第三十八条的规定，依据《中华人民共和国道路交通安全法》第一百一十四条、第九十条，应当处以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55500E55">
      <w:pPr>
        <w:ind w:firstLine="700" w:firstLineChars="2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九、</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08</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07</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08</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30</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虹许路/吴中路</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机动车违反禁止标线指示的</w:t>
      </w:r>
      <w:r>
        <w:rPr>
          <w:rFonts w:hint="eastAsia" w:ascii="Times New Roman" w:hAnsi="Times New Roman" w:eastAsia="仿宋_GB2312"/>
          <w:snapToGrid w:val="0"/>
          <w:sz w:val="28"/>
          <w:szCs w:val="28"/>
        </w:rPr>
        <w:t>违法行为（代码11170），违反了《中华人民共和国道路交通安全法》第三十八条、第四十四条的规定，依据《中华人民共和国道路交通安全法》第九十条、《江苏省道路交通安全条例》第五十七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76E1CD5D">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04</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15</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10</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33</w:t>
      </w:r>
      <w:r>
        <w:rPr>
          <w:rFonts w:hint="eastAsia" w:ascii="Times New Roman" w:hAnsi="Times New Roman" w:eastAsia="仿宋_GB2312"/>
          <w:snapToGrid w:val="0"/>
          <w:sz w:val="28"/>
          <w:szCs w:val="28"/>
        </w:rPr>
        <w:t>分在</w:t>
      </w:r>
      <w:r>
        <w:rPr>
          <w:rFonts w:ascii="Times New Roman" w:hAnsi="Times New Roman" w:eastAsia="仿宋_GB2312"/>
          <w:snapToGrid w:val="0"/>
          <w:sz w:val="28"/>
          <w:szCs w:val="28"/>
          <w:u w:val="single"/>
        </w:rPr>
        <w:t>S1迎宾高速北侧华夏高架入口匝道</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机动车违反禁令标志指示的</w:t>
      </w:r>
      <w:r>
        <w:rPr>
          <w:rFonts w:hint="eastAsia" w:ascii="Times New Roman" w:hAnsi="Times New Roman" w:eastAsia="仿宋_GB2312"/>
          <w:snapToGrid w:val="0"/>
          <w:sz w:val="28"/>
          <w:szCs w:val="28"/>
        </w:rPr>
        <w:t>违法行为（代码1116B），违反了《中华人民共和国道路交通安全法》第三十八条的规定，依据《中华人民共和国道路交通安全法》第一百一十四条、第九十条，应当处以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45EF09A9">
      <w:pPr>
        <w:ind w:firstLine="700" w:firstLineChars="2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十一、</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04</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07</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09</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23</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昌吉路墨玉路西约305米</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机动车违反禁止标线指示的</w:t>
      </w:r>
      <w:r>
        <w:rPr>
          <w:rFonts w:hint="eastAsia" w:ascii="Times New Roman" w:hAnsi="Times New Roman" w:eastAsia="仿宋_GB2312"/>
          <w:snapToGrid w:val="0"/>
          <w:sz w:val="28"/>
          <w:szCs w:val="28"/>
        </w:rPr>
        <w:t>违法行为（代码11177），违反了《中华人民共和国道路交通安全法》第三十八条、第四十四条的规定，依据《中华人民共和国道路交通安全法》第九十条、《江苏省道路交通安全条例》第五十七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044F2C93">
      <w:pPr>
        <w:ind w:firstLine="700" w:firstLineChars="2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十二、</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02</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02</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15</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02</w:t>
      </w:r>
      <w:r>
        <w:rPr>
          <w:rFonts w:hint="eastAsia" w:ascii="Times New Roman" w:hAnsi="Times New Roman" w:eastAsia="仿宋_GB2312"/>
          <w:snapToGrid w:val="0"/>
          <w:sz w:val="28"/>
          <w:szCs w:val="28"/>
        </w:rPr>
        <w:t>分在</w:t>
      </w:r>
      <w:r>
        <w:rPr>
          <w:rFonts w:ascii="Times New Roman" w:hAnsi="Times New Roman" w:eastAsia="仿宋_GB2312"/>
          <w:snapToGrid w:val="0"/>
          <w:sz w:val="28"/>
          <w:szCs w:val="28"/>
          <w:u w:val="single"/>
        </w:rPr>
        <w:t>华夏高架路北侧唐黄路上匝道 </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机动车违反禁令标志指示的</w:t>
      </w:r>
      <w:r>
        <w:rPr>
          <w:rFonts w:hint="eastAsia" w:ascii="Times New Roman" w:hAnsi="Times New Roman" w:eastAsia="仿宋_GB2312"/>
          <w:snapToGrid w:val="0"/>
          <w:sz w:val="28"/>
          <w:szCs w:val="28"/>
        </w:rPr>
        <w:t>违法行为（代码1116B），违反了《中华人民共和国道路交通安全法》第三十八条的规定，依据《中华人民共和国道路交通安全法》第一百一十四条、第九十条，应当处以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56942BC9">
      <w:pPr>
        <w:ind w:firstLine="700" w:firstLineChars="2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十三、</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02</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01</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18</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04</w:t>
      </w:r>
      <w:r>
        <w:rPr>
          <w:rFonts w:hint="eastAsia" w:ascii="Times New Roman" w:hAnsi="Times New Roman" w:eastAsia="仿宋_GB2312"/>
          <w:snapToGrid w:val="0"/>
          <w:sz w:val="28"/>
          <w:szCs w:val="28"/>
        </w:rPr>
        <w:t>分在</w:t>
      </w:r>
      <w:r>
        <w:rPr>
          <w:rFonts w:ascii="Times New Roman" w:hAnsi="Times New Roman" w:eastAsia="仿宋_GB2312"/>
          <w:snapToGrid w:val="0"/>
          <w:sz w:val="28"/>
          <w:szCs w:val="28"/>
          <w:u w:val="single"/>
        </w:rPr>
        <w:t>华夏高架路北侧唐黄路上匝道 </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机动车违反禁令标志指示的</w:t>
      </w:r>
      <w:r>
        <w:rPr>
          <w:rFonts w:hint="eastAsia" w:ascii="Times New Roman" w:hAnsi="Times New Roman" w:eastAsia="仿宋_GB2312"/>
          <w:snapToGrid w:val="0"/>
          <w:sz w:val="28"/>
          <w:szCs w:val="28"/>
        </w:rPr>
        <w:t>违法行为（代码1116B），违反了《中华人民共和国道路交通安全法》第三十八条的规定，依据《中华人民共和国道路交通安全法》第一百一十四条、第九十条，应当处以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740434CF">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十四、</w:t>
      </w:r>
      <w:r>
        <w:rPr>
          <w:rFonts w:hint="eastAsia" w:ascii="仿宋_GB2312" w:eastAsia="仿宋_GB2312"/>
          <w:color w:val="000000"/>
          <w:sz w:val="28"/>
          <w:szCs w:val="28"/>
          <w:u w:val="single"/>
        </w:rPr>
        <w:t>2023</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09</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18</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07</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33</w:t>
      </w:r>
      <w:r>
        <w:rPr>
          <w:rFonts w:hint="eastAsia" w:ascii="Times New Roman" w:hAnsi="Times New Roman" w:eastAsia="仿宋_GB2312"/>
          <w:snapToGrid w:val="0"/>
          <w:sz w:val="28"/>
          <w:szCs w:val="28"/>
        </w:rPr>
        <w:t>分在</w:t>
      </w:r>
      <w:r>
        <w:rPr>
          <w:rFonts w:ascii="Times New Roman" w:hAnsi="Times New Roman" w:eastAsia="仿宋_GB2312"/>
          <w:snapToGrid w:val="0"/>
          <w:sz w:val="28"/>
          <w:szCs w:val="28"/>
          <w:u w:val="single"/>
        </w:rPr>
        <w:t>华夏高架路北侧唐黄路上匝道  </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机动车违反禁令标志指示的</w:t>
      </w:r>
      <w:r>
        <w:rPr>
          <w:rFonts w:hint="eastAsia" w:ascii="Times New Roman" w:hAnsi="Times New Roman" w:eastAsia="仿宋_GB2312"/>
          <w:snapToGrid w:val="0"/>
          <w:sz w:val="28"/>
          <w:szCs w:val="28"/>
        </w:rPr>
        <w:t>违法行为（代码1116B），违反了《中华人民共和国道路交通安全法》第三十八条的规定，依据《中华人民共和国道路交通安全法》第一百一十四条、第九十条，应当处以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31042946">
      <w:pPr>
        <w:ind w:firstLine="420" w:firstLineChars="150"/>
        <w:rPr>
          <w:rFonts w:ascii="Times New Roman" w:hAnsi="Times New Roman" w:eastAsia="仿宋_GB2312"/>
          <w:snapToGrid w:val="0"/>
          <w:sz w:val="28"/>
          <w:szCs w:val="28"/>
        </w:rPr>
      </w:pPr>
    </w:p>
    <w:p w14:paraId="40A35B7E">
      <w:pPr>
        <w:ind w:firstLine="420" w:firstLineChars="150"/>
        <w:rPr>
          <w:rFonts w:ascii="Times New Roman" w:hAnsi="Times New Roman" w:eastAsia="仿宋_GB2312"/>
          <w:snapToGrid w:val="0"/>
          <w:sz w:val="28"/>
          <w:szCs w:val="28"/>
        </w:rPr>
      </w:pPr>
    </w:p>
    <w:p w14:paraId="1C6FF350">
      <w:pPr>
        <w:rPr>
          <w:rFonts w:ascii="Times New Roman" w:hAnsi="Times New Roman" w:eastAsia="仿宋_GB2312"/>
          <w:snapToGrid w:val="0"/>
          <w:sz w:val="28"/>
          <w:szCs w:val="28"/>
        </w:rPr>
      </w:pPr>
    </w:p>
    <w:p w14:paraId="50A8120A">
      <w:pPr>
        <w:ind w:firstLine="560" w:firstLineChars="200"/>
        <w:rPr>
          <w:rFonts w:ascii="仿宋_GB2312" w:hAnsi="Times New Roman" w:eastAsia="仿宋_GB2312"/>
          <w:snapToGrid w:val="0"/>
          <w:sz w:val="28"/>
          <w:szCs w:val="28"/>
        </w:rPr>
      </w:pPr>
      <w:r>
        <w:rPr>
          <w:rFonts w:hint="eastAsia" w:ascii="仿宋_GB2312" w:hAnsi="Times New Roman" w:eastAsia="仿宋_GB2312"/>
          <w:snapToGrid w:val="0"/>
          <w:sz w:val="28"/>
          <w:szCs w:val="28"/>
        </w:rPr>
        <w:t>（依据违法记录情况，从公安交通管理综合应用平台调取相应数据并填写相应信息）</w:t>
      </w:r>
    </w:p>
    <w:p w14:paraId="61BF8C15">
      <w:pPr>
        <w:adjustRightInd w:val="0"/>
        <w:snapToGrid w:val="0"/>
        <w:spacing w:line="560" w:lineRule="exact"/>
        <w:ind w:firstLine="560" w:firstLineChars="200"/>
        <w:jc w:val="left"/>
        <w:rPr>
          <w:rFonts w:ascii="Times New Roman" w:hAnsi="Times New Roman" w:eastAsia="仿宋_GB2312" w:cs="Times New Roman"/>
          <w:snapToGrid w:val="0"/>
          <w:sz w:val="28"/>
          <w:szCs w:val="28"/>
        </w:rPr>
      </w:pPr>
    </w:p>
    <w:p w14:paraId="090B02C2">
      <w:pPr>
        <w:adjustRightInd w:val="0"/>
        <w:snapToGrid w:val="0"/>
        <w:spacing w:line="560" w:lineRule="exact"/>
        <w:jc w:val="right"/>
        <w:rPr>
          <w:rFonts w:ascii="Times New Roman" w:hAnsi="Times New Roman" w:eastAsia="仿宋_GB2312" w:cs="Times New Roman"/>
          <w:sz w:val="32"/>
          <w:szCs w:val="32"/>
        </w:rPr>
      </w:pPr>
      <w:r>
        <w:rPr>
          <w:rFonts w:ascii="Times New Roman" w:hAnsi="Times New Roman" w:eastAsia="仿宋_GB2312" w:cs="Times New Roman"/>
          <w:sz w:val="32"/>
          <w:szCs w:val="32"/>
        </w:rPr>
        <w:t>常州市公安局交通警察支队机动(侦查)大队</w:t>
      </w:r>
    </w:p>
    <w:p w14:paraId="6A8FD1B2">
      <w:pPr>
        <w:adjustRightInd w:val="0"/>
        <w:snapToGrid w:val="0"/>
        <w:spacing w:line="560" w:lineRule="exact"/>
        <w:ind w:right="560" w:firstLine="560" w:firstLineChars="200"/>
        <w:jc w:val="center"/>
        <w:rPr>
          <w:rFonts w:ascii="Times New Roman" w:hAnsi="Times New Roman" w:eastAsia="仿宋_GB2312" w:cs="Times New Roman"/>
          <w:snapToGrid w:val="0"/>
          <w:sz w:val="28"/>
          <w:szCs w:val="28"/>
        </w:rPr>
      </w:pPr>
      <w:r>
        <w:rPr>
          <w:rFonts w:ascii="Times New Roman" w:hAnsi="Times New Roman" w:eastAsia="仿宋_GB2312" w:cs="Times New Roman"/>
          <w:snapToGrid w:val="0"/>
          <w:sz w:val="28"/>
          <w:szCs w:val="28"/>
        </w:rPr>
        <w:t xml:space="preserve">               </w:t>
      </w:r>
      <w:r>
        <w:rPr>
          <w:rFonts w:hint="eastAsia" w:ascii="Times New Roman" w:hAnsi="Times New Roman" w:eastAsia="仿宋_GB2312" w:cs="Times New Roman"/>
          <w:snapToGrid w:val="0"/>
          <w:sz w:val="28"/>
          <w:szCs w:val="28"/>
        </w:rPr>
        <w:t xml:space="preserve">               </w:t>
      </w:r>
      <w:r>
        <w:rPr>
          <w:rFonts w:ascii="Times New Roman" w:hAnsi="Times New Roman" w:eastAsia="仿宋_GB2312" w:cs="Times New Roman"/>
          <w:snapToGrid w:val="0"/>
          <w:sz w:val="28"/>
          <w:szCs w:val="28"/>
        </w:rPr>
        <w:t>202</w:t>
      </w:r>
      <w:r>
        <w:rPr>
          <w:rFonts w:hint="eastAsia" w:ascii="Times New Roman" w:hAnsi="Times New Roman" w:eastAsia="仿宋_GB2312" w:cs="Times New Roman"/>
          <w:snapToGrid w:val="0"/>
          <w:sz w:val="28"/>
          <w:szCs w:val="28"/>
        </w:rPr>
        <w:t>5</w:t>
      </w:r>
      <w:r>
        <w:rPr>
          <w:rFonts w:ascii="Times New Roman" w:hAnsi="Times New Roman" w:eastAsia="仿宋_GB2312" w:cs="Times New Roman"/>
          <w:snapToGrid w:val="0"/>
          <w:sz w:val="28"/>
          <w:szCs w:val="28"/>
        </w:rPr>
        <w:t>年</w:t>
      </w:r>
      <w:r>
        <w:rPr>
          <w:rFonts w:hint="eastAsia" w:ascii="Times New Roman" w:hAnsi="Times New Roman" w:eastAsia="仿宋_GB2312" w:cs="Times New Roman"/>
          <w:snapToGrid w:val="0"/>
          <w:sz w:val="28"/>
          <w:szCs w:val="28"/>
        </w:rPr>
        <w:t>10</w:t>
      </w:r>
      <w:r>
        <w:rPr>
          <w:rFonts w:ascii="Times New Roman" w:hAnsi="Times New Roman" w:eastAsia="仿宋_GB2312" w:cs="Times New Roman"/>
          <w:snapToGrid w:val="0"/>
          <w:sz w:val="28"/>
          <w:szCs w:val="28"/>
        </w:rPr>
        <w:t>月</w:t>
      </w:r>
      <w:r>
        <w:rPr>
          <w:rFonts w:hint="eastAsia" w:ascii="Times New Roman" w:hAnsi="Times New Roman" w:eastAsia="仿宋_GB2312" w:cs="Times New Roman"/>
          <w:snapToGrid w:val="0"/>
          <w:sz w:val="28"/>
          <w:szCs w:val="28"/>
        </w:rPr>
        <w:t>20</w:t>
      </w:r>
      <w:r>
        <w:rPr>
          <w:rFonts w:ascii="Times New Roman" w:hAnsi="Times New Roman" w:eastAsia="仿宋_GB2312" w:cs="Times New Roman"/>
          <w:snapToGrid w:val="0"/>
          <w:sz w:val="28"/>
          <w:szCs w:val="28"/>
        </w:rPr>
        <w:t>日</w:t>
      </w:r>
    </w:p>
    <w:p w14:paraId="2891085D">
      <w:pPr>
        <w:adjustRightInd w:val="0"/>
        <w:snapToGrid w:val="0"/>
        <w:spacing w:line="288" w:lineRule="auto"/>
        <w:rPr>
          <w:rFonts w:ascii="Times New Roman" w:hAnsi="Times New Roman" w:cs="Times New Roman"/>
          <w:szCs w:val="28"/>
        </w:rPr>
      </w:pPr>
    </w:p>
    <w:sectPr>
      <w:pgSz w:w="11906" w:h="16838"/>
      <w:pgMar w:top="1440" w:right="1758" w:bottom="1440" w:left="1758" w:header="709" w:footer="1361"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97A71"/>
    <w:rsid w:val="00011DEA"/>
    <w:rsid w:val="00034E46"/>
    <w:rsid w:val="00035B31"/>
    <w:rsid w:val="0003615B"/>
    <w:rsid w:val="0005464D"/>
    <w:rsid w:val="00056668"/>
    <w:rsid w:val="00065AF9"/>
    <w:rsid w:val="00091668"/>
    <w:rsid w:val="0009307B"/>
    <w:rsid w:val="00094B26"/>
    <w:rsid w:val="000A6102"/>
    <w:rsid w:val="000A772B"/>
    <w:rsid w:val="000B4EA3"/>
    <w:rsid w:val="000B7B19"/>
    <w:rsid w:val="000C6C07"/>
    <w:rsid w:val="000D253A"/>
    <w:rsid w:val="000D474D"/>
    <w:rsid w:val="000E4698"/>
    <w:rsid w:val="000F5251"/>
    <w:rsid w:val="00110100"/>
    <w:rsid w:val="0011079D"/>
    <w:rsid w:val="001120C2"/>
    <w:rsid w:val="001130BA"/>
    <w:rsid w:val="001177B9"/>
    <w:rsid w:val="001213DE"/>
    <w:rsid w:val="001222DB"/>
    <w:rsid w:val="00123DD8"/>
    <w:rsid w:val="00127F21"/>
    <w:rsid w:val="00142808"/>
    <w:rsid w:val="00146752"/>
    <w:rsid w:val="001533CE"/>
    <w:rsid w:val="00155573"/>
    <w:rsid w:val="00164419"/>
    <w:rsid w:val="0016675F"/>
    <w:rsid w:val="00170848"/>
    <w:rsid w:val="00177198"/>
    <w:rsid w:val="00177E53"/>
    <w:rsid w:val="00181A7E"/>
    <w:rsid w:val="00182E01"/>
    <w:rsid w:val="001912B1"/>
    <w:rsid w:val="00193D15"/>
    <w:rsid w:val="001A7A3F"/>
    <w:rsid w:val="001B1F89"/>
    <w:rsid w:val="001C51DA"/>
    <w:rsid w:val="001D24AE"/>
    <w:rsid w:val="001D3393"/>
    <w:rsid w:val="001D602D"/>
    <w:rsid w:val="001E6C5F"/>
    <w:rsid w:val="001F436B"/>
    <w:rsid w:val="001F5149"/>
    <w:rsid w:val="00206E99"/>
    <w:rsid w:val="00213022"/>
    <w:rsid w:val="002241AF"/>
    <w:rsid w:val="00225EA8"/>
    <w:rsid w:val="00232F11"/>
    <w:rsid w:val="00234677"/>
    <w:rsid w:val="002348FE"/>
    <w:rsid w:val="00244B3C"/>
    <w:rsid w:val="0026728F"/>
    <w:rsid w:val="00267A08"/>
    <w:rsid w:val="002742FC"/>
    <w:rsid w:val="00285FF3"/>
    <w:rsid w:val="002912FF"/>
    <w:rsid w:val="002913E0"/>
    <w:rsid w:val="00292964"/>
    <w:rsid w:val="0029667C"/>
    <w:rsid w:val="002A415A"/>
    <w:rsid w:val="002B00AE"/>
    <w:rsid w:val="002C09B0"/>
    <w:rsid w:val="002C22FC"/>
    <w:rsid w:val="002C51EF"/>
    <w:rsid w:val="002E5438"/>
    <w:rsid w:val="002E6B31"/>
    <w:rsid w:val="002F1DED"/>
    <w:rsid w:val="002F26D8"/>
    <w:rsid w:val="0030658B"/>
    <w:rsid w:val="00310548"/>
    <w:rsid w:val="0031105D"/>
    <w:rsid w:val="00343251"/>
    <w:rsid w:val="00351B40"/>
    <w:rsid w:val="0035328C"/>
    <w:rsid w:val="00353A2C"/>
    <w:rsid w:val="0035467C"/>
    <w:rsid w:val="00357D58"/>
    <w:rsid w:val="003609C3"/>
    <w:rsid w:val="0038119A"/>
    <w:rsid w:val="00382374"/>
    <w:rsid w:val="00385E33"/>
    <w:rsid w:val="00387527"/>
    <w:rsid w:val="00392B2F"/>
    <w:rsid w:val="00393084"/>
    <w:rsid w:val="00394CEF"/>
    <w:rsid w:val="00395DB2"/>
    <w:rsid w:val="003A3B41"/>
    <w:rsid w:val="003B28BB"/>
    <w:rsid w:val="003B292A"/>
    <w:rsid w:val="003C1E9F"/>
    <w:rsid w:val="003C6E85"/>
    <w:rsid w:val="003D2F22"/>
    <w:rsid w:val="003D47DA"/>
    <w:rsid w:val="003E1BDC"/>
    <w:rsid w:val="003E7FE6"/>
    <w:rsid w:val="00400794"/>
    <w:rsid w:val="00413FAE"/>
    <w:rsid w:val="004238DA"/>
    <w:rsid w:val="004327C4"/>
    <w:rsid w:val="0043526A"/>
    <w:rsid w:val="0044132D"/>
    <w:rsid w:val="00443D09"/>
    <w:rsid w:val="00450CD8"/>
    <w:rsid w:val="00454953"/>
    <w:rsid w:val="00473A8D"/>
    <w:rsid w:val="00475D80"/>
    <w:rsid w:val="004822AA"/>
    <w:rsid w:val="0048525E"/>
    <w:rsid w:val="004858E1"/>
    <w:rsid w:val="00487DE7"/>
    <w:rsid w:val="00493496"/>
    <w:rsid w:val="004A01C0"/>
    <w:rsid w:val="004B14CC"/>
    <w:rsid w:val="004B218A"/>
    <w:rsid w:val="004C0E1B"/>
    <w:rsid w:val="004D034A"/>
    <w:rsid w:val="004D4AAF"/>
    <w:rsid w:val="004D61AA"/>
    <w:rsid w:val="004E0B48"/>
    <w:rsid w:val="004F7819"/>
    <w:rsid w:val="0052109E"/>
    <w:rsid w:val="005273B8"/>
    <w:rsid w:val="00536CE8"/>
    <w:rsid w:val="005376BF"/>
    <w:rsid w:val="00562888"/>
    <w:rsid w:val="00575B41"/>
    <w:rsid w:val="005812B6"/>
    <w:rsid w:val="0058159D"/>
    <w:rsid w:val="00584AA4"/>
    <w:rsid w:val="00587C5D"/>
    <w:rsid w:val="0059197A"/>
    <w:rsid w:val="005A3ADC"/>
    <w:rsid w:val="005A4027"/>
    <w:rsid w:val="005A6CFE"/>
    <w:rsid w:val="005B44AF"/>
    <w:rsid w:val="005B5845"/>
    <w:rsid w:val="005C3864"/>
    <w:rsid w:val="005C5D28"/>
    <w:rsid w:val="005C722D"/>
    <w:rsid w:val="005D2BFF"/>
    <w:rsid w:val="005D6FDB"/>
    <w:rsid w:val="005D76A0"/>
    <w:rsid w:val="005E0C92"/>
    <w:rsid w:val="005F18BF"/>
    <w:rsid w:val="005F6E14"/>
    <w:rsid w:val="005F7B28"/>
    <w:rsid w:val="00600884"/>
    <w:rsid w:val="00605C74"/>
    <w:rsid w:val="0062045A"/>
    <w:rsid w:val="006216AA"/>
    <w:rsid w:val="00627527"/>
    <w:rsid w:val="00641337"/>
    <w:rsid w:val="006419CF"/>
    <w:rsid w:val="00646910"/>
    <w:rsid w:val="00654CB2"/>
    <w:rsid w:val="00654F8C"/>
    <w:rsid w:val="006605F7"/>
    <w:rsid w:val="00671D30"/>
    <w:rsid w:val="00673E42"/>
    <w:rsid w:val="00673EC4"/>
    <w:rsid w:val="006912E8"/>
    <w:rsid w:val="00696B37"/>
    <w:rsid w:val="006A7453"/>
    <w:rsid w:val="006B666F"/>
    <w:rsid w:val="006C233E"/>
    <w:rsid w:val="006D19C0"/>
    <w:rsid w:val="006D2A0B"/>
    <w:rsid w:val="006D4CCE"/>
    <w:rsid w:val="006E32D0"/>
    <w:rsid w:val="006E6115"/>
    <w:rsid w:val="006F5367"/>
    <w:rsid w:val="006F70FF"/>
    <w:rsid w:val="006F76A3"/>
    <w:rsid w:val="00702CFB"/>
    <w:rsid w:val="00704628"/>
    <w:rsid w:val="00704DCB"/>
    <w:rsid w:val="0070546C"/>
    <w:rsid w:val="00706D86"/>
    <w:rsid w:val="007078E6"/>
    <w:rsid w:val="00714F90"/>
    <w:rsid w:val="00720D30"/>
    <w:rsid w:val="00724972"/>
    <w:rsid w:val="00733E4E"/>
    <w:rsid w:val="00742EDA"/>
    <w:rsid w:val="0074599C"/>
    <w:rsid w:val="00754419"/>
    <w:rsid w:val="0075590C"/>
    <w:rsid w:val="00755C23"/>
    <w:rsid w:val="00757325"/>
    <w:rsid w:val="00763766"/>
    <w:rsid w:val="00764C83"/>
    <w:rsid w:val="007674DF"/>
    <w:rsid w:val="007806C9"/>
    <w:rsid w:val="00784E5A"/>
    <w:rsid w:val="00790568"/>
    <w:rsid w:val="007C3B0E"/>
    <w:rsid w:val="007C7D92"/>
    <w:rsid w:val="007D16B2"/>
    <w:rsid w:val="007D5555"/>
    <w:rsid w:val="007E3D96"/>
    <w:rsid w:val="00803546"/>
    <w:rsid w:val="00816777"/>
    <w:rsid w:val="008301B6"/>
    <w:rsid w:val="008332EE"/>
    <w:rsid w:val="0084181D"/>
    <w:rsid w:val="00842F73"/>
    <w:rsid w:val="0084358F"/>
    <w:rsid w:val="00851679"/>
    <w:rsid w:val="00852B7D"/>
    <w:rsid w:val="00856F22"/>
    <w:rsid w:val="0087202E"/>
    <w:rsid w:val="00892A19"/>
    <w:rsid w:val="008977CD"/>
    <w:rsid w:val="008A49BF"/>
    <w:rsid w:val="008A4D92"/>
    <w:rsid w:val="008C2D27"/>
    <w:rsid w:val="008C4A71"/>
    <w:rsid w:val="008C5563"/>
    <w:rsid w:val="008C7E13"/>
    <w:rsid w:val="008E5ECC"/>
    <w:rsid w:val="008F2854"/>
    <w:rsid w:val="008F623D"/>
    <w:rsid w:val="0090103A"/>
    <w:rsid w:val="00922E00"/>
    <w:rsid w:val="009277DA"/>
    <w:rsid w:val="009321C7"/>
    <w:rsid w:val="00934788"/>
    <w:rsid w:val="00951896"/>
    <w:rsid w:val="00951974"/>
    <w:rsid w:val="0095696F"/>
    <w:rsid w:val="00970EA1"/>
    <w:rsid w:val="0097520D"/>
    <w:rsid w:val="00980352"/>
    <w:rsid w:val="00983ED0"/>
    <w:rsid w:val="00986791"/>
    <w:rsid w:val="00995261"/>
    <w:rsid w:val="009A0A5B"/>
    <w:rsid w:val="009A232E"/>
    <w:rsid w:val="009A6F6E"/>
    <w:rsid w:val="009D4CBE"/>
    <w:rsid w:val="009D5A3F"/>
    <w:rsid w:val="009E343E"/>
    <w:rsid w:val="009E4CE6"/>
    <w:rsid w:val="009E738F"/>
    <w:rsid w:val="009F04B1"/>
    <w:rsid w:val="009F08D8"/>
    <w:rsid w:val="009F1319"/>
    <w:rsid w:val="009F180A"/>
    <w:rsid w:val="009F2F29"/>
    <w:rsid w:val="009F3819"/>
    <w:rsid w:val="00A052BA"/>
    <w:rsid w:val="00A130FC"/>
    <w:rsid w:val="00A43B2C"/>
    <w:rsid w:val="00A462F4"/>
    <w:rsid w:val="00A544A4"/>
    <w:rsid w:val="00A61360"/>
    <w:rsid w:val="00A642B3"/>
    <w:rsid w:val="00A701EE"/>
    <w:rsid w:val="00A777FA"/>
    <w:rsid w:val="00A81B2C"/>
    <w:rsid w:val="00A84A11"/>
    <w:rsid w:val="00A856B2"/>
    <w:rsid w:val="00A86FA5"/>
    <w:rsid w:val="00A95B6C"/>
    <w:rsid w:val="00AA0EDF"/>
    <w:rsid w:val="00AA59E6"/>
    <w:rsid w:val="00AC09EB"/>
    <w:rsid w:val="00AC2BB1"/>
    <w:rsid w:val="00AD0FFC"/>
    <w:rsid w:val="00AE14CE"/>
    <w:rsid w:val="00AE2D2A"/>
    <w:rsid w:val="00AF257A"/>
    <w:rsid w:val="00AF3CFE"/>
    <w:rsid w:val="00B006BF"/>
    <w:rsid w:val="00B15D95"/>
    <w:rsid w:val="00B261BA"/>
    <w:rsid w:val="00B42B84"/>
    <w:rsid w:val="00B45DC3"/>
    <w:rsid w:val="00B508A7"/>
    <w:rsid w:val="00B50CD0"/>
    <w:rsid w:val="00B75982"/>
    <w:rsid w:val="00B77E9B"/>
    <w:rsid w:val="00B8653D"/>
    <w:rsid w:val="00B966D8"/>
    <w:rsid w:val="00BA296B"/>
    <w:rsid w:val="00BA47AB"/>
    <w:rsid w:val="00BA6883"/>
    <w:rsid w:val="00BC3C95"/>
    <w:rsid w:val="00BD1272"/>
    <w:rsid w:val="00BF1977"/>
    <w:rsid w:val="00C0233E"/>
    <w:rsid w:val="00C13E73"/>
    <w:rsid w:val="00C13F6D"/>
    <w:rsid w:val="00C1572E"/>
    <w:rsid w:val="00C161F4"/>
    <w:rsid w:val="00C1699B"/>
    <w:rsid w:val="00C228A6"/>
    <w:rsid w:val="00C24C58"/>
    <w:rsid w:val="00C300D0"/>
    <w:rsid w:val="00C3539D"/>
    <w:rsid w:val="00C41F9B"/>
    <w:rsid w:val="00C42292"/>
    <w:rsid w:val="00C47E71"/>
    <w:rsid w:val="00C50337"/>
    <w:rsid w:val="00C54D68"/>
    <w:rsid w:val="00C65690"/>
    <w:rsid w:val="00C677A0"/>
    <w:rsid w:val="00C8026E"/>
    <w:rsid w:val="00C80694"/>
    <w:rsid w:val="00C825FF"/>
    <w:rsid w:val="00C935EC"/>
    <w:rsid w:val="00CB021D"/>
    <w:rsid w:val="00CB35DD"/>
    <w:rsid w:val="00CB3707"/>
    <w:rsid w:val="00CB4B0B"/>
    <w:rsid w:val="00CB67BD"/>
    <w:rsid w:val="00CC0A26"/>
    <w:rsid w:val="00CC4A92"/>
    <w:rsid w:val="00CC5132"/>
    <w:rsid w:val="00CD7CBA"/>
    <w:rsid w:val="00CE55F8"/>
    <w:rsid w:val="00CF5326"/>
    <w:rsid w:val="00D00AAE"/>
    <w:rsid w:val="00D020C2"/>
    <w:rsid w:val="00D0721A"/>
    <w:rsid w:val="00D14855"/>
    <w:rsid w:val="00D1499F"/>
    <w:rsid w:val="00D22C1D"/>
    <w:rsid w:val="00D253A9"/>
    <w:rsid w:val="00D301A6"/>
    <w:rsid w:val="00D334B7"/>
    <w:rsid w:val="00D43526"/>
    <w:rsid w:val="00D43697"/>
    <w:rsid w:val="00D530DD"/>
    <w:rsid w:val="00D57CAF"/>
    <w:rsid w:val="00D6291A"/>
    <w:rsid w:val="00D64CD4"/>
    <w:rsid w:val="00D658AE"/>
    <w:rsid w:val="00D736AD"/>
    <w:rsid w:val="00D80293"/>
    <w:rsid w:val="00D83031"/>
    <w:rsid w:val="00D97A71"/>
    <w:rsid w:val="00DA3A0E"/>
    <w:rsid w:val="00DA4721"/>
    <w:rsid w:val="00DB4869"/>
    <w:rsid w:val="00DC3590"/>
    <w:rsid w:val="00DD06AA"/>
    <w:rsid w:val="00DD394D"/>
    <w:rsid w:val="00DE5149"/>
    <w:rsid w:val="00DE533E"/>
    <w:rsid w:val="00E174FD"/>
    <w:rsid w:val="00E22C78"/>
    <w:rsid w:val="00E34F66"/>
    <w:rsid w:val="00E42C04"/>
    <w:rsid w:val="00E467E2"/>
    <w:rsid w:val="00E54EC2"/>
    <w:rsid w:val="00E64375"/>
    <w:rsid w:val="00E74EAA"/>
    <w:rsid w:val="00E86034"/>
    <w:rsid w:val="00EB7699"/>
    <w:rsid w:val="00EC7C98"/>
    <w:rsid w:val="00ED23FD"/>
    <w:rsid w:val="00EE04F0"/>
    <w:rsid w:val="00EE1B79"/>
    <w:rsid w:val="00EF3E5A"/>
    <w:rsid w:val="00F07B80"/>
    <w:rsid w:val="00F15E36"/>
    <w:rsid w:val="00F209B1"/>
    <w:rsid w:val="00F211CF"/>
    <w:rsid w:val="00F23513"/>
    <w:rsid w:val="00F33E10"/>
    <w:rsid w:val="00F404F6"/>
    <w:rsid w:val="00F443A2"/>
    <w:rsid w:val="00F5244F"/>
    <w:rsid w:val="00F75A97"/>
    <w:rsid w:val="00F775B3"/>
    <w:rsid w:val="00F84D39"/>
    <w:rsid w:val="00FA4237"/>
    <w:rsid w:val="00FA6EFD"/>
    <w:rsid w:val="00FB018C"/>
    <w:rsid w:val="00FB0A52"/>
    <w:rsid w:val="00FB12F0"/>
    <w:rsid w:val="00FC0C98"/>
    <w:rsid w:val="00FD075E"/>
    <w:rsid w:val="00FD1E4C"/>
    <w:rsid w:val="00FD48F2"/>
    <w:rsid w:val="00FE1EF9"/>
    <w:rsid w:val="00FE2144"/>
    <w:rsid w:val="00FE2F28"/>
    <w:rsid w:val="00FE3CE4"/>
    <w:rsid w:val="00FE6329"/>
    <w:rsid w:val="00FF0659"/>
    <w:rsid w:val="5CF74A6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1"/>
    <w:semiHidden/>
    <w:unhideWhenUsed/>
    <w:qFormat/>
    <w:uiPriority w:val="99"/>
    <w:pPr>
      <w:ind w:left="100" w:leftChars="2500"/>
    </w:pPr>
  </w:style>
  <w:style w:type="paragraph" w:styleId="3">
    <w:name w:val="Balloon Text"/>
    <w:basedOn w:val="1"/>
    <w:link w:val="10"/>
    <w:semiHidden/>
    <w:unhideWhenUsed/>
    <w:qFormat/>
    <w:uiPriority w:val="99"/>
    <w:rPr>
      <w:sz w:val="18"/>
      <w:szCs w:val="18"/>
    </w:rPr>
  </w:style>
  <w:style w:type="paragraph" w:styleId="4">
    <w:name w:val="footer"/>
    <w:basedOn w:val="1"/>
    <w:link w:val="9"/>
    <w:semiHidden/>
    <w:unhideWhenUsed/>
    <w:qFormat/>
    <w:uiPriority w:val="99"/>
    <w:pPr>
      <w:tabs>
        <w:tab w:val="center" w:pos="4153"/>
        <w:tab w:val="right" w:pos="8306"/>
      </w:tabs>
      <w:snapToGrid w:val="0"/>
      <w:jc w:val="left"/>
    </w:pPr>
    <w:rPr>
      <w:sz w:val="18"/>
      <w:szCs w:val="18"/>
    </w:rPr>
  </w:style>
  <w:style w:type="paragraph" w:styleId="5">
    <w:name w:val="header"/>
    <w:basedOn w:val="1"/>
    <w:link w:val="8"/>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semiHidden/>
    <w:qFormat/>
    <w:uiPriority w:val="99"/>
    <w:rPr>
      <w:sz w:val="18"/>
      <w:szCs w:val="18"/>
    </w:rPr>
  </w:style>
  <w:style w:type="character" w:customStyle="1" w:styleId="9">
    <w:name w:val="页脚 Char"/>
    <w:basedOn w:val="7"/>
    <w:link w:val="4"/>
    <w:semiHidden/>
    <w:qFormat/>
    <w:uiPriority w:val="99"/>
    <w:rPr>
      <w:sz w:val="18"/>
      <w:szCs w:val="18"/>
    </w:rPr>
  </w:style>
  <w:style w:type="character" w:customStyle="1" w:styleId="10">
    <w:name w:val="批注框文本 Char"/>
    <w:basedOn w:val="7"/>
    <w:link w:val="3"/>
    <w:semiHidden/>
    <w:qFormat/>
    <w:uiPriority w:val="99"/>
    <w:rPr>
      <w:sz w:val="18"/>
      <w:szCs w:val="18"/>
    </w:rPr>
  </w:style>
  <w:style w:type="character" w:customStyle="1" w:styleId="11">
    <w:name w:val="日期 Char"/>
    <w:basedOn w:val="7"/>
    <w:link w:val="2"/>
    <w:semiHidden/>
    <w:qFormat/>
    <w:uiPriority w:val="99"/>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358A778-6E59-4B37-955D-5F4079117218}">
  <ds:schemaRefs/>
</ds:datastoreItem>
</file>

<file path=docProps/app.xml><?xml version="1.0" encoding="utf-8"?>
<Properties xmlns="http://schemas.openxmlformats.org/officeDocument/2006/extended-properties" xmlns:vt="http://schemas.openxmlformats.org/officeDocument/2006/docPropsVTypes">
  <Template>Normal</Template>
  <Company>CGS</Company>
  <Pages>5</Pages>
  <Words>2468</Words>
  <Characters>2734</Characters>
  <Lines>19</Lines>
  <Paragraphs>5</Paragraphs>
  <TotalTime>237</TotalTime>
  <ScaleCrop>false</ScaleCrop>
  <LinksUpToDate>false</LinksUpToDate>
  <CharactersWithSpaces>2774</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2025-09-02T06:35:00Z</dcterms:created>
  <dc:creator>Administrator</dc:creator>
  <cp:lastModifiedBy>丫丫</cp:lastModifiedBy>
  <cp:lastPrinted>2025-06-24T02:27:00Z</cp:lastPrinted>
  <dcterms:modified xsi:type="dcterms:W3CDTF">2025-10-20T08:07:05Z</dcterms:modified>
  <cp:revision>155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eyJoZGlkIjoiZGJkMWQzMzYxYzFiYzk5NDMwZjgyNDU3ZDdiM2NhNDYiLCJ1c2VySWQiOiI2ODMzNDIzODUifQ==</vt:lpwstr>
  </property>
  <property fmtid="{D5CDD505-2E9C-101B-9397-08002B2CF9AE}" pid="3" name="KSOProductBuildVer">
    <vt:lpwstr>2052-12.1.0.22529</vt:lpwstr>
  </property>
  <property fmtid="{D5CDD505-2E9C-101B-9397-08002B2CF9AE}" pid="4" name="ICV">
    <vt:lpwstr>B5B0A8F289C04A27AD276B264FD7C31F_13</vt:lpwstr>
  </property>
</Properties>
</file>