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24772">
      <w:pPr>
        <w:jc w:val="center"/>
        <w:rPr>
          <w:rFonts w:ascii="宋体" w:hAnsi="宋体" w:eastAsia="宋体"/>
          <w:sz w:val="84"/>
          <w:szCs w:val="84"/>
        </w:rPr>
      </w:pPr>
      <w:r>
        <w:rPr>
          <w:rFonts w:hint="eastAsia" w:ascii="宋体" w:hAnsi="宋体" w:eastAsia="宋体"/>
          <w:spacing w:val="60"/>
          <w:kern w:val="0"/>
          <w:sz w:val="84"/>
          <w:szCs w:val="84"/>
          <w:lang w:val="en-US" w:eastAsia="zh-CN"/>
        </w:rPr>
        <w:t>招标采购</w:t>
      </w:r>
      <w:r>
        <w:rPr>
          <w:rFonts w:ascii="宋体" w:hAnsi="宋体" w:eastAsia="宋体"/>
          <w:spacing w:val="60"/>
          <w:kern w:val="0"/>
          <w:sz w:val="84"/>
          <w:szCs w:val="84"/>
        </w:rPr>
        <w:t>文件</w:t>
      </w:r>
    </w:p>
    <w:p w14:paraId="4A652D59">
      <w:pPr>
        <w:adjustRightInd w:val="0"/>
        <w:spacing w:line="360" w:lineRule="auto"/>
        <w:ind w:right="69" w:rightChars="33" w:firstLine="1446" w:firstLineChars="400"/>
        <w:rPr>
          <w:rFonts w:ascii="宋体" w:hAnsi="宋体" w:eastAsia="宋体" w:cs="宋体"/>
          <w:b/>
          <w:bCs/>
          <w:sz w:val="36"/>
          <w:szCs w:val="36"/>
        </w:rPr>
      </w:pPr>
    </w:p>
    <w:p w14:paraId="2ADACF98">
      <w:pPr>
        <w:adjustRightInd w:val="0"/>
        <w:spacing w:line="360" w:lineRule="auto"/>
        <w:ind w:right="69" w:rightChars="33"/>
        <w:rPr>
          <w:rFonts w:ascii="宋体" w:hAnsi="宋体" w:eastAsia="宋体" w:cs="宋体"/>
          <w:b/>
          <w:bCs/>
          <w:sz w:val="36"/>
          <w:szCs w:val="36"/>
        </w:rPr>
      </w:pPr>
    </w:p>
    <w:p w14:paraId="556D459A">
      <w:pPr>
        <w:adjustRightInd w:val="0"/>
        <w:spacing w:line="360" w:lineRule="auto"/>
        <w:ind w:right="69" w:rightChars="33"/>
        <w:rPr>
          <w:rFonts w:ascii="宋体" w:hAnsi="宋体" w:eastAsia="宋体" w:cs="宋体"/>
          <w:b/>
          <w:bCs/>
          <w:sz w:val="36"/>
          <w:szCs w:val="36"/>
        </w:rPr>
      </w:pPr>
    </w:p>
    <w:p w14:paraId="11301E0C">
      <w:pPr>
        <w:adjustRightInd w:val="0"/>
        <w:spacing w:line="360" w:lineRule="auto"/>
        <w:ind w:right="69" w:rightChars="33"/>
        <w:rPr>
          <w:rFonts w:hint="eastAsia" w:ascii="宋体" w:hAnsi="宋体" w:eastAsia="宋体" w:cs="宋体"/>
          <w:b/>
          <w:bCs/>
          <w:sz w:val="36"/>
          <w:szCs w:val="36"/>
        </w:rPr>
      </w:pPr>
      <w:r>
        <w:rPr>
          <w:rFonts w:ascii="宋体" w:hAnsi="宋体" w:eastAsia="宋体" w:cs="宋体"/>
          <w:b/>
          <w:bCs/>
          <w:sz w:val="36"/>
          <w:szCs w:val="36"/>
        </w:rPr>
        <w:t>采购项目编号</w:t>
      </w:r>
      <w:r>
        <w:rPr>
          <w:rFonts w:hint="eastAsia" w:ascii="宋体" w:hAnsi="宋体" w:eastAsia="宋体" w:cs="宋体"/>
          <w:b/>
          <w:bCs/>
          <w:sz w:val="36"/>
          <w:szCs w:val="36"/>
        </w:rPr>
        <w:t>：</w:t>
      </w:r>
    </w:p>
    <w:p w14:paraId="7E08FAC7">
      <w:pPr>
        <w:adjustRightInd w:val="0"/>
        <w:spacing w:line="360" w:lineRule="auto"/>
        <w:ind w:right="69" w:rightChars="33"/>
        <w:rPr>
          <w:rFonts w:hint="eastAsia" w:ascii="宋体" w:hAnsi="宋体" w:eastAsia="宋体" w:cs="宋体"/>
          <w:b/>
          <w:bCs/>
          <w:sz w:val="36"/>
          <w:szCs w:val="36"/>
        </w:rPr>
      </w:pPr>
      <w:r>
        <w:rPr>
          <w:rFonts w:ascii="宋体" w:hAnsi="宋体" w:eastAsia="宋体" w:cs="宋体"/>
          <w:b/>
          <w:bCs/>
          <w:sz w:val="36"/>
          <w:szCs w:val="36"/>
        </w:rPr>
        <w:t>采购项目名称</w:t>
      </w:r>
      <w:r>
        <w:rPr>
          <w:rFonts w:hint="eastAsia" w:ascii="宋体" w:hAnsi="宋体" w:eastAsia="宋体" w:cs="宋体"/>
          <w:b/>
          <w:bCs/>
          <w:sz w:val="36"/>
          <w:szCs w:val="36"/>
        </w:rPr>
        <w:t>：</w:t>
      </w:r>
      <w:r>
        <w:rPr>
          <w:rFonts w:hint="eastAsia" w:ascii="宋体" w:hAnsi="宋体" w:eastAsia="宋体" w:cs="宋体"/>
          <w:b/>
          <w:bCs/>
          <w:sz w:val="36"/>
          <w:szCs w:val="36"/>
          <w:lang w:eastAsia="zh-CN"/>
        </w:rPr>
        <w:t>新阳光食品城</w:t>
      </w:r>
      <w:r>
        <w:rPr>
          <w:rFonts w:hint="eastAsia" w:ascii="宋体" w:hAnsi="宋体" w:eastAsia="宋体" w:cs="宋体"/>
          <w:b/>
          <w:bCs/>
          <w:sz w:val="36"/>
          <w:szCs w:val="36"/>
          <w:lang w:val="en-US" w:eastAsia="zh-CN"/>
        </w:rPr>
        <w:t>违法建设</w:t>
      </w:r>
      <w:r>
        <w:rPr>
          <w:rFonts w:hint="eastAsia" w:ascii="宋体" w:hAnsi="宋体" w:eastAsia="宋体" w:cs="宋体"/>
          <w:b/>
          <w:bCs/>
          <w:sz w:val="36"/>
          <w:szCs w:val="36"/>
        </w:rPr>
        <w:t>拆除工程</w:t>
      </w:r>
    </w:p>
    <w:p w14:paraId="413FC5D1">
      <w:pPr>
        <w:adjustRightInd w:val="0"/>
        <w:spacing w:line="360" w:lineRule="auto"/>
        <w:ind w:right="69" w:rightChars="33"/>
        <w:rPr>
          <w:rFonts w:hint="eastAsia" w:ascii="宋体" w:hAnsi="宋体" w:eastAsia="宋体" w:cs="宋体"/>
          <w:b/>
          <w:bCs/>
          <w:sz w:val="36"/>
          <w:szCs w:val="36"/>
          <w:lang w:eastAsia="zh-CN"/>
        </w:rPr>
      </w:pPr>
      <w:r>
        <w:rPr>
          <w:rFonts w:ascii="宋体" w:hAnsi="宋体" w:eastAsia="宋体" w:cs="宋体"/>
          <w:b/>
          <w:bCs/>
          <w:sz w:val="36"/>
          <w:szCs w:val="36"/>
        </w:rPr>
        <w:t>采购</w:t>
      </w:r>
      <w:r>
        <w:rPr>
          <w:rFonts w:hint="eastAsia" w:ascii="宋体" w:hAnsi="宋体" w:eastAsia="宋体" w:cs="宋体"/>
          <w:b/>
          <w:bCs/>
          <w:sz w:val="36"/>
          <w:szCs w:val="36"/>
        </w:rPr>
        <w:t>单位名</w:t>
      </w:r>
      <w:r>
        <w:rPr>
          <w:rFonts w:ascii="宋体" w:hAnsi="宋体" w:eastAsia="宋体" w:cs="宋体"/>
          <w:b/>
          <w:bCs/>
          <w:sz w:val="36"/>
          <w:szCs w:val="36"/>
        </w:rPr>
        <w:t>称</w:t>
      </w:r>
      <w:r>
        <w:rPr>
          <w:rFonts w:hint="eastAsia" w:ascii="宋体" w:hAnsi="宋体" w:eastAsia="宋体" w:cs="宋体"/>
          <w:b/>
          <w:bCs/>
          <w:sz w:val="36"/>
          <w:szCs w:val="36"/>
        </w:rPr>
        <w:t>：常州市城市管理</w:t>
      </w:r>
      <w:r>
        <w:rPr>
          <w:rFonts w:hint="eastAsia" w:ascii="宋体" w:hAnsi="宋体" w:eastAsia="宋体" w:cs="宋体"/>
          <w:b/>
          <w:bCs/>
          <w:sz w:val="36"/>
          <w:szCs w:val="36"/>
          <w:lang w:eastAsia="zh-CN"/>
        </w:rPr>
        <w:t>综合行政执法监督局</w:t>
      </w:r>
    </w:p>
    <w:p w14:paraId="64D7837B">
      <w:pPr>
        <w:adjustRightInd w:val="0"/>
        <w:spacing w:line="360" w:lineRule="auto"/>
        <w:ind w:right="69" w:rightChars="33"/>
        <w:rPr>
          <w:rFonts w:hint="eastAsia" w:ascii="宋体" w:hAnsi="宋体" w:eastAsia="宋体" w:cs="宋体"/>
          <w:b/>
          <w:bCs/>
          <w:sz w:val="36"/>
          <w:szCs w:val="36"/>
        </w:rPr>
      </w:pPr>
    </w:p>
    <w:p w14:paraId="378B3DDB">
      <w:pPr>
        <w:pStyle w:val="2"/>
        <w:rPr>
          <w:rFonts w:hint="eastAsia" w:ascii="宋体" w:hAnsi="宋体" w:eastAsia="宋体" w:cs="宋体"/>
          <w:b/>
          <w:bCs/>
          <w:sz w:val="36"/>
          <w:szCs w:val="36"/>
        </w:rPr>
      </w:pPr>
    </w:p>
    <w:p w14:paraId="00887CD4">
      <w:pPr>
        <w:pStyle w:val="2"/>
        <w:rPr>
          <w:rFonts w:hint="eastAsia" w:ascii="宋体" w:hAnsi="宋体" w:eastAsia="宋体" w:cs="宋体"/>
          <w:b/>
          <w:bCs/>
          <w:sz w:val="36"/>
          <w:szCs w:val="36"/>
        </w:rPr>
      </w:pPr>
    </w:p>
    <w:p w14:paraId="02051671">
      <w:pPr>
        <w:pStyle w:val="2"/>
        <w:rPr>
          <w:rFonts w:hint="eastAsia" w:ascii="宋体" w:hAnsi="宋体" w:eastAsia="宋体" w:cs="宋体"/>
          <w:b/>
          <w:bCs/>
          <w:sz w:val="36"/>
          <w:szCs w:val="36"/>
        </w:rPr>
      </w:pPr>
    </w:p>
    <w:p w14:paraId="74911CFA">
      <w:pPr>
        <w:pStyle w:val="2"/>
        <w:rPr>
          <w:rFonts w:hint="eastAsia" w:ascii="宋体" w:hAnsi="宋体" w:eastAsia="宋体" w:cs="宋体"/>
          <w:b/>
          <w:bCs/>
          <w:sz w:val="36"/>
          <w:szCs w:val="36"/>
        </w:rPr>
      </w:pPr>
    </w:p>
    <w:p w14:paraId="15E50184">
      <w:pPr>
        <w:pStyle w:val="2"/>
        <w:rPr>
          <w:rFonts w:hint="eastAsia" w:ascii="宋体" w:hAnsi="宋体" w:eastAsia="宋体" w:cs="宋体"/>
          <w:b/>
          <w:bCs/>
          <w:sz w:val="36"/>
          <w:szCs w:val="36"/>
        </w:rPr>
      </w:pPr>
    </w:p>
    <w:p w14:paraId="3C295EBE">
      <w:pPr>
        <w:pStyle w:val="2"/>
        <w:rPr>
          <w:rFonts w:hint="eastAsia" w:ascii="宋体" w:hAnsi="宋体" w:eastAsia="宋体" w:cs="宋体"/>
          <w:b/>
          <w:bCs/>
          <w:sz w:val="36"/>
          <w:szCs w:val="36"/>
        </w:rPr>
      </w:pPr>
    </w:p>
    <w:p w14:paraId="0E945B6F">
      <w:pPr>
        <w:pStyle w:val="2"/>
        <w:rPr>
          <w:rFonts w:hint="eastAsia" w:ascii="宋体" w:hAnsi="宋体" w:eastAsia="宋体" w:cs="宋体"/>
          <w:b/>
          <w:bCs/>
          <w:sz w:val="36"/>
          <w:szCs w:val="36"/>
        </w:rPr>
      </w:pPr>
    </w:p>
    <w:p w14:paraId="23BF6431">
      <w:pPr>
        <w:pStyle w:val="2"/>
        <w:rPr>
          <w:rFonts w:hint="eastAsia" w:ascii="宋体" w:hAnsi="宋体" w:eastAsia="宋体" w:cs="宋体"/>
          <w:b/>
          <w:bCs/>
          <w:sz w:val="36"/>
          <w:szCs w:val="36"/>
        </w:rPr>
      </w:pPr>
    </w:p>
    <w:p w14:paraId="74A251FC">
      <w:pPr>
        <w:pStyle w:val="2"/>
        <w:ind w:left="0" w:leftChars="0" w:firstLine="0" w:firstLineChars="0"/>
        <w:rPr>
          <w:rFonts w:hint="eastAsia" w:ascii="宋体" w:hAnsi="宋体" w:eastAsia="宋体" w:cs="宋体"/>
          <w:b/>
          <w:bCs/>
          <w:sz w:val="36"/>
          <w:szCs w:val="36"/>
        </w:rPr>
      </w:pPr>
    </w:p>
    <w:p w14:paraId="1E5FFBBA">
      <w:pPr>
        <w:adjustRightInd w:val="0"/>
        <w:spacing w:line="360" w:lineRule="auto"/>
        <w:ind w:right="69" w:rightChars="33"/>
        <w:jc w:val="center"/>
        <w:rPr>
          <w:rFonts w:hint="eastAsia" w:ascii="宋体" w:hAnsi="宋体" w:eastAsia="宋体" w:cs="宋体"/>
          <w:b/>
          <w:bCs/>
          <w:sz w:val="36"/>
          <w:szCs w:val="36"/>
          <w:lang w:eastAsia="zh-CN"/>
        </w:rPr>
      </w:pPr>
      <w:r>
        <w:rPr>
          <w:rFonts w:hint="eastAsia" w:ascii="宋体" w:hAnsi="宋体" w:eastAsia="宋体" w:cs="宋体"/>
          <w:b/>
          <w:bCs/>
          <w:sz w:val="36"/>
          <w:szCs w:val="36"/>
        </w:rPr>
        <w:t>常州市城市管理</w:t>
      </w:r>
      <w:r>
        <w:rPr>
          <w:rFonts w:hint="eastAsia" w:ascii="宋体" w:hAnsi="宋体" w:eastAsia="宋体" w:cs="宋体"/>
          <w:b/>
          <w:bCs/>
          <w:sz w:val="36"/>
          <w:szCs w:val="36"/>
          <w:lang w:eastAsia="zh-CN"/>
        </w:rPr>
        <w:t>综合行政执法监督局</w:t>
      </w:r>
    </w:p>
    <w:p w14:paraId="7A2EC087">
      <w:pPr>
        <w:adjustRightInd w:val="0"/>
        <w:spacing w:line="360" w:lineRule="auto"/>
        <w:ind w:right="69" w:rightChars="33"/>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二〇二五年九月</w:t>
      </w:r>
    </w:p>
    <w:p w14:paraId="54BCB82A">
      <w:pPr>
        <w:spacing w:before="312" w:beforeLines="100" w:after="624" w:afterLines="200"/>
        <w:jc w:val="center"/>
        <w:rPr>
          <w:rFonts w:hint="eastAsia" w:ascii="宋体" w:hAnsi="宋体" w:eastAsia="宋体"/>
          <w:b/>
          <w:spacing w:val="261"/>
          <w:kern w:val="0"/>
          <w:sz w:val="52"/>
          <w:szCs w:val="52"/>
        </w:rPr>
        <w:sectPr>
          <w:pgSz w:w="11906" w:h="16838"/>
          <w:pgMar w:top="1440" w:right="1800" w:bottom="1440" w:left="1800" w:header="851" w:footer="992" w:gutter="0"/>
          <w:cols w:space="425" w:num="1"/>
          <w:docGrid w:type="lines" w:linePitch="312" w:charSpace="0"/>
        </w:sectPr>
      </w:pPr>
    </w:p>
    <w:p w14:paraId="622886EA">
      <w:pPr>
        <w:spacing w:before="312" w:beforeLines="100" w:after="624" w:afterLines="200"/>
        <w:jc w:val="center"/>
        <w:rPr>
          <w:rFonts w:eastAsiaTheme="minorEastAsia"/>
          <w:b w:val="0"/>
          <w:bCs w:val="0"/>
          <w:caps w:val="0"/>
          <w:sz w:val="24"/>
          <w:szCs w:val="24"/>
        </w:rPr>
      </w:pPr>
      <w:r>
        <w:rPr>
          <w:rFonts w:hint="eastAsia" w:ascii="宋体" w:hAnsi="宋体" w:eastAsia="宋体"/>
          <w:b/>
          <w:spacing w:val="261"/>
          <w:kern w:val="0"/>
          <w:sz w:val="52"/>
          <w:szCs w:val="52"/>
        </w:rPr>
        <w:t>目</w:t>
      </w:r>
      <w:r>
        <w:rPr>
          <w:rFonts w:hint="eastAsia" w:ascii="宋体" w:hAnsi="宋体" w:eastAsia="宋体"/>
          <w:b/>
          <w:kern w:val="0"/>
          <w:sz w:val="52"/>
          <w:szCs w:val="52"/>
        </w:rPr>
        <w:t>录</w:t>
      </w:r>
      <w:r>
        <w:rPr>
          <w:rFonts w:hint="eastAsia" w:ascii="宋体" w:hAnsi="宋体" w:eastAsia="宋体" w:cs="宋体"/>
          <w:b w:val="0"/>
          <w:bCs w:val="0"/>
          <w:sz w:val="24"/>
          <w:szCs w:val="24"/>
        </w:rPr>
        <w:fldChar w:fldCharType="begin"/>
      </w:r>
      <w:r>
        <w:rPr>
          <w:rFonts w:hint="eastAsia" w:ascii="宋体" w:hAnsi="宋体" w:eastAsia="宋体" w:cs="宋体"/>
          <w:b w:val="0"/>
          <w:bCs w:val="0"/>
          <w:sz w:val="24"/>
          <w:szCs w:val="24"/>
        </w:rPr>
        <w:instrText xml:space="preserve"> TOC \o "1-1" \u </w:instrText>
      </w:r>
      <w:r>
        <w:rPr>
          <w:rFonts w:hint="eastAsia" w:ascii="宋体" w:hAnsi="宋体" w:eastAsia="宋体" w:cs="宋体"/>
          <w:b w:val="0"/>
          <w:bCs w:val="0"/>
          <w:sz w:val="24"/>
          <w:szCs w:val="24"/>
        </w:rPr>
        <w:fldChar w:fldCharType="separate"/>
      </w:r>
    </w:p>
    <w:p w14:paraId="2D5609ED">
      <w:pPr>
        <w:pStyle w:val="5"/>
        <w:keepNext w:val="0"/>
        <w:keepLines w:val="0"/>
        <w:pageBreakBefore w:val="0"/>
        <w:widowControl w:val="0"/>
        <w:tabs>
          <w:tab w:val="left" w:pos="840"/>
          <w:tab w:val="right" w:leader="hyphen" w:pos="8850"/>
        </w:tabs>
        <w:kinsoku/>
        <w:wordWrap/>
        <w:overflowPunct/>
        <w:topLinePunct w:val="0"/>
        <w:autoSpaceDE/>
        <w:autoSpaceDN/>
        <w:bidi w:val="0"/>
        <w:adjustRightInd/>
        <w:snapToGrid/>
        <w:spacing w:line="1000" w:lineRule="exact"/>
        <w:textAlignment w:val="auto"/>
        <w:rPr>
          <w:rFonts w:hint="eastAsia" w:asciiTheme="minorEastAsia" w:hAnsiTheme="minorEastAsia" w:eastAsiaTheme="minorEastAsia" w:cstheme="minorEastAsia"/>
          <w:b w:val="0"/>
          <w:bCs w:val="0"/>
          <w:caps w:val="0"/>
          <w:sz w:val="24"/>
          <w:szCs w:val="24"/>
          <w:lang w:eastAsia="zh-CN"/>
        </w:rPr>
      </w:pPr>
      <w:r>
        <w:rPr>
          <w:rFonts w:hint="eastAsia" w:asciiTheme="minorEastAsia" w:hAnsiTheme="minorEastAsia" w:eastAsiaTheme="minorEastAsia" w:cstheme="minorEastAsia"/>
          <w:sz w:val="24"/>
          <w:szCs w:val="24"/>
        </w:rPr>
        <w:t>第一章</w:t>
      </w:r>
      <w:r>
        <w:rPr>
          <w:rFonts w:hint="eastAsia" w:asciiTheme="minorEastAsia" w:hAnsiTheme="minorEastAsia" w:eastAsiaTheme="minorEastAsia" w:cstheme="minorEastAsia"/>
          <w:b w:val="0"/>
          <w:bCs w:val="0"/>
          <w:caps w:val="0"/>
          <w:sz w:val="24"/>
          <w:szCs w:val="24"/>
        </w:rPr>
        <w:tab/>
      </w:r>
      <w:r>
        <w:rPr>
          <w:rFonts w:hint="eastAsia" w:asciiTheme="minorEastAsia" w:hAnsiTheme="minorEastAsia" w:eastAsiaTheme="minorEastAsia" w:cstheme="minorEastAsia"/>
          <w:sz w:val="24"/>
          <w:szCs w:val="24"/>
        </w:rPr>
        <w:t>总 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4</w:t>
      </w:r>
    </w:p>
    <w:p w14:paraId="205FF066">
      <w:pPr>
        <w:pStyle w:val="5"/>
        <w:keepNext w:val="0"/>
        <w:keepLines w:val="0"/>
        <w:pageBreakBefore w:val="0"/>
        <w:widowControl w:val="0"/>
        <w:tabs>
          <w:tab w:val="left" w:pos="840"/>
          <w:tab w:val="right" w:leader="hyphen" w:pos="8850"/>
        </w:tabs>
        <w:kinsoku/>
        <w:wordWrap/>
        <w:overflowPunct/>
        <w:topLinePunct w:val="0"/>
        <w:autoSpaceDE/>
        <w:autoSpaceDN/>
        <w:bidi w:val="0"/>
        <w:adjustRightInd/>
        <w:snapToGrid/>
        <w:spacing w:line="1000" w:lineRule="exact"/>
        <w:textAlignment w:val="auto"/>
        <w:rPr>
          <w:rFonts w:hint="default" w:asciiTheme="minorEastAsia" w:hAnsiTheme="minorEastAsia" w:eastAsiaTheme="minorEastAsia" w:cstheme="minorEastAsia"/>
          <w:b w:val="0"/>
          <w:bCs w:val="0"/>
          <w:caps w:val="0"/>
          <w:sz w:val="24"/>
          <w:szCs w:val="24"/>
          <w:lang w:val="en-US" w:eastAsia="zh-CN"/>
        </w:rPr>
      </w:pPr>
      <w:r>
        <w:rPr>
          <w:rFonts w:hint="eastAsia" w:asciiTheme="minorEastAsia" w:hAnsiTheme="minorEastAsia" w:eastAsiaTheme="minorEastAsia" w:cstheme="minorEastAsia"/>
          <w:sz w:val="24"/>
          <w:szCs w:val="24"/>
        </w:rPr>
        <w:t>第二章</w:t>
      </w:r>
      <w:r>
        <w:rPr>
          <w:rFonts w:hint="eastAsia" w:asciiTheme="minorEastAsia" w:hAnsiTheme="minorEastAsia" w:eastAsiaTheme="minorEastAsia" w:cstheme="minorEastAsia"/>
          <w:b w:val="0"/>
          <w:bCs w:val="0"/>
          <w:caps w:val="0"/>
          <w:sz w:val="24"/>
          <w:szCs w:val="24"/>
        </w:rPr>
        <w:tab/>
      </w:r>
      <w:r>
        <w:rPr>
          <w:rFonts w:hint="eastAsia" w:asciiTheme="minorEastAsia" w:hAnsiTheme="minorEastAsia" w:eastAsiaTheme="minorEastAsia" w:cstheme="minorEastAsia"/>
          <w:sz w:val="24"/>
          <w:szCs w:val="24"/>
        </w:rPr>
        <w:t>响应文件的组成</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18</w:t>
      </w:r>
    </w:p>
    <w:p w14:paraId="7D2B43B1">
      <w:pPr>
        <w:pStyle w:val="5"/>
        <w:keepNext w:val="0"/>
        <w:keepLines w:val="0"/>
        <w:pageBreakBefore w:val="0"/>
        <w:widowControl w:val="0"/>
        <w:tabs>
          <w:tab w:val="left" w:pos="840"/>
          <w:tab w:val="right" w:leader="hyphen" w:pos="8850"/>
        </w:tabs>
        <w:kinsoku/>
        <w:wordWrap/>
        <w:overflowPunct/>
        <w:topLinePunct w:val="0"/>
        <w:autoSpaceDE/>
        <w:autoSpaceDN/>
        <w:bidi w:val="0"/>
        <w:adjustRightInd/>
        <w:snapToGrid/>
        <w:spacing w:line="1000" w:lineRule="exact"/>
        <w:textAlignment w:val="auto"/>
        <w:rPr>
          <w:rFonts w:hint="default" w:asciiTheme="minorEastAsia" w:hAnsiTheme="minorEastAsia" w:eastAsiaTheme="minorEastAsia" w:cstheme="minorEastAsia"/>
          <w:b w:val="0"/>
          <w:bCs w:val="0"/>
          <w:caps w:val="0"/>
          <w:sz w:val="24"/>
          <w:szCs w:val="24"/>
          <w:lang w:val="en-US" w:eastAsia="zh-CN"/>
        </w:rPr>
      </w:pPr>
      <w:r>
        <w:rPr>
          <w:rFonts w:hint="eastAsia" w:asciiTheme="minorEastAsia" w:hAnsiTheme="minorEastAsia" w:eastAsiaTheme="minorEastAsia" w:cstheme="minorEastAsia"/>
          <w:sz w:val="24"/>
          <w:szCs w:val="24"/>
        </w:rPr>
        <w:t>第三章</w:t>
      </w:r>
      <w:r>
        <w:rPr>
          <w:rFonts w:hint="eastAsia" w:asciiTheme="minorEastAsia" w:hAnsiTheme="minorEastAsia" w:eastAsiaTheme="minorEastAsia" w:cstheme="minorEastAsia"/>
          <w:b w:val="0"/>
          <w:bCs w:val="0"/>
          <w:caps w:val="0"/>
          <w:sz w:val="24"/>
          <w:szCs w:val="24"/>
        </w:rPr>
        <w:tab/>
      </w:r>
      <w:r>
        <w:rPr>
          <w:rFonts w:hint="eastAsia" w:asciiTheme="minorEastAsia" w:hAnsiTheme="minorEastAsia" w:eastAsiaTheme="minorEastAsia" w:cstheme="minorEastAsia"/>
          <w:sz w:val="24"/>
          <w:szCs w:val="24"/>
        </w:rPr>
        <w:t>项目需求</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20</w:t>
      </w:r>
    </w:p>
    <w:p w14:paraId="5E884FFA">
      <w:pPr>
        <w:pStyle w:val="5"/>
        <w:keepNext w:val="0"/>
        <w:keepLines w:val="0"/>
        <w:pageBreakBefore w:val="0"/>
        <w:widowControl w:val="0"/>
        <w:tabs>
          <w:tab w:val="left" w:pos="840"/>
          <w:tab w:val="right" w:leader="hyphen" w:pos="8850"/>
        </w:tabs>
        <w:kinsoku/>
        <w:wordWrap/>
        <w:overflowPunct/>
        <w:topLinePunct w:val="0"/>
        <w:autoSpaceDE/>
        <w:autoSpaceDN/>
        <w:bidi w:val="0"/>
        <w:adjustRightInd/>
        <w:snapToGrid/>
        <w:spacing w:line="1000" w:lineRule="exact"/>
        <w:textAlignment w:val="auto"/>
        <w:rPr>
          <w:rFonts w:hint="default" w:asciiTheme="minorEastAsia" w:hAnsiTheme="minorEastAsia" w:eastAsiaTheme="minorEastAsia" w:cstheme="minorEastAsia"/>
          <w:b w:val="0"/>
          <w:bCs w:val="0"/>
          <w:caps w:val="0"/>
          <w:sz w:val="24"/>
          <w:szCs w:val="24"/>
          <w:lang w:val="en-US" w:eastAsia="zh-CN"/>
        </w:rPr>
      </w:pPr>
      <w:r>
        <w:rPr>
          <w:rFonts w:hint="eastAsia" w:asciiTheme="minorEastAsia" w:hAnsiTheme="minorEastAsia" w:eastAsiaTheme="minorEastAsia" w:cstheme="minorEastAsia"/>
          <w:sz w:val="24"/>
          <w:szCs w:val="24"/>
        </w:rPr>
        <w:t>第四章</w:t>
      </w:r>
      <w:r>
        <w:rPr>
          <w:rFonts w:hint="eastAsia" w:asciiTheme="minorEastAsia" w:hAnsiTheme="minorEastAsia" w:eastAsiaTheme="minorEastAsia" w:cstheme="minorEastAsia"/>
          <w:b w:val="0"/>
          <w:bCs w:val="0"/>
          <w:caps w:val="0"/>
          <w:sz w:val="24"/>
          <w:szCs w:val="24"/>
        </w:rPr>
        <w:tab/>
      </w:r>
      <w:r>
        <w:rPr>
          <w:rFonts w:hint="eastAsia" w:asciiTheme="minorEastAsia" w:hAnsiTheme="minorEastAsia" w:eastAsiaTheme="minorEastAsia" w:cstheme="minorEastAsia"/>
          <w:sz w:val="24"/>
          <w:szCs w:val="24"/>
        </w:rPr>
        <w:t>合同主要条款</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24</w:t>
      </w:r>
    </w:p>
    <w:p w14:paraId="150F15DB">
      <w:pPr>
        <w:pStyle w:val="5"/>
        <w:keepNext w:val="0"/>
        <w:keepLines w:val="0"/>
        <w:pageBreakBefore w:val="0"/>
        <w:widowControl w:val="0"/>
        <w:tabs>
          <w:tab w:val="left" w:pos="840"/>
          <w:tab w:val="right" w:leader="hyphen" w:pos="8850"/>
        </w:tabs>
        <w:kinsoku/>
        <w:wordWrap/>
        <w:overflowPunct/>
        <w:topLinePunct w:val="0"/>
        <w:autoSpaceDE/>
        <w:autoSpaceDN/>
        <w:bidi w:val="0"/>
        <w:adjustRightInd/>
        <w:snapToGrid/>
        <w:spacing w:line="1000" w:lineRule="exact"/>
        <w:textAlignment w:val="auto"/>
        <w:rPr>
          <w:rFonts w:hint="default" w:asciiTheme="minorEastAsia" w:hAnsiTheme="minorEastAsia" w:eastAsiaTheme="minorEastAsia" w:cstheme="minorEastAsia"/>
          <w:b w:val="0"/>
          <w:bCs w:val="0"/>
          <w:caps w:val="0"/>
          <w:sz w:val="24"/>
          <w:szCs w:val="24"/>
          <w:lang w:val="en-US" w:eastAsia="zh-CN"/>
        </w:rPr>
      </w:pPr>
      <w:r>
        <w:rPr>
          <w:rFonts w:hint="eastAsia" w:asciiTheme="minorEastAsia" w:hAnsiTheme="minorEastAsia" w:eastAsiaTheme="minorEastAsia" w:cstheme="minorEastAsia"/>
          <w:sz w:val="24"/>
          <w:szCs w:val="24"/>
        </w:rPr>
        <w:t>第五章</w:t>
      </w:r>
      <w:r>
        <w:rPr>
          <w:rFonts w:hint="eastAsia" w:asciiTheme="minorEastAsia" w:hAnsiTheme="minorEastAsia" w:eastAsiaTheme="minorEastAsia" w:cstheme="minorEastAsia"/>
          <w:b w:val="0"/>
          <w:bCs w:val="0"/>
          <w:caps w:val="0"/>
          <w:sz w:val="24"/>
          <w:szCs w:val="24"/>
        </w:rPr>
        <w:tab/>
      </w:r>
      <w:r>
        <w:rPr>
          <w:rFonts w:hint="eastAsia" w:asciiTheme="minorEastAsia" w:hAnsiTheme="minorEastAsia" w:eastAsiaTheme="minorEastAsia" w:cstheme="minorEastAsia"/>
          <w:sz w:val="24"/>
          <w:szCs w:val="24"/>
        </w:rPr>
        <w:t>评审细则</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29</w:t>
      </w:r>
    </w:p>
    <w:p w14:paraId="31F9DC75">
      <w:pPr>
        <w:pStyle w:val="5"/>
        <w:keepNext w:val="0"/>
        <w:keepLines w:val="0"/>
        <w:pageBreakBefore w:val="0"/>
        <w:widowControl w:val="0"/>
        <w:tabs>
          <w:tab w:val="right" w:leader="hyphen" w:pos="8850"/>
        </w:tabs>
        <w:kinsoku/>
        <w:wordWrap/>
        <w:overflowPunct/>
        <w:topLinePunct w:val="0"/>
        <w:autoSpaceDE/>
        <w:autoSpaceDN/>
        <w:bidi w:val="0"/>
        <w:adjustRightInd/>
        <w:snapToGrid/>
        <w:spacing w:line="1000" w:lineRule="exact"/>
        <w:textAlignment w:val="auto"/>
        <w:rPr>
          <w:rFonts w:hint="default" w:asciiTheme="minorEastAsia" w:hAnsiTheme="minorEastAsia" w:eastAsiaTheme="minorEastAsia" w:cstheme="minorEastAsia"/>
          <w:b w:val="0"/>
          <w:bCs w:val="0"/>
          <w:caps w:val="0"/>
          <w:sz w:val="24"/>
          <w:szCs w:val="24"/>
          <w:lang w:val="en-US" w:eastAsia="zh-CN"/>
        </w:rPr>
      </w:pPr>
      <w:r>
        <w:rPr>
          <w:rFonts w:hint="eastAsia" w:asciiTheme="minorEastAsia" w:hAnsiTheme="minorEastAsia" w:eastAsiaTheme="minorEastAsia" w:cstheme="minorEastAsia"/>
          <w:sz w:val="24"/>
          <w:szCs w:val="24"/>
        </w:rPr>
        <w:t>友情提醒</w:t>
      </w:r>
      <w:r>
        <w:rPr>
          <w:rFonts w:hint="eastAsia" w:asciiTheme="minorEastAsia" w:hAnsiTheme="minorEastAsia" w:eastAsiaTheme="minorEastAsia" w:cstheme="minorEastAsia"/>
          <w:sz w:val="24"/>
          <w:szCs w:val="24"/>
        </w:rPr>
        <w:tab/>
      </w:r>
      <w:r>
        <w:rPr>
          <w:rFonts w:hint="eastAsia" w:asciiTheme="minorEastAsia" w:hAnsiTheme="minorEastAsia" w:eastAsiaTheme="minorEastAsia" w:cstheme="minorEastAsia"/>
          <w:sz w:val="24"/>
          <w:szCs w:val="24"/>
          <w:lang w:val="en-US" w:eastAsia="zh-CN"/>
        </w:rPr>
        <w:t>32</w:t>
      </w:r>
    </w:p>
    <w:p w14:paraId="1CB8CCE0">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r>
        <w:rPr>
          <w:rFonts w:hint="eastAsia" w:ascii="宋体" w:hAnsi="宋体" w:eastAsia="宋体" w:cs="宋体"/>
          <w:sz w:val="24"/>
          <w:szCs w:val="24"/>
        </w:rPr>
        <w:fldChar w:fldCharType="end"/>
      </w:r>
    </w:p>
    <w:p w14:paraId="73ADC36F">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27DE802B">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7AFE19AA">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52590A17">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5AA3B31D">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4CE1FAFB">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33DFBAD2">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0D525448">
      <w:pPr>
        <w:tabs>
          <w:tab w:val="right" w:leader="dot" w:pos="8789"/>
        </w:tabs>
        <w:snapToGrid/>
        <w:spacing w:beforeAutospacing="0" w:after="60" w:afterAutospacing="0" w:line="240" w:lineRule="auto"/>
        <w:ind w:left="0" w:leftChars="0" w:right="0" w:rightChars="0" w:firstLine="0" w:firstLineChars="0"/>
        <w:jc w:val="both"/>
        <w:rPr>
          <w:rFonts w:hint="eastAsia" w:ascii="宋体" w:hAnsi="宋体" w:eastAsia="宋体" w:cs="宋体"/>
          <w:sz w:val="24"/>
          <w:szCs w:val="24"/>
        </w:rPr>
      </w:pPr>
    </w:p>
    <w:p w14:paraId="74480B91">
      <w:pPr>
        <w:tabs>
          <w:tab w:val="right" w:leader="dot" w:pos="8789"/>
        </w:tabs>
        <w:snapToGrid/>
        <w:spacing w:beforeAutospacing="0" w:after="60" w:afterAutospacing="0" w:line="240" w:lineRule="auto"/>
        <w:ind w:left="0" w:leftChars="0" w:right="0" w:rightChars="0" w:firstLine="0" w:firstLineChars="0"/>
        <w:jc w:val="center"/>
        <w:rPr>
          <w:rFonts w:hint="eastAsia" w:ascii="宋体" w:hAnsi="宋体" w:eastAsia="宋体" w:cs="宋体"/>
          <w:sz w:val="24"/>
          <w:szCs w:val="24"/>
        </w:rPr>
      </w:pPr>
    </w:p>
    <w:p w14:paraId="79578531">
      <w:pPr>
        <w:pStyle w:val="2"/>
        <w:rPr>
          <w:rFonts w:hint="eastAsia" w:ascii="宋体" w:hAnsi="宋体" w:eastAsia="宋体" w:cs="宋体"/>
          <w:sz w:val="24"/>
          <w:szCs w:val="24"/>
        </w:rPr>
      </w:pPr>
    </w:p>
    <w:p w14:paraId="083ED086">
      <w:pPr>
        <w:pStyle w:val="2"/>
        <w:rPr>
          <w:rFonts w:hint="eastAsia" w:ascii="宋体" w:hAnsi="宋体" w:eastAsia="宋体" w:cs="宋体"/>
          <w:sz w:val="24"/>
          <w:szCs w:val="24"/>
        </w:rPr>
      </w:pPr>
    </w:p>
    <w:p w14:paraId="13175200">
      <w:pPr>
        <w:pStyle w:val="2"/>
        <w:rPr>
          <w:rFonts w:hint="eastAsia" w:ascii="宋体" w:hAnsi="宋体" w:eastAsia="宋体" w:cs="宋体"/>
          <w:sz w:val="24"/>
          <w:szCs w:val="24"/>
        </w:rPr>
      </w:pPr>
    </w:p>
    <w:p w14:paraId="558C0C14">
      <w:pPr>
        <w:tabs>
          <w:tab w:val="right" w:leader="dot" w:pos="8789"/>
        </w:tabs>
        <w:snapToGrid/>
        <w:spacing w:beforeAutospacing="0" w:after="60" w:afterAutospacing="0" w:line="240" w:lineRule="auto"/>
        <w:ind w:left="0" w:leftChars="0" w:right="0" w:rightChars="0" w:firstLine="0" w:firstLineChars="0"/>
        <w:jc w:val="center"/>
        <w:rPr>
          <w:rFonts w:hint="eastAsia" w:ascii="方正小标宋简体" w:hAnsi="方正小标宋简体" w:eastAsia="方正小标宋简体" w:cs="方正小标宋简体"/>
          <w:b w:val="0"/>
          <w:bCs/>
          <w:kern w:val="44"/>
          <w:sz w:val="44"/>
          <w:szCs w:val="44"/>
        </w:rPr>
        <w:sectPr>
          <w:footerReference r:id="rId3" w:type="default"/>
          <w:pgSz w:w="11906" w:h="16838"/>
          <w:pgMar w:top="1440" w:right="1800" w:bottom="1440" w:left="1800" w:header="851" w:footer="992" w:gutter="0"/>
          <w:pgNumType w:start="1"/>
          <w:cols w:space="425" w:num="1"/>
          <w:docGrid w:type="lines" w:linePitch="312" w:charSpace="0"/>
        </w:sectPr>
      </w:pPr>
    </w:p>
    <w:p w14:paraId="186A61D0">
      <w:pPr>
        <w:tabs>
          <w:tab w:val="right" w:leader="dot" w:pos="8789"/>
        </w:tabs>
        <w:snapToGrid/>
        <w:spacing w:beforeAutospacing="0" w:after="60" w:afterAutospacing="0" w:line="240" w:lineRule="auto"/>
        <w:ind w:left="0" w:leftChars="0" w:right="0" w:rightChars="0" w:firstLine="0" w:firstLineChars="0"/>
        <w:jc w:val="center"/>
        <w:rPr>
          <w:rFonts w:hint="eastAsia" w:ascii="方正小标宋简体" w:hAnsi="方正小标宋简体" w:eastAsia="方正小标宋简体" w:cs="方正小标宋简体"/>
          <w:b w:val="0"/>
          <w:bCs/>
          <w:kern w:val="44"/>
          <w:sz w:val="44"/>
          <w:szCs w:val="44"/>
          <w:lang w:eastAsia="zh-CN"/>
        </w:rPr>
      </w:pPr>
      <w:r>
        <w:rPr>
          <w:rFonts w:hint="eastAsia" w:ascii="方正小标宋简体" w:hAnsi="方正小标宋简体" w:eastAsia="方正小标宋简体" w:cs="方正小标宋简体"/>
          <w:b w:val="0"/>
          <w:bCs/>
          <w:kern w:val="44"/>
          <w:sz w:val="44"/>
          <w:szCs w:val="44"/>
        </w:rPr>
        <w:t>常州市城市管理</w:t>
      </w:r>
      <w:r>
        <w:rPr>
          <w:rFonts w:hint="eastAsia" w:ascii="方正小标宋简体" w:hAnsi="方正小标宋简体" w:eastAsia="方正小标宋简体" w:cs="方正小标宋简体"/>
          <w:b w:val="0"/>
          <w:bCs/>
          <w:kern w:val="44"/>
          <w:sz w:val="44"/>
          <w:szCs w:val="44"/>
          <w:lang w:eastAsia="zh-CN"/>
        </w:rPr>
        <w:t>综合行政执法监督局</w:t>
      </w:r>
    </w:p>
    <w:p w14:paraId="1199AC9D">
      <w:pPr>
        <w:snapToGrid/>
        <w:spacing w:beforeAutospacing="0" w:after="60" w:afterAutospacing="0" w:line="240" w:lineRule="auto"/>
        <w:ind w:left="0" w:leftChars="0" w:right="0" w:rightChars="0" w:firstLine="0" w:firstLineChars="0"/>
        <w:jc w:val="center"/>
        <w:rPr>
          <w:rFonts w:hint="eastAsia" w:ascii="方正小标宋简体" w:hAnsi="方正小标宋简体" w:eastAsia="方正小标宋简体" w:cs="方正小标宋简体"/>
          <w:b w:val="0"/>
          <w:bCs/>
          <w:kern w:val="44"/>
          <w:sz w:val="44"/>
          <w:szCs w:val="44"/>
        </w:rPr>
      </w:pPr>
      <w:r>
        <w:rPr>
          <w:rFonts w:hint="eastAsia" w:ascii="方正小标宋简体" w:hAnsi="方正小标宋简体" w:eastAsia="方正小标宋简体" w:cs="方正小标宋简体"/>
          <w:b w:val="0"/>
          <w:bCs/>
          <w:kern w:val="44"/>
          <w:sz w:val="44"/>
          <w:szCs w:val="44"/>
          <w:lang w:eastAsia="zh-CN"/>
        </w:rPr>
        <w:t>新阳光食品城</w:t>
      </w:r>
      <w:r>
        <w:rPr>
          <w:rFonts w:hint="eastAsia" w:ascii="方正小标宋简体" w:hAnsi="方正小标宋简体" w:eastAsia="方正小标宋简体" w:cs="方正小标宋简体"/>
          <w:b w:val="0"/>
          <w:bCs/>
          <w:kern w:val="44"/>
          <w:sz w:val="44"/>
          <w:szCs w:val="44"/>
        </w:rPr>
        <w:t>违法建设拆除工程</w:t>
      </w:r>
    </w:p>
    <w:p w14:paraId="0B72F789">
      <w:pPr>
        <w:snapToGrid/>
        <w:spacing w:beforeAutospacing="0" w:after="60" w:afterAutospacing="0" w:line="240" w:lineRule="auto"/>
        <w:ind w:left="0" w:leftChars="0" w:right="0" w:rightChars="0" w:firstLine="0" w:firstLineChars="0"/>
        <w:jc w:val="center"/>
        <w:rPr>
          <w:rFonts w:hint="eastAsia" w:ascii="方正小标宋简体" w:hAnsi="方正小标宋简体" w:eastAsia="方正小标宋简体" w:cs="方正小标宋简体"/>
          <w:b w:val="0"/>
          <w:bCs/>
          <w:kern w:val="44"/>
          <w:sz w:val="44"/>
          <w:szCs w:val="44"/>
        </w:rPr>
      </w:pPr>
      <w:r>
        <w:rPr>
          <w:sz w:val="28"/>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664845</wp:posOffset>
                </wp:positionV>
                <wp:extent cx="1828800" cy="1828800"/>
                <wp:effectExtent l="4445" t="4445" r="14605" b="14605"/>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9525">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1CB8B7E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项目概况</w:t>
                            </w:r>
                          </w:p>
                          <w:p w14:paraId="0A2EEE5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新阳光食品城</w:t>
                            </w:r>
                            <w:r>
                              <w:rPr>
                                <w:rFonts w:hint="eastAsia" w:ascii="仿宋_GB2312" w:hAnsi="仿宋_GB2312" w:eastAsia="仿宋_GB2312" w:cs="仿宋_GB2312"/>
                                <w:sz w:val="32"/>
                                <w:szCs w:val="32"/>
                              </w:rPr>
                              <w:t>违法建设拆除工程的潜在供应商应在常州市城市管理</w:t>
                            </w:r>
                            <w:r>
                              <w:rPr>
                                <w:rFonts w:hint="eastAsia" w:ascii="仿宋_GB2312" w:hAnsi="仿宋_GB2312" w:eastAsia="仿宋_GB2312" w:cs="仿宋_GB2312"/>
                                <w:sz w:val="32"/>
                                <w:szCs w:val="32"/>
                                <w:lang w:eastAsia="zh-CN"/>
                              </w:rPr>
                              <w:t>综合行政执法监督局</w:t>
                            </w:r>
                            <w:r>
                              <w:rPr>
                                <w:rFonts w:hint="eastAsia" w:ascii="仿宋_GB2312" w:hAnsi="仿宋_GB2312" w:eastAsia="仿宋_GB2312" w:cs="仿宋_GB2312"/>
                                <w:sz w:val="32"/>
                                <w:szCs w:val="32"/>
                              </w:rPr>
                              <w:t>获取采购文件，并于202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（北京时间）前提交响应文件。</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0.75pt;margin-top:52.35pt;height:144pt;width:144pt;mso-wrap-distance-bottom:0pt;mso-wrap-distance-left:9pt;mso-wrap-distance-right:9pt;mso-wrap-distance-top:0pt;mso-wrap-style:none;z-index:251659264;mso-width-relative:page;mso-height-relative:page;" fillcolor="#FFFFFF [3201]" filled="t" stroked="t" coordsize="21600,21600" o:gfxdata="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2SZaH2gAAAAkBAAAP&#10;AAAAAAAAAAEAIAAAACIAAABkcnMvZG93bnJldi54bWxQSwECFAAUAAAACACHTuJAPj9yGE8CAAC3&#10;BAAADgAAAAAAAAABACAAAAApAQAAZHJzL2Uyb0RvYy54bWxQSwUGAAAAAAYABgBZAQAA6gUAAAAA&#10;">
                <v:fill on="t" focussize="0,0"/>
                <v:stroke color="#000000 [3213]" joinstyle="round"/>
                <v:imagedata o:title=""/>
                <o:lock v:ext="edit" aspectratio="f"/>
                <v:textbox style="mso-fit-shape-to-text:t;">
                  <w:txbxContent>
                    <w:p w14:paraId="1CB8B7E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项目概况</w:t>
                      </w:r>
                    </w:p>
                    <w:p w14:paraId="0A2EEE5A">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新阳光食品城</w:t>
                      </w:r>
                      <w:r>
                        <w:rPr>
                          <w:rFonts w:hint="eastAsia" w:ascii="仿宋_GB2312" w:hAnsi="仿宋_GB2312" w:eastAsia="仿宋_GB2312" w:cs="仿宋_GB2312"/>
                          <w:sz w:val="32"/>
                          <w:szCs w:val="32"/>
                        </w:rPr>
                        <w:t>违法建设拆除工程的潜在供应商应在常州市城市管理</w:t>
                      </w:r>
                      <w:r>
                        <w:rPr>
                          <w:rFonts w:hint="eastAsia" w:ascii="仿宋_GB2312" w:hAnsi="仿宋_GB2312" w:eastAsia="仿宋_GB2312" w:cs="仿宋_GB2312"/>
                          <w:sz w:val="32"/>
                          <w:szCs w:val="32"/>
                          <w:lang w:eastAsia="zh-CN"/>
                        </w:rPr>
                        <w:t>综合行政执法监督局</w:t>
                      </w:r>
                      <w:r>
                        <w:rPr>
                          <w:rFonts w:hint="eastAsia" w:ascii="仿宋_GB2312" w:hAnsi="仿宋_GB2312" w:eastAsia="仿宋_GB2312" w:cs="仿宋_GB2312"/>
                          <w:sz w:val="32"/>
                          <w:szCs w:val="32"/>
                        </w:rPr>
                        <w:t>获取采购文件，并于202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（北京时间）前提交响应文件。</w:t>
                      </w:r>
                    </w:p>
                  </w:txbxContent>
                </v:textbox>
                <w10:wrap type="square"/>
              </v:shape>
            </w:pict>
          </mc:Fallback>
        </mc:AlternateContent>
      </w:r>
      <w:r>
        <w:rPr>
          <w:rFonts w:hint="eastAsia" w:ascii="方正小标宋简体" w:hAnsi="方正小标宋简体" w:eastAsia="方正小标宋简体" w:cs="方正小标宋简体"/>
          <w:b w:val="0"/>
          <w:bCs/>
          <w:kern w:val="44"/>
          <w:sz w:val="44"/>
          <w:szCs w:val="44"/>
          <w:lang w:val="en-US" w:eastAsia="zh-CN"/>
        </w:rPr>
        <w:t>招标采购</w:t>
      </w:r>
      <w:r>
        <w:rPr>
          <w:rFonts w:hint="eastAsia" w:ascii="方正小标宋简体" w:hAnsi="方正小标宋简体" w:eastAsia="方正小标宋简体" w:cs="方正小标宋简体"/>
          <w:b w:val="0"/>
          <w:bCs/>
          <w:kern w:val="44"/>
          <w:sz w:val="44"/>
          <w:szCs w:val="44"/>
        </w:rPr>
        <w:t>公告</w:t>
      </w:r>
    </w:p>
    <w:p w14:paraId="79593CE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一、项目基本情况</w:t>
      </w:r>
    </w:p>
    <w:p w14:paraId="625882E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p>
    <w:p w14:paraId="46D8CF3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新阳光食品城</w:t>
      </w:r>
      <w:r>
        <w:rPr>
          <w:rFonts w:hint="eastAsia" w:ascii="仿宋_GB2312" w:hAnsi="仿宋_GB2312" w:eastAsia="仿宋_GB2312" w:cs="仿宋_GB2312"/>
          <w:sz w:val="32"/>
          <w:szCs w:val="32"/>
          <w:lang w:val="en-US" w:eastAsia="zh-CN"/>
        </w:rPr>
        <w:t>违法建设</w:t>
      </w:r>
      <w:r>
        <w:rPr>
          <w:rFonts w:hint="eastAsia" w:ascii="仿宋_GB2312" w:hAnsi="仿宋_GB2312" w:eastAsia="仿宋_GB2312" w:cs="仿宋_GB2312"/>
          <w:sz w:val="32"/>
          <w:szCs w:val="32"/>
        </w:rPr>
        <w:t>拆除工程</w:t>
      </w:r>
    </w:p>
    <w:p w14:paraId="5286A9B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比选</w:t>
      </w:r>
      <w:r>
        <w:rPr>
          <w:rFonts w:hint="eastAsia" w:ascii="仿宋_GB2312" w:hAnsi="仿宋_GB2312" w:eastAsia="仿宋_GB2312" w:cs="仿宋_GB2312"/>
          <w:sz w:val="32"/>
          <w:szCs w:val="32"/>
        </w:rPr>
        <w:t>方式：</w:t>
      </w:r>
      <w:r>
        <w:rPr>
          <w:rFonts w:hint="eastAsia" w:ascii="仿宋_GB2312" w:hAnsi="仿宋_GB2312" w:eastAsia="仿宋_GB2312" w:cs="仿宋_GB2312"/>
          <w:sz w:val="32"/>
          <w:szCs w:val="32"/>
          <w:lang w:eastAsia="zh-CN"/>
        </w:rPr>
        <w:t>公开比选</w:t>
      </w:r>
    </w:p>
    <w:p w14:paraId="084FEC0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预算金额：人民币</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0000元</w:t>
      </w:r>
    </w:p>
    <w:p w14:paraId="3DEEA6B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最高限价（控制价）：人民币</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0000元</w:t>
      </w:r>
    </w:p>
    <w:p w14:paraId="7D8EA7F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采购需求：本项目为位于常州市钟楼</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 xml:space="preserve">常金路以南、新312国道以西违法建设拆除工程。 </w:t>
      </w:r>
    </w:p>
    <w:p w14:paraId="1D0E7D1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合同履行期限：工期5个工作日。</w:t>
      </w:r>
    </w:p>
    <w:p w14:paraId="6C47C5C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本项目不接受联合体。</w:t>
      </w:r>
    </w:p>
    <w:p w14:paraId="55A15D7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二、申请人的资格要求：</w:t>
      </w:r>
    </w:p>
    <w:p w14:paraId="0CD7319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1.满足《中华人民共和国政府采购法》第二十二条规定；</w:t>
      </w:r>
    </w:p>
    <w:p w14:paraId="71F66E1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2.供应商具有建筑工程施工总承包三级及以上资质；供应商具有有效期内的安全许可证；供应商具拆除类似结构房屋经验和施工、安全等资质。</w:t>
      </w:r>
    </w:p>
    <w:p w14:paraId="3B77E53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三、获取采购文件</w:t>
      </w:r>
    </w:p>
    <w:p w14:paraId="71D3E53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w:t>
      </w:r>
    </w:p>
    <w:p w14:paraId="603E22A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2.地点：</w:t>
      </w:r>
    </w:p>
    <w:p w14:paraId="1F84BA4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3.方式：</w:t>
      </w:r>
    </w:p>
    <w:p w14:paraId="65A15EB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请符合资质的供应商发送资料扫描件至</w:t>
      </w:r>
      <w:r>
        <w:rPr>
          <w:rFonts w:hint="default" w:ascii="仿宋_GB2312" w:hAnsi="仿宋_GB2312" w:eastAsia="仿宋_GB2312" w:cs="仿宋_GB2312"/>
          <w:sz w:val="32"/>
          <w:szCs w:val="32"/>
        </w:rPr>
        <w:t xml:space="preserve">       </w:t>
      </w:r>
      <w:r>
        <w:rPr>
          <w:rFonts w:hint="eastAsia" w:ascii="仿宋_GB2312" w:hAnsi="仿宋_GB2312" w:eastAsia="仿宋_GB2312" w:cs="仿宋_GB2312"/>
          <w:sz w:val="32"/>
          <w:szCs w:val="32"/>
        </w:rPr>
        <w:t>，主题为项目编号+供应商名称：</w:t>
      </w:r>
    </w:p>
    <w:p w14:paraId="50CCC1C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（1）《报名申请书》一份（见附件），加盖公章后扫描；</w:t>
      </w:r>
    </w:p>
    <w:p w14:paraId="34A447B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（2）有效营业执照复印件，加盖公章后扫描；</w:t>
      </w:r>
    </w:p>
    <w:p w14:paraId="1421C9B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（3）采购文件费用转账截图</w:t>
      </w:r>
    </w:p>
    <w:p w14:paraId="1833C29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.供应商最终资格的确认以</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开始后资格审查结果为准。</w:t>
      </w:r>
    </w:p>
    <w:p w14:paraId="5254949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四、响应文件提交</w:t>
      </w:r>
    </w:p>
    <w:p w14:paraId="7F390B3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截止时间：</w:t>
      </w:r>
    </w:p>
    <w:p w14:paraId="2A4F677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地点：</w:t>
      </w:r>
    </w:p>
    <w:p w14:paraId="5519A99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五、开启</w:t>
      </w:r>
    </w:p>
    <w:p w14:paraId="1F5A9D4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时间：</w:t>
      </w:r>
    </w:p>
    <w:p w14:paraId="17291B0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地点：</w:t>
      </w:r>
    </w:p>
    <w:p w14:paraId="702739E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六、公告期限</w:t>
      </w:r>
    </w:p>
    <w:p w14:paraId="3741784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自本公告发布之日起3个工作日。</w:t>
      </w:r>
    </w:p>
    <w:p w14:paraId="7A7B2A3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七、其他补充事宜</w:t>
      </w:r>
    </w:p>
    <w:p w14:paraId="541D0D2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现场踏勘：采购人不组织，供应商自行踏勘。</w:t>
      </w:r>
    </w:p>
    <w:p w14:paraId="2458306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八、凡对本次采购提出询问，请按以下方式联系</w:t>
      </w:r>
    </w:p>
    <w:p w14:paraId="5BF5DD0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名称：常州市城市管理</w:t>
      </w:r>
      <w:r>
        <w:rPr>
          <w:rFonts w:hint="eastAsia" w:ascii="仿宋_GB2312" w:hAnsi="仿宋_GB2312" w:eastAsia="仿宋_GB2312" w:cs="仿宋_GB2312"/>
          <w:sz w:val="32"/>
          <w:szCs w:val="32"/>
          <w:lang w:eastAsia="zh-CN"/>
        </w:rPr>
        <w:t>综合行政执法监督局</w:t>
      </w:r>
      <w:r>
        <w:rPr>
          <w:rFonts w:hint="eastAsia" w:ascii="仿宋_GB2312" w:hAnsi="仿宋_GB2312" w:eastAsia="仿宋_GB2312" w:cs="仿宋_GB2312"/>
          <w:sz w:val="32"/>
          <w:szCs w:val="32"/>
        </w:rPr>
        <w:t xml:space="preserve">  </w:t>
      </w:r>
    </w:p>
    <w:p w14:paraId="2BCD532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地址：江苏省常州市钟楼区五星街道芦墅路6号</w:t>
      </w:r>
    </w:p>
    <w:p w14:paraId="16D247E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p w14:paraId="2459E11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3B92C7F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p>
    <w:p w14:paraId="3F77BBF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p>
    <w:p w14:paraId="254A251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p>
    <w:p w14:paraId="16286D6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p>
    <w:p w14:paraId="6FBCE46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p>
    <w:p w14:paraId="7C959749">
      <w:pPr>
        <w:pStyle w:val="2"/>
        <w:rPr>
          <w:rFonts w:hint="eastAsia" w:ascii="仿宋_GB2312" w:hAnsi="仿宋_GB2312" w:eastAsia="仿宋_GB2312" w:cs="仿宋_GB2312"/>
          <w:sz w:val="32"/>
          <w:szCs w:val="32"/>
        </w:rPr>
      </w:pPr>
    </w:p>
    <w:p w14:paraId="5553BC8E">
      <w:pPr>
        <w:pStyle w:val="2"/>
        <w:rPr>
          <w:rFonts w:hint="eastAsia" w:ascii="仿宋_GB2312" w:hAnsi="仿宋_GB2312" w:eastAsia="仿宋_GB2312" w:cs="仿宋_GB2312"/>
          <w:sz w:val="32"/>
          <w:szCs w:val="32"/>
        </w:rPr>
      </w:pPr>
    </w:p>
    <w:p w14:paraId="094576CE">
      <w:pPr>
        <w:pStyle w:val="2"/>
        <w:rPr>
          <w:rFonts w:hint="eastAsia" w:ascii="仿宋_GB2312" w:hAnsi="仿宋_GB2312" w:eastAsia="仿宋_GB2312" w:cs="仿宋_GB2312"/>
          <w:sz w:val="32"/>
          <w:szCs w:val="32"/>
        </w:rPr>
      </w:pPr>
    </w:p>
    <w:p w14:paraId="1F8665AB">
      <w:pPr>
        <w:pStyle w:val="2"/>
        <w:rPr>
          <w:rFonts w:hint="eastAsia" w:ascii="仿宋_GB2312" w:hAnsi="仿宋_GB2312" w:eastAsia="仿宋_GB2312" w:cs="仿宋_GB2312"/>
          <w:sz w:val="32"/>
          <w:szCs w:val="32"/>
        </w:rPr>
      </w:pPr>
    </w:p>
    <w:p w14:paraId="396D1472">
      <w:pPr>
        <w:pStyle w:val="2"/>
        <w:rPr>
          <w:rFonts w:hint="eastAsia" w:ascii="仿宋_GB2312" w:hAnsi="仿宋_GB2312" w:eastAsia="仿宋_GB2312" w:cs="仿宋_GB2312"/>
          <w:sz w:val="32"/>
          <w:szCs w:val="32"/>
        </w:rPr>
      </w:pPr>
    </w:p>
    <w:p w14:paraId="4728B4DC">
      <w:pPr>
        <w:pStyle w:val="2"/>
        <w:rPr>
          <w:rFonts w:hint="eastAsia" w:ascii="仿宋_GB2312" w:hAnsi="仿宋_GB2312" w:eastAsia="仿宋_GB2312" w:cs="仿宋_GB2312"/>
          <w:sz w:val="32"/>
          <w:szCs w:val="32"/>
        </w:rPr>
      </w:pPr>
    </w:p>
    <w:p w14:paraId="4B030376">
      <w:pPr>
        <w:pStyle w:val="2"/>
        <w:rPr>
          <w:rFonts w:hint="eastAsia" w:ascii="仿宋_GB2312" w:hAnsi="仿宋_GB2312" w:eastAsia="仿宋_GB2312" w:cs="仿宋_GB2312"/>
          <w:sz w:val="32"/>
          <w:szCs w:val="32"/>
        </w:rPr>
      </w:pPr>
    </w:p>
    <w:p w14:paraId="54D466D9">
      <w:pPr>
        <w:pStyle w:val="2"/>
        <w:rPr>
          <w:rFonts w:hint="eastAsia" w:ascii="仿宋_GB2312" w:hAnsi="仿宋_GB2312" w:eastAsia="仿宋_GB2312" w:cs="仿宋_GB2312"/>
          <w:sz w:val="32"/>
          <w:szCs w:val="32"/>
        </w:rPr>
      </w:pPr>
    </w:p>
    <w:p w14:paraId="691E8DE0">
      <w:pPr>
        <w:pStyle w:val="2"/>
        <w:rPr>
          <w:rFonts w:hint="eastAsia" w:ascii="仿宋_GB2312" w:hAnsi="仿宋_GB2312" w:eastAsia="仿宋_GB2312" w:cs="仿宋_GB2312"/>
          <w:sz w:val="32"/>
          <w:szCs w:val="32"/>
        </w:rPr>
      </w:pPr>
    </w:p>
    <w:p w14:paraId="49100D39">
      <w:pPr>
        <w:pStyle w:val="2"/>
        <w:rPr>
          <w:rFonts w:hint="eastAsia" w:ascii="仿宋_GB2312" w:hAnsi="仿宋_GB2312" w:eastAsia="仿宋_GB2312" w:cs="仿宋_GB2312"/>
          <w:sz w:val="32"/>
          <w:szCs w:val="32"/>
        </w:rPr>
      </w:pPr>
    </w:p>
    <w:p w14:paraId="6B94BB87">
      <w:pPr>
        <w:pStyle w:val="2"/>
        <w:rPr>
          <w:rFonts w:hint="eastAsia" w:ascii="仿宋_GB2312" w:hAnsi="仿宋_GB2312" w:eastAsia="仿宋_GB2312" w:cs="仿宋_GB2312"/>
          <w:sz w:val="32"/>
          <w:szCs w:val="32"/>
        </w:rPr>
      </w:pPr>
    </w:p>
    <w:p w14:paraId="3123FABE">
      <w:pPr>
        <w:pStyle w:val="2"/>
        <w:rPr>
          <w:rFonts w:hint="eastAsia" w:ascii="仿宋_GB2312" w:hAnsi="仿宋_GB2312" w:eastAsia="仿宋_GB2312" w:cs="仿宋_GB2312"/>
          <w:sz w:val="32"/>
          <w:szCs w:val="32"/>
        </w:rPr>
      </w:pPr>
    </w:p>
    <w:p w14:paraId="2BF404D4">
      <w:pPr>
        <w:pStyle w:val="2"/>
        <w:rPr>
          <w:rFonts w:hint="eastAsia" w:ascii="仿宋_GB2312" w:hAnsi="仿宋_GB2312" w:eastAsia="仿宋_GB2312" w:cs="仿宋_GB2312"/>
          <w:sz w:val="32"/>
          <w:szCs w:val="32"/>
        </w:rPr>
      </w:pPr>
    </w:p>
    <w:p w14:paraId="116ED391">
      <w:pPr>
        <w:numPr>
          <w:ilvl w:val="0"/>
          <w:numId w:val="1"/>
        </w:numPr>
        <w:snapToGrid/>
        <w:spacing w:before="200" w:beforeAutospacing="0" w:after="100" w:afterAutospacing="0" w:line="240" w:lineRule="auto"/>
        <w:ind w:left="0" w:leftChars="0" w:right="0" w:rightChars="0" w:firstLine="0" w:firstLineChars="0"/>
        <w:jc w:val="center"/>
        <w:outlineLvl w:val="0"/>
        <w:rPr>
          <w:rFonts w:hint="eastAsia" w:ascii="黑体" w:hAnsi="黑体" w:eastAsia="黑体" w:cs="黑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 xml:space="preserve">   总</w:t>
      </w:r>
      <w:r>
        <w:rPr>
          <w:rFonts w:hint="eastAsia" w:ascii="方正小标宋简体" w:hAnsi="方正小标宋简体" w:eastAsia="方正小标宋简体" w:cs="方正小标宋简体"/>
          <w:b w:val="0"/>
          <w:bCs w:val="0"/>
          <w:sz w:val="36"/>
          <w:szCs w:val="36"/>
        </w:rPr>
        <w:t xml:space="preserve"> 则</w:t>
      </w:r>
    </w:p>
    <w:p w14:paraId="4461CFFA">
      <w:pPr>
        <w:numPr>
          <w:ilvl w:val="0"/>
          <w:numId w:val="0"/>
        </w:numPr>
        <w:snapToGrid/>
        <w:spacing w:before="200" w:beforeAutospacing="0" w:after="100" w:afterAutospacing="0" w:line="240" w:lineRule="auto"/>
        <w:ind w:leftChars="0" w:right="0" w:rightChars="0" w:firstLine="640" w:firstLineChars="200"/>
        <w:jc w:val="both"/>
        <w:outlineLvl w:val="0"/>
        <w:rPr>
          <w:rFonts w:hint="eastAsia" w:ascii="黑体" w:hAnsi="黑体" w:eastAsia="黑体" w:cs="黑体"/>
          <w:b w:val="0"/>
          <w:bCs w:val="0"/>
          <w:sz w:val="32"/>
          <w:szCs w:val="32"/>
        </w:rPr>
      </w:pPr>
      <w:r>
        <w:rPr>
          <w:rFonts w:hint="eastAsia" w:ascii="黑体" w:hAnsi="黑体" w:eastAsia="黑体" w:cs="黑体"/>
          <w:b w:val="0"/>
          <w:bCs w:val="0"/>
          <w:sz w:val="32"/>
          <w:szCs w:val="32"/>
        </w:rPr>
        <w:t>一、采购方式</w:t>
      </w:r>
    </w:p>
    <w:p w14:paraId="523EE9D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本次采购采取</w:t>
      </w:r>
      <w:r>
        <w:rPr>
          <w:rFonts w:hint="eastAsia" w:ascii="仿宋_GB2312" w:hAnsi="仿宋_GB2312" w:eastAsia="仿宋_GB2312" w:cs="仿宋_GB2312"/>
          <w:sz w:val="32"/>
          <w:szCs w:val="32"/>
          <w:lang w:eastAsia="zh-CN"/>
        </w:rPr>
        <w:t>公开比选</w:t>
      </w:r>
      <w:r>
        <w:rPr>
          <w:rFonts w:hint="eastAsia" w:ascii="仿宋_GB2312" w:hAnsi="仿宋_GB2312" w:eastAsia="仿宋_GB2312" w:cs="仿宋_GB2312"/>
          <w:sz w:val="32"/>
          <w:szCs w:val="32"/>
        </w:rPr>
        <w:t>方式，本采购文件仅适用于采购公告中所述项目。</w:t>
      </w:r>
    </w:p>
    <w:p w14:paraId="5CF25DA2">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二、供应商资格要求</w:t>
      </w:r>
    </w:p>
    <w:p w14:paraId="2162058F">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1.满足采购公告中供应商的资格要求的规定。</w:t>
      </w:r>
    </w:p>
    <w:p w14:paraId="34FEF650">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2.满足本文件实质性条款的规定</w:t>
      </w:r>
    </w:p>
    <w:p w14:paraId="34251BBF">
      <w:pPr>
        <w:snapToGrid/>
        <w:spacing w:before="200" w:beforeAutospacing="0" w:after="100" w:afterAutospacing="0" w:line="240" w:lineRule="auto"/>
        <w:ind w:left="0" w:leftChars="0" w:right="0" w:rightChars="0" w:firstLine="640" w:firstLineChars="200"/>
        <w:jc w:val="left"/>
        <w:outlineLvl w:val="2"/>
        <w:rPr>
          <w:rFonts w:hint="eastAsia" w:ascii="黑体" w:hAnsi="黑体" w:eastAsia="黑体" w:cs="黑体"/>
          <w:b w:val="0"/>
          <w:bCs w:val="0"/>
          <w:sz w:val="32"/>
          <w:szCs w:val="32"/>
        </w:rPr>
      </w:pPr>
      <w:r>
        <w:rPr>
          <w:rFonts w:hint="eastAsia" w:ascii="黑体" w:hAnsi="黑体" w:eastAsia="黑体" w:cs="黑体"/>
          <w:b w:val="0"/>
          <w:bCs w:val="0"/>
          <w:sz w:val="32"/>
          <w:szCs w:val="32"/>
        </w:rPr>
        <w:t>三、</w:t>
      </w:r>
      <w:r>
        <w:rPr>
          <w:rFonts w:hint="eastAsia" w:ascii="黑体" w:hAnsi="黑体" w:eastAsia="黑体" w:cs="黑体"/>
          <w:b w:val="0"/>
          <w:bCs w:val="0"/>
          <w:sz w:val="32"/>
          <w:szCs w:val="32"/>
          <w:lang w:eastAsia="zh-CN"/>
        </w:rPr>
        <w:t>投标</w:t>
      </w:r>
      <w:r>
        <w:rPr>
          <w:rFonts w:hint="eastAsia" w:ascii="黑体" w:hAnsi="黑体" w:eastAsia="黑体" w:cs="黑体"/>
          <w:b w:val="0"/>
          <w:bCs w:val="0"/>
          <w:sz w:val="32"/>
          <w:szCs w:val="32"/>
        </w:rPr>
        <w:t>费用</w:t>
      </w:r>
    </w:p>
    <w:p w14:paraId="7987D3A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供应商应自行承担其响应文件以及响应文件参加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过程中所产生之一切费用。无论采购结果如何，采购方对上述费用不负任何责任。</w:t>
      </w:r>
    </w:p>
    <w:p w14:paraId="72AB8497">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四、采购文件的组成</w:t>
      </w:r>
    </w:p>
    <w:p w14:paraId="33E6881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本文件及依法对本文件所作出的书面更正的内容均为采购文件的组成部分。</w:t>
      </w:r>
    </w:p>
    <w:p w14:paraId="05E6C61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供应商应仔细检查采购文件是否齐全，如有缺漏，应及时向采购方索取，否则责任自负。</w:t>
      </w:r>
    </w:p>
    <w:p w14:paraId="09610BC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应认真阅读采购文件中所有的事项、格式、条款和规范等要求。按采购文件要求和规定编制响应文件，并保证所提供的全部资料的真实性，以使其响应文件对采购文件作出实质性响应，否则其风险由供应商自行承担。</w:t>
      </w:r>
    </w:p>
    <w:p w14:paraId="13936E9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供应商一旦参加本项目采购活动，即被认为接受了本采购文件的规定和约束。</w:t>
      </w:r>
    </w:p>
    <w:p w14:paraId="2DAFFB05">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五、采购文件的补充、澄清、更正</w:t>
      </w:r>
    </w:p>
    <w:p w14:paraId="2029344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.供应商提出的与本项目有关的任何问题须在收到采购文件后，按规定时间以书面形式递交至采购</w:t>
      </w:r>
      <w:r>
        <w:rPr>
          <w:rFonts w:hint="eastAsia" w:ascii="仿宋_GB2312" w:hAnsi="仿宋_GB2312" w:eastAsia="仿宋_GB2312" w:cs="仿宋_GB2312"/>
          <w:sz w:val="32"/>
          <w:szCs w:val="32"/>
          <w:lang w:val="en-US" w:eastAsia="zh-CN"/>
        </w:rPr>
        <w:t>方</w:t>
      </w:r>
      <w:r>
        <w:rPr>
          <w:rFonts w:hint="eastAsia" w:ascii="仿宋_GB2312" w:hAnsi="仿宋_GB2312" w:eastAsia="仿宋_GB2312" w:cs="仿宋_GB2312"/>
          <w:sz w:val="32"/>
          <w:szCs w:val="32"/>
        </w:rPr>
        <w:t>，未以书面形式提出或逾期提出的异议将不被接受。如无疑问，视作供应商完全响应采购文件的条款和要求</w:t>
      </w:r>
      <w:r>
        <w:rPr>
          <w:rFonts w:hint="eastAsia" w:ascii="仿宋_GB2312" w:hAnsi="仿宋_GB2312" w:eastAsia="仿宋_GB2312" w:cs="仿宋_GB2312"/>
          <w:sz w:val="32"/>
          <w:szCs w:val="32"/>
          <w:lang w:eastAsia="zh-CN"/>
        </w:rPr>
        <w:t>。</w:t>
      </w:r>
    </w:p>
    <w:p w14:paraId="5CF52C0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3.采购方有权对已发出的采购文件进行必要的澄清或更正。</w:t>
      </w:r>
    </w:p>
    <w:p w14:paraId="7739B19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4.采购方可视具体情况，延长</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截止时间和</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时间。</w:t>
      </w:r>
    </w:p>
    <w:p w14:paraId="736A621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5.所有有关采购文件的补充、澄清、更正</w:t>
      </w:r>
      <w:r>
        <w:rPr>
          <w:rFonts w:hint="eastAsia" w:ascii="仿宋_GB2312" w:hAnsi="仿宋_GB2312" w:eastAsia="仿宋_GB2312" w:cs="仿宋_GB2312"/>
          <w:sz w:val="32"/>
          <w:szCs w:val="32"/>
          <w:lang w:val="en-US" w:eastAsia="zh-CN"/>
        </w:rPr>
        <w:t>内容</w:t>
      </w:r>
      <w:r>
        <w:rPr>
          <w:rFonts w:hint="eastAsia" w:ascii="仿宋_GB2312" w:hAnsi="仿宋_GB2312" w:eastAsia="仿宋_GB2312" w:cs="仿宋_GB2312"/>
          <w:sz w:val="32"/>
          <w:szCs w:val="32"/>
        </w:rPr>
        <w:t>将作为采购文件的组成部分，并对供应商具有约束力，由供应商自行关注并获取。</w:t>
      </w:r>
    </w:p>
    <w:p w14:paraId="060F6728">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六、供应商的义务</w:t>
      </w:r>
    </w:p>
    <w:p w14:paraId="0F90461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1.供应商应当认真阅读采购文件，完全明了采购项目的内容。</w:t>
      </w:r>
    </w:p>
    <w:p w14:paraId="129439A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2.供应商应当按照采购文件的要求编制响应文件。响应文件应对采购文件提出的实质性要求和条件作出完全响应。</w:t>
      </w:r>
    </w:p>
    <w:p w14:paraId="3053F4C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3.供应商应在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截止时间前，将密封的响应文件送达</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地点。</w:t>
      </w:r>
    </w:p>
    <w:p w14:paraId="6FDD345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4.供应商不得相互串通</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报价，不得排挤其他供应商的公平竞争，损害采购方或者其他供应商合法权益。供应商不得与采购方串通投标，损害国家利益、公众利益或者他人的合法权益。</w:t>
      </w:r>
    </w:p>
    <w:p w14:paraId="319BF866">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七、</w:t>
      </w:r>
      <w:r>
        <w:rPr>
          <w:rFonts w:hint="eastAsia" w:ascii="黑体" w:hAnsi="黑体" w:eastAsia="黑体" w:cs="黑体"/>
          <w:b w:val="0"/>
          <w:bCs w:val="0"/>
          <w:sz w:val="32"/>
          <w:szCs w:val="32"/>
          <w:lang w:eastAsia="zh-CN"/>
        </w:rPr>
        <w:t>投标</w:t>
      </w:r>
      <w:r>
        <w:rPr>
          <w:rFonts w:hint="eastAsia" w:ascii="黑体" w:hAnsi="黑体" w:eastAsia="黑体" w:cs="黑体"/>
          <w:b w:val="0"/>
          <w:bCs w:val="0"/>
          <w:sz w:val="32"/>
          <w:szCs w:val="32"/>
        </w:rPr>
        <w:t>报价</w:t>
      </w:r>
    </w:p>
    <w:p w14:paraId="5CEBBCF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1.本项目</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报价应包括为完成该项目所涉及到的一切相关费用，采购方不再支付其他任何费用。</w:t>
      </w:r>
    </w:p>
    <w:p w14:paraId="531EF45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报价方式</w:t>
      </w:r>
    </w:p>
    <w:p w14:paraId="1DB0B36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（1）供应商应按照采购文件中提供的格式完整填写报价一览表。报价一览表中的报价应与分项报价表的总价完全一致，如有不一致的，以报价一览表的报价为准。</w:t>
      </w:r>
    </w:p>
    <w:p w14:paraId="359BF48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填报分项报价表时，每一单项均应计算并填写单价和总价，该表由法定代表人签署。供应商未填单价或合价的项目，在实施后，采购方将不予支付，并视为该项费用已包括在其它有价款的单价或合价内。一项投标内容只允许一个报价，不接受任何有选择性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w:t>
      </w:r>
    </w:p>
    <w:p w14:paraId="29AA232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报价高于最高限价的作为无效响应处理。报价货币为人民币，评标时以人民币为准。</w:t>
      </w:r>
    </w:p>
    <w:p w14:paraId="4A3B289F">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八、响应文件组成</w:t>
      </w:r>
    </w:p>
    <w:p w14:paraId="21BC6A1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详见第二章响应文件的内容</w:t>
      </w:r>
    </w:p>
    <w:p w14:paraId="6DA861FA">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default" w:ascii="黑体" w:hAnsi="黑体" w:eastAsia="黑体" w:cs="黑体"/>
          <w:b w:val="0"/>
          <w:bCs w:val="0"/>
          <w:sz w:val="32"/>
          <w:szCs w:val="32"/>
        </w:rPr>
        <w:t>九</w:t>
      </w:r>
      <w:r>
        <w:rPr>
          <w:rFonts w:hint="eastAsia" w:ascii="黑体" w:hAnsi="黑体" w:eastAsia="黑体" w:cs="黑体"/>
          <w:b w:val="0"/>
          <w:bCs w:val="0"/>
          <w:sz w:val="32"/>
          <w:szCs w:val="32"/>
        </w:rPr>
        <w:t>、响应文件的有效期</w:t>
      </w:r>
    </w:p>
    <w:p w14:paraId="7C0A944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有效期为规定的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之日后六十（60）天。</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有效期比规定短的将被视为非响应性</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而予以拒绝。</w:t>
      </w:r>
    </w:p>
    <w:p w14:paraId="14E3D6C8">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十、响应文件递交截止时间及地点</w:t>
      </w:r>
    </w:p>
    <w:p w14:paraId="4FCEEF7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供应商应在规定的截止日期和时间之前将响应文件递交至采购公告中注明的地点，凡逾期送达的响应文件将不予接收。</w:t>
      </w:r>
    </w:p>
    <w:p w14:paraId="72E4D96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供应商在递交响应文件时须提供有效的法定代表人或</w:t>
      </w:r>
      <w:r>
        <w:rPr>
          <w:rFonts w:hint="eastAsia" w:ascii="仿宋_GB2312" w:hAnsi="仿宋_GB2312" w:eastAsia="仿宋_GB2312" w:cs="仿宋_GB2312"/>
          <w:sz w:val="32"/>
          <w:szCs w:val="32"/>
          <w:lang w:val="en-US" w:eastAsia="zh-CN"/>
        </w:rPr>
        <w:t>委托人</w:t>
      </w:r>
      <w:r>
        <w:rPr>
          <w:rFonts w:hint="eastAsia" w:ascii="仿宋_GB2312" w:hAnsi="仿宋_GB2312" w:eastAsia="仿宋_GB2312" w:cs="仿宋_GB2312"/>
          <w:sz w:val="32"/>
          <w:szCs w:val="32"/>
        </w:rPr>
        <w:t>身份证原件，未提供的，</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不接收其响应文件，不予参加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和评审。</w:t>
      </w:r>
    </w:p>
    <w:p w14:paraId="672442AA">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一</w:t>
      </w:r>
      <w:r>
        <w:rPr>
          <w:rFonts w:hint="eastAsia" w:ascii="黑体" w:hAnsi="黑体" w:eastAsia="黑体" w:cs="黑体"/>
          <w:b w:val="0"/>
          <w:bCs w:val="0"/>
          <w:sz w:val="32"/>
          <w:szCs w:val="32"/>
        </w:rPr>
        <w:t>、响应文件的修改和</w:t>
      </w:r>
      <w:r>
        <w:rPr>
          <w:rFonts w:hint="eastAsia" w:ascii="黑体" w:hAnsi="黑体" w:eastAsia="黑体" w:cs="黑体"/>
          <w:b w:val="0"/>
          <w:bCs w:val="0"/>
          <w:sz w:val="32"/>
          <w:szCs w:val="32"/>
          <w:lang w:eastAsia="zh-CN"/>
        </w:rPr>
        <w:t>撤回</w:t>
      </w:r>
    </w:p>
    <w:p w14:paraId="11C588B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供应商在递交响应文件后，可以修改或撤回其响应文件，但这种修改和撤回，必须在规定的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截止时间前，以书面形式通知</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w:t>
      </w:r>
    </w:p>
    <w:p w14:paraId="488E3B6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供应商的修改或撤回文件应按规定进行编制、密封、标记和递交，并应在封袋上加注“修改”或“撤回”字样。上述补充或修改若涉及</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报价，必须注明“最后唯一报价”字样，否则将视为有选择的报价。修改文件必须在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截止时间前送达</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地点。</w:t>
      </w:r>
    </w:p>
    <w:p w14:paraId="43F6C73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截止时间之后，供应商不得对其响应文件作任何修改。</w:t>
      </w:r>
    </w:p>
    <w:p w14:paraId="0A43A73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截止时间至采购文件中规定的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有效期满之间的这段时间内，供应商不得撤回其响应文件。</w:t>
      </w:r>
    </w:p>
    <w:p w14:paraId="286F0A69">
      <w:pPr>
        <w:snapToGrid/>
        <w:spacing w:beforeAutospacing="0" w:afterAutospacing="0" w:line="560" w:lineRule="exact"/>
        <w:ind w:left="0" w:leftChars="0" w:right="0" w:rightChars="0" w:firstLine="482" w:firstLineChars="0"/>
        <w:jc w:val="left"/>
        <w:rPr>
          <w:rFonts w:hint="default" w:ascii="黑体" w:hAnsi="黑体" w:eastAsia="黑体" w:cs="黑体"/>
          <w:b w:val="0"/>
          <w:bCs w:val="0"/>
          <w:sz w:val="32"/>
          <w:szCs w:val="32"/>
          <w:lang w:eastAsia="zh-CN"/>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二</w:t>
      </w:r>
      <w:r>
        <w:rPr>
          <w:rFonts w:hint="eastAsia" w:ascii="黑体" w:hAnsi="黑体" w:eastAsia="黑体" w:cs="黑体"/>
          <w:b w:val="0"/>
          <w:bCs w:val="0"/>
          <w:sz w:val="32"/>
          <w:szCs w:val="32"/>
        </w:rPr>
        <w:t>、</w:t>
      </w:r>
      <w:r>
        <w:rPr>
          <w:rFonts w:hint="default" w:ascii="黑体" w:hAnsi="黑体" w:eastAsia="黑体" w:cs="黑体"/>
          <w:b w:val="0"/>
          <w:bCs w:val="0"/>
          <w:sz w:val="32"/>
          <w:szCs w:val="32"/>
          <w:lang w:eastAsia="zh-CN"/>
        </w:rPr>
        <w:t>评标方式</w:t>
      </w:r>
    </w:p>
    <w:p w14:paraId="2190178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eastAsia="zh-CN"/>
        </w:rPr>
        <w:t>本次</w:t>
      </w:r>
      <w:r>
        <w:rPr>
          <w:rFonts w:hint="eastAsia" w:ascii="仿宋_GB2312" w:hAnsi="仿宋_GB2312" w:eastAsia="仿宋_GB2312" w:cs="仿宋_GB2312"/>
          <w:sz w:val="32"/>
          <w:szCs w:val="32"/>
          <w:lang w:val="en-US" w:eastAsia="zh-CN"/>
        </w:rPr>
        <w:t>采购</w:t>
      </w:r>
      <w:r>
        <w:rPr>
          <w:rFonts w:hint="default" w:ascii="仿宋_GB2312" w:hAnsi="仿宋_GB2312" w:eastAsia="仿宋_GB2312" w:cs="仿宋_GB2312"/>
          <w:sz w:val="32"/>
          <w:szCs w:val="32"/>
          <w:lang w:eastAsia="zh-CN"/>
        </w:rPr>
        <w:t>采用网上评标方式。</w:t>
      </w:r>
    </w:p>
    <w:p w14:paraId="4445198B">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招标小组</w:t>
      </w:r>
    </w:p>
    <w:p w14:paraId="205ECD6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负责具体的评审事务，并独立履行以下职责：</w:t>
      </w:r>
    </w:p>
    <w:p w14:paraId="521EE25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（1）审查、评价响应文件是否符合采购文件的商务、技术等实质性要求；</w:t>
      </w:r>
    </w:p>
    <w:p w14:paraId="692BEED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（2）要求供应商对响应文件有关事项作出澄清或者说明；</w:t>
      </w:r>
    </w:p>
    <w:p w14:paraId="58103DC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（3）对响应文件进行比较和评价；</w:t>
      </w:r>
    </w:p>
    <w:p w14:paraId="534C089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（4）推荐或确定成交供应商；</w:t>
      </w:r>
    </w:p>
    <w:p w14:paraId="2DF52F2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（5）向采购方或者有关部门报告评审中发现的违法行为。</w:t>
      </w:r>
    </w:p>
    <w:p w14:paraId="38C7F6D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应当履行下列义务：</w:t>
      </w:r>
    </w:p>
    <w:p w14:paraId="2B5BC18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（1）遵纪守法，客观、公正、廉洁地履行职责；</w:t>
      </w:r>
    </w:p>
    <w:p w14:paraId="2DE95F5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（2）按照采购文件规定的评审办法和评分标准进行评审，对评审意见承担个人责任；</w:t>
      </w:r>
    </w:p>
    <w:p w14:paraId="0F6A57D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（3）对评审过程和结果以及供应商的商业秘密保密；</w:t>
      </w:r>
    </w:p>
    <w:p w14:paraId="241A80E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（4）负责评审报告的起草；</w:t>
      </w:r>
    </w:p>
    <w:p w14:paraId="5ECAC03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（5）配合相关部门的投诉处理工作；</w:t>
      </w:r>
    </w:p>
    <w:p w14:paraId="3216DCDC">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四</w:t>
      </w:r>
      <w:r>
        <w:rPr>
          <w:rFonts w:hint="eastAsia" w:ascii="黑体" w:hAnsi="黑体" w:eastAsia="黑体" w:cs="黑体"/>
          <w:b w:val="0"/>
          <w:bCs w:val="0"/>
          <w:sz w:val="32"/>
          <w:szCs w:val="32"/>
        </w:rPr>
        <w:t>、评审内容的保密</w:t>
      </w:r>
    </w:p>
    <w:p w14:paraId="72FC9E6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开始后，直到宣布授予成交供应商合同为止，凡属于审查、澄清、评价和比较投标的所有资料，有关授予合同的信息都不应向供应商或与评审无关的其他人泄露。</w:t>
      </w:r>
    </w:p>
    <w:p w14:paraId="362057E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2.在评审过程中，供应商不得以任何行为影响评审过程，否则其响应文件将被</w:t>
      </w:r>
      <w:r>
        <w:rPr>
          <w:rFonts w:hint="eastAsia" w:ascii="仿宋_GB2312" w:hAnsi="仿宋_GB2312" w:eastAsia="仿宋_GB2312" w:cs="仿宋_GB2312"/>
          <w:sz w:val="32"/>
          <w:szCs w:val="32"/>
          <w:lang w:eastAsia="zh-CN"/>
        </w:rPr>
        <w:t>视为</w:t>
      </w:r>
      <w:r>
        <w:rPr>
          <w:rFonts w:hint="eastAsia" w:ascii="仿宋_GB2312" w:hAnsi="仿宋_GB2312" w:eastAsia="仿宋_GB2312" w:cs="仿宋_GB2312"/>
          <w:sz w:val="32"/>
          <w:szCs w:val="32"/>
        </w:rPr>
        <w:t>无效响应文件。</w:t>
      </w:r>
    </w:p>
    <w:p w14:paraId="24DDD717">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五</w:t>
      </w:r>
      <w:r>
        <w:rPr>
          <w:rFonts w:hint="eastAsia" w:ascii="黑体" w:hAnsi="黑体" w:eastAsia="黑体" w:cs="黑体"/>
          <w:b w:val="0"/>
          <w:bCs w:val="0"/>
          <w:sz w:val="32"/>
          <w:szCs w:val="32"/>
        </w:rPr>
        <w:t>、对响应文件的审查</w:t>
      </w:r>
    </w:p>
    <w:p w14:paraId="799234F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响应文件初审分为资格审查和符合性审查。</w:t>
      </w:r>
    </w:p>
    <w:p w14:paraId="0B37F6C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1.资格审查：依据法律法规和采购文件的规定对响应文件中的资格证明文件进行审查。</w:t>
      </w:r>
    </w:p>
    <w:p w14:paraId="12C6835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2.符合性审查：依据采购文件的规定，由评审委员会从响应文件的有效性、完整性和对采购文件的响应程度进行审查，以确定是否对采购文件的实质性要求作出响应。</w:t>
      </w:r>
    </w:p>
    <w:p w14:paraId="67C6B6F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在详细评审之前，评审委员会将首先审查每份响应文件是否实质性响应了采购文件的要求。实质性响应的文件应该是与采购文件要求的全部条款、条件和规格相符，没有重大偏离或保留的文件。</w:t>
      </w:r>
    </w:p>
    <w:p w14:paraId="4647147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谓重大偏离或保留是指与采购文件规定的实质性要求存在负偏离，或者在实质上与采购文件不一致，而且限制了合同中采购方和见证方的权利或供应商的义务，纠正这些偏离或保留将会对其他实质性响应要求的供应商的竞争地位产生不公正的影响。重大偏离的认定需经过</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三分之二及以上成员的认定。</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决定响应文件的响应性只根据响应文件本身的内容，而不寻求外部的证据。如果响应文件实质上没有响应采购文件的要求，</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将予以拒绝，供应商不得通过修改或撤销不合要求的偏离或保留而使其响应文件成为实质性响应的文件。</w:t>
      </w:r>
    </w:p>
    <w:p w14:paraId="3F89C38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3.响应文件出现下列情况之一的，将作为无效响应文件处理：</w:t>
      </w:r>
    </w:p>
    <w:p w14:paraId="19859C4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（1）供应商未通过报名或者供应商名称与报名信息发生实质性改变的；</w:t>
      </w:r>
    </w:p>
    <w:p w14:paraId="7268A7D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（2）响应文件递交时未按规定密封、盖章的，电子光盘未提供或未单独密封的；</w:t>
      </w:r>
    </w:p>
    <w:p w14:paraId="27E0B98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（3）供应商被列入失信被执行人、重大税收违法案件当事人名单和政府采购严重失信行为记录名单的。（查询渠道：“信用中国”网站（www.creditchina.gov.cn）、 “中国政府采购网”网站（www.ccgp.gov.cn）网站的相关主体信用记录）。</w:t>
      </w:r>
    </w:p>
    <w:p w14:paraId="78C448D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（4）响应文件未按规定签字或盖章的；</w:t>
      </w:r>
    </w:p>
    <w:p w14:paraId="7BE83A0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（5）未按第二章响应文件的组成中要求提供带“*”项材料或者与带“*”项内容存在负偏离的；</w:t>
      </w:r>
    </w:p>
    <w:p w14:paraId="74602B7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（6）响应文件未按采购文件规定的格式、内容和要求编制，响应文件字迹潦草、模糊、难以辨认；</w:t>
      </w:r>
    </w:p>
    <w:p w14:paraId="0EC6058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（7）响应文件材料所述情况和所附相关资料不符的；</w:t>
      </w:r>
    </w:p>
    <w:p w14:paraId="378C01C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（8）供应商以他人的名义投标、串通投标、以行贿手段谋取中标或者以其他弄虚作假方式投标的；</w:t>
      </w:r>
    </w:p>
    <w:p w14:paraId="4F7D816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（9）供应商在一份响应文件中，对同一采购项目报有两个或多个报价，且未书面确定以哪个报价为准的；</w:t>
      </w:r>
    </w:p>
    <w:p w14:paraId="708431A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（10）供应商的</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报价超出采购预算或者最高限价的；</w:t>
      </w:r>
    </w:p>
    <w:p w14:paraId="69BEEB8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认为供应商的报价明显低于其他通过符合性审查供应商的报价，有可能影响产品质量或者不能诚信履约的，应当要求其在评标现场合理的时间内提供书面说明，必要时提交相关证明材料；供应商不能证明其报价合理性的，</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应当将其作为无效响应处理；</w:t>
      </w:r>
    </w:p>
    <w:p w14:paraId="0EC6CE7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（12）响应文件含有采购方不能接受的附加条件的；</w:t>
      </w:r>
    </w:p>
    <w:p w14:paraId="74F24FF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（13）采购文件明确规定无效的其他情形，或者其他被</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认定无效的情况；</w:t>
      </w:r>
    </w:p>
    <w:p w14:paraId="34F9732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（14）不符合法律、法规和采购文件规定的其他实质性要求的。</w:t>
      </w:r>
    </w:p>
    <w:p w14:paraId="3131154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4.有下列情形之一的，视为供应商串通投标，投标无效：</w:t>
      </w:r>
    </w:p>
    <w:p w14:paraId="2CD854B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（1）不同供应商的响应文件由同一单位或者个人编制；</w:t>
      </w:r>
    </w:p>
    <w:p w14:paraId="577A91A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（2）不同供应商委托同一单位或者个人办理投标事宜；</w:t>
      </w:r>
    </w:p>
    <w:p w14:paraId="7284AFE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（3）不同供应商的响应文件载明的项目管理成员或者联系人员为同一人；</w:t>
      </w:r>
    </w:p>
    <w:p w14:paraId="645DDFE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（4）不同供应商的响应文件异常一致或者</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报价呈规律性差异；</w:t>
      </w:r>
    </w:p>
    <w:p w14:paraId="24C2684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（5）不同供应商的响应文件相互混装。</w:t>
      </w:r>
    </w:p>
    <w:p w14:paraId="54D6FFBA">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六</w:t>
      </w:r>
      <w:r>
        <w:rPr>
          <w:rFonts w:hint="eastAsia" w:ascii="黑体" w:hAnsi="黑体" w:eastAsia="黑体" w:cs="黑体"/>
          <w:b w:val="0"/>
          <w:bCs w:val="0"/>
          <w:sz w:val="32"/>
          <w:szCs w:val="32"/>
        </w:rPr>
        <w:t>、响应文件的澄清</w:t>
      </w:r>
    </w:p>
    <w:p w14:paraId="59B0F90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1.为了有助于响应文件的审查、评价和比较，</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小组可以书面方式要求供应商对响应文件中含义不明确、对同类问题表述不一致或者明显文字和计算错误的内容作必要的澄清、说明或者补正。供应商的澄清、说明或者补正应当采用书面形式，并加盖公章，或者由法定代表人或其授权的代表签字。</w:t>
      </w:r>
    </w:p>
    <w:p w14:paraId="2010101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可要求供应商就澄清的问题作出答复，该答复经供应商代表的签字认可，将作为响应文件内容的一部分。</w:t>
      </w:r>
    </w:p>
    <w:p w14:paraId="736966A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3.供应商在进行澄清、说明、答辩或补正时，不得改变超出采购文件的范围及改变响应文件的实质性内容。</w:t>
      </w:r>
    </w:p>
    <w:p w14:paraId="2E77BF6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4.响应文件报价出现前后不一致的，除采购文件另有规定外，按照下列规定修正：</w:t>
      </w:r>
    </w:p>
    <w:p w14:paraId="048E551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（1）响应文件中报价一览表内容与响应文件中相应内容不一致的，以报价一览表为准；</w:t>
      </w:r>
    </w:p>
    <w:p w14:paraId="7EB2268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（2）响应文件的大写金额与小写金额不一致的，以大写金额为准；</w:t>
      </w:r>
    </w:p>
    <w:p w14:paraId="37E2402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（3）单价金额小数点或者百分比有明显错位的，以报价一览表的总价为准，并修改单价；</w:t>
      </w:r>
    </w:p>
    <w:p w14:paraId="3A50267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（4）总价金额与按单价汇总金额不一致的，以单价金额计算结果为准。</w:t>
      </w:r>
    </w:p>
    <w:p w14:paraId="0238888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同时出现两种以上不一致的，按照前款规定的顺序修正。修正后的报价按照本采购文件规定经供应商确认后产生约束力，供应商不确认的，其</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无效。存在缺项漏项或者数量不符合采购文件要求的作为无效响应文件处理；对不同文字文本响应文件的解释发生异议的，以中文文本为准。</w:t>
      </w:r>
    </w:p>
    <w:p w14:paraId="6A6538F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5.供应商拒不按照</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要求作出澄清、说明或者补正的，作为无效响应处理。</w:t>
      </w:r>
    </w:p>
    <w:p w14:paraId="66C0276F">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对响应文件的判定，只依据响应文件内容本身，不依靠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后的任何外来证明。</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截止时间后，供应商对</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报价或其他实质性内容修正的函件和增加的任何优惠条件，一律不得作为评审、确定成交的依据。</w:t>
      </w:r>
    </w:p>
    <w:p w14:paraId="251262BA">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w:t>
      </w:r>
      <w:r>
        <w:rPr>
          <w:rFonts w:hint="default" w:ascii="黑体" w:hAnsi="黑体" w:eastAsia="黑体" w:cs="黑体"/>
          <w:b w:val="0"/>
          <w:bCs w:val="0"/>
          <w:sz w:val="32"/>
          <w:szCs w:val="32"/>
        </w:rPr>
        <w:t>七</w:t>
      </w:r>
      <w:r>
        <w:rPr>
          <w:rFonts w:hint="eastAsia" w:ascii="黑体" w:hAnsi="黑体" w:eastAsia="黑体" w:cs="黑体"/>
          <w:b w:val="0"/>
          <w:bCs w:val="0"/>
          <w:sz w:val="32"/>
          <w:szCs w:val="32"/>
        </w:rPr>
        <w:t>、终止竞争性</w:t>
      </w:r>
      <w:r>
        <w:rPr>
          <w:rFonts w:hint="eastAsia" w:ascii="黑体" w:hAnsi="黑体" w:eastAsia="黑体" w:cs="黑体"/>
          <w:b w:val="0"/>
          <w:bCs w:val="0"/>
          <w:sz w:val="32"/>
          <w:szCs w:val="32"/>
          <w:lang w:eastAsia="zh-CN"/>
        </w:rPr>
        <w:t>投标</w:t>
      </w:r>
      <w:r>
        <w:rPr>
          <w:rFonts w:hint="eastAsia" w:ascii="黑体" w:hAnsi="黑体" w:eastAsia="黑体" w:cs="黑体"/>
          <w:b w:val="0"/>
          <w:bCs w:val="0"/>
          <w:sz w:val="32"/>
          <w:szCs w:val="32"/>
        </w:rPr>
        <w:t>活动的情况</w:t>
      </w:r>
    </w:p>
    <w:p w14:paraId="483766F7">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1.因情况变化，不再符合规定的竞争性</w:t>
      </w:r>
      <w:r>
        <w:rPr>
          <w:rFonts w:hint="eastAsia" w:ascii="仿宋_GB2312" w:hAnsi="仿宋_GB2312" w:eastAsia="仿宋_GB2312" w:cs="仿宋_GB2312"/>
          <w:b w:val="0"/>
          <w:sz w:val="32"/>
          <w:szCs w:val="32"/>
          <w:lang w:eastAsia="zh-CN"/>
        </w:rPr>
        <w:t>投标</w:t>
      </w:r>
      <w:r>
        <w:rPr>
          <w:rFonts w:hint="eastAsia" w:ascii="仿宋_GB2312" w:hAnsi="仿宋_GB2312" w:eastAsia="仿宋_GB2312" w:cs="仿宋_GB2312"/>
          <w:b w:val="0"/>
          <w:sz w:val="32"/>
          <w:szCs w:val="32"/>
        </w:rPr>
        <w:t>采购方式适用情形的；</w:t>
      </w:r>
    </w:p>
    <w:p w14:paraId="73583DAF">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2.出现影响采购公正的违法、违规行为的；</w:t>
      </w:r>
    </w:p>
    <w:p w14:paraId="74BE1623">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3.供应商的最终报价均超过了采购预算，采购人不能支付的；</w:t>
      </w:r>
    </w:p>
    <w:p w14:paraId="4661AE98">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4.因重大变故，采购任务取消的。</w:t>
      </w:r>
    </w:p>
    <w:p w14:paraId="28547A98">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default" w:ascii="黑体" w:hAnsi="黑体" w:eastAsia="黑体" w:cs="黑体"/>
          <w:b w:val="0"/>
          <w:bCs w:val="0"/>
          <w:sz w:val="32"/>
          <w:szCs w:val="32"/>
        </w:rPr>
        <w:t>十八</w:t>
      </w:r>
      <w:r>
        <w:rPr>
          <w:rFonts w:hint="eastAsia" w:ascii="黑体" w:hAnsi="黑体" w:eastAsia="黑体" w:cs="黑体"/>
          <w:b w:val="0"/>
          <w:bCs w:val="0"/>
          <w:sz w:val="32"/>
          <w:szCs w:val="32"/>
        </w:rPr>
        <w:t>、评审、确定成交人方法</w:t>
      </w:r>
    </w:p>
    <w:p w14:paraId="274C4C7A">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1.本项目采用以下第（1）种方法：</w:t>
      </w:r>
    </w:p>
    <w:p w14:paraId="6F20D4E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（1）综合评分法 响应文件满足采购文件全部实质性要求且按照评审因素的量化指标（即评分细则）得分最高的供应商为成交供应商。</w:t>
      </w:r>
    </w:p>
    <w:p w14:paraId="607328B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（2）最低评标价法 响应文件满足采购文件全部实质性要求且</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报价最低的供应商为成交供应商。</w:t>
      </w:r>
    </w:p>
    <w:p w14:paraId="0D5E2AC6">
      <w:pPr>
        <w:snapToGrid/>
        <w:spacing w:before="200" w:beforeAutospacing="0" w:after="100" w:afterAutospacing="0" w:line="240" w:lineRule="auto"/>
        <w:ind w:left="0" w:leftChars="0" w:right="0" w:rightChars="0" w:firstLine="640" w:firstLineChars="200"/>
        <w:jc w:val="left"/>
        <w:outlineLvl w:val="2"/>
        <w:rPr>
          <w:rFonts w:hint="eastAsia" w:ascii="仿宋_GB2312" w:hAnsi="仿宋_GB2312" w:eastAsia="仿宋_GB2312" w:cs="仿宋_GB2312"/>
          <w:b w:val="0"/>
          <w:sz w:val="32"/>
          <w:szCs w:val="32"/>
        </w:rPr>
      </w:pPr>
      <w:r>
        <w:rPr>
          <w:rFonts w:hint="eastAsia" w:ascii="仿宋_GB2312" w:hAnsi="仿宋_GB2312" w:eastAsia="仿宋_GB2312" w:cs="仿宋_GB2312"/>
          <w:b w:val="0"/>
          <w:sz w:val="32"/>
          <w:szCs w:val="32"/>
        </w:rPr>
        <w:t>2.采购方授权</w:t>
      </w:r>
      <w:r>
        <w:rPr>
          <w:rFonts w:hint="eastAsia" w:ascii="仿宋_GB2312" w:hAnsi="仿宋_GB2312" w:eastAsia="仿宋_GB2312" w:cs="仿宋_GB2312"/>
          <w:b w:val="0"/>
          <w:sz w:val="32"/>
          <w:szCs w:val="32"/>
          <w:lang w:eastAsia="zh-CN"/>
        </w:rPr>
        <w:t>招标小组</w:t>
      </w:r>
      <w:r>
        <w:rPr>
          <w:rFonts w:hint="eastAsia" w:ascii="仿宋_GB2312" w:hAnsi="仿宋_GB2312" w:eastAsia="仿宋_GB2312" w:cs="仿宋_GB2312"/>
          <w:b w:val="0"/>
          <w:sz w:val="32"/>
          <w:szCs w:val="32"/>
        </w:rPr>
        <w:t>直接确定成交供应商。</w:t>
      </w:r>
    </w:p>
    <w:p w14:paraId="0EB75C7A">
      <w:pPr>
        <w:snapToGrid/>
        <w:spacing w:before="200" w:beforeAutospacing="0" w:after="100" w:afterAutospacing="0" w:line="240" w:lineRule="auto"/>
        <w:ind w:left="0" w:leftChars="0" w:right="0" w:rightChars="0" w:firstLine="640" w:firstLineChars="200"/>
        <w:jc w:val="left"/>
        <w:outlineLvl w:val="2"/>
        <w:rPr>
          <w:rFonts w:hint="eastAsia" w:ascii="黑体" w:hAnsi="黑体" w:eastAsia="黑体" w:cs="黑体"/>
          <w:b w:val="0"/>
          <w:bCs w:val="0"/>
          <w:sz w:val="32"/>
          <w:szCs w:val="32"/>
        </w:rPr>
      </w:pPr>
      <w:r>
        <w:rPr>
          <w:rFonts w:hint="default" w:ascii="黑体" w:hAnsi="黑体" w:eastAsia="黑体" w:cs="黑体"/>
          <w:b w:val="0"/>
          <w:bCs w:val="0"/>
          <w:sz w:val="32"/>
          <w:szCs w:val="32"/>
        </w:rPr>
        <w:t>十九</w:t>
      </w:r>
      <w:r>
        <w:rPr>
          <w:rFonts w:hint="eastAsia" w:ascii="黑体" w:hAnsi="黑体" w:eastAsia="黑体" w:cs="黑体"/>
          <w:b w:val="0"/>
          <w:bCs w:val="0"/>
          <w:sz w:val="32"/>
          <w:szCs w:val="32"/>
        </w:rPr>
        <w:t>、成交结果及公示</w:t>
      </w:r>
    </w:p>
    <w:p w14:paraId="52B0790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将成交结果在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上予以公告。公告期限为1个工作日。成交结果公示内容按照《政府采购公告和公示信息格式规范（2020年版）》（财办库</w:t>
      </w:r>
      <w:r>
        <w:rPr>
          <w:rFonts w:hint="eastAsia" w:ascii="仿宋_GB2312" w:hAnsi="仿宋_GB2312" w:eastAsia="仿宋_GB2312" w:cs="仿宋_GB2312"/>
          <w:sz w:val="32"/>
          <w:szCs w:val="32"/>
          <w:lang w:eastAsia="zh-CN"/>
        </w:rPr>
        <w:t>〔2020〕50号）</w:t>
      </w:r>
      <w:r>
        <w:rPr>
          <w:rFonts w:hint="eastAsia" w:ascii="仿宋_GB2312" w:hAnsi="仿宋_GB2312" w:eastAsia="仿宋_GB2312" w:cs="仿宋_GB2312"/>
          <w:sz w:val="32"/>
          <w:szCs w:val="32"/>
        </w:rPr>
        <w:t>规定执行。</w:t>
      </w:r>
    </w:p>
    <w:p w14:paraId="6BE51BC7">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2.若有充分证据证明，成交供应商出现下列情况之一的，一经查实，将被取消成交资格：</w:t>
      </w:r>
    </w:p>
    <w:p w14:paraId="59427C7D">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（1）提供虚假材料谋取成交的。</w:t>
      </w:r>
    </w:p>
    <w:p w14:paraId="7F1F214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（2）向采购方行贿或者提供其他不正当利益的。</w:t>
      </w:r>
    </w:p>
    <w:p w14:paraId="4F23034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（3）恶意竞争，</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总报价明显低于其自身合理成本且又无法提供证明的。</w:t>
      </w:r>
    </w:p>
    <w:p w14:paraId="516B40E5">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（4）属于本文件规定的无效条件，但在评审过程中又未被</w:t>
      </w:r>
      <w:r>
        <w:rPr>
          <w:rFonts w:hint="eastAsia" w:ascii="仿宋_GB2312" w:hAnsi="仿宋_GB2312" w:eastAsia="仿宋_GB2312" w:cs="仿宋_GB2312"/>
          <w:sz w:val="32"/>
          <w:szCs w:val="32"/>
          <w:lang w:eastAsia="zh-CN"/>
        </w:rPr>
        <w:t>招标小组</w:t>
      </w:r>
      <w:r>
        <w:rPr>
          <w:rFonts w:hint="eastAsia" w:ascii="仿宋_GB2312" w:hAnsi="仿宋_GB2312" w:eastAsia="仿宋_GB2312" w:cs="仿宋_GB2312"/>
          <w:sz w:val="32"/>
          <w:szCs w:val="32"/>
        </w:rPr>
        <w:t>发现的。</w:t>
      </w:r>
    </w:p>
    <w:p w14:paraId="559453F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（5）与采购方或者其他供应商恶意串通的。</w:t>
      </w:r>
    </w:p>
    <w:p w14:paraId="1DB2E84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（6）采取不正当手段诋毁、排挤其他供应商的。</w:t>
      </w:r>
    </w:p>
    <w:p w14:paraId="774B9DAA">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（7）不符合法律、法规的规定的。</w:t>
      </w:r>
    </w:p>
    <w:p w14:paraId="116D7943">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供应商认为采购文件、采购过程和采购结果使自己的权益受到损害的，可以在知道或应知其权益受到损害之日起七个工作日内，以书面形式向采购方提出该质疑应当有明确的请求和必要的证明材料，同时该质疑应有供应商法定代表人或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的授权委托人签署并加盖公章（原件）。</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将在收到经供应商法定代表人或参加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的授权委托人签署和盖公章（原件）的书面质疑后七个工作日内，对质疑内容</w:t>
      </w:r>
      <w:r>
        <w:rPr>
          <w:rFonts w:hint="eastAsia" w:ascii="仿宋_GB2312" w:hAnsi="仿宋_GB2312" w:eastAsia="仿宋_GB2312" w:cs="仿宋_GB2312"/>
          <w:sz w:val="32"/>
          <w:szCs w:val="32"/>
          <w:lang w:eastAsia="zh-CN"/>
        </w:rPr>
        <w:t>作出</w:t>
      </w:r>
      <w:r>
        <w:rPr>
          <w:rFonts w:hint="eastAsia" w:ascii="仿宋_GB2312" w:hAnsi="仿宋_GB2312" w:eastAsia="仿宋_GB2312" w:cs="仿宋_GB2312"/>
          <w:sz w:val="32"/>
          <w:szCs w:val="32"/>
        </w:rPr>
        <w:t>答复。如供应商在成交公告期限届满之日起七个工作日后向</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提出质疑或质疑</w:t>
      </w:r>
      <w:r>
        <w:rPr>
          <w:rFonts w:hint="eastAsia" w:ascii="仿宋_GB2312" w:hAnsi="仿宋_GB2312" w:eastAsia="仿宋_GB2312" w:cs="仿宋_GB2312"/>
          <w:sz w:val="32"/>
          <w:szCs w:val="32"/>
          <w:lang w:eastAsia="zh-CN"/>
        </w:rPr>
        <w:t>未经</w:t>
      </w:r>
      <w:r>
        <w:rPr>
          <w:rFonts w:hint="eastAsia" w:ascii="仿宋_GB2312" w:hAnsi="仿宋_GB2312" w:eastAsia="仿宋_GB2312" w:cs="仿宋_GB2312"/>
          <w:sz w:val="32"/>
          <w:szCs w:val="32"/>
        </w:rPr>
        <w:t>供应商法定代表人或参加投标的授权委托人签署或加盖公章（原件）或未提供明确的请求和必要的证明材料的，</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有权对该质疑不予答复（法律法规另有其他规定的除外）。供应商提出书面质疑必须有理、有据，不得恶意质疑或提交虚假质疑。否则，一经查实，</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有权依据有关规定，报请有关行政监督部门对该供应商进行相应的处罚。</w:t>
      </w:r>
    </w:p>
    <w:p w14:paraId="346F996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活动的供应商或在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活动中自身权益未受到损害的供应商所提出的质疑不予受理。如有参加</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的供应商提出有效质疑，并因此可能对成交结果产生影响，而最终被取消成交资格的，</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对成交供应商不承担任何责任。</w:t>
      </w:r>
    </w:p>
    <w:p w14:paraId="0B6BF1DF">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w:t>
      </w:r>
      <w:r>
        <w:rPr>
          <w:rFonts w:hint="default" w:ascii="黑体" w:hAnsi="黑体" w:eastAsia="黑体" w:cs="黑体"/>
          <w:b w:val="0"/>
          <w:bCs w:val="0"/>
          <w:sz w:val="32"/>
          <w:szCs w:val="32"/>
        </w:rPr>
        <w:t>十</w:t>
      </w:r>
      <w:r>
        <w:rPr>
          <w:rFonts w:hint="eastAsia" w:ascii="黑体" w:hAnsi="黑体" w:eastAsia="黑体" w:cs="黑体"/>
          <w:b w:val="0"/>
          <w:bCs w:val="0"/>
          <w:sz w:val="32"/>
          <w:szCs w:val="32"/>
        </w:rPr>
        <w:t>、成交通知书</w:t>
      </w:r>
    </w:p>
    <w:p w14:paraId="4EDBAC8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1.成交结果确定后，</w:t>
      </w:r>
      <w:r>
        <w:rPr>
          <w:rFonts w:hint="eastAsia" w:ascii="仿宋_GB2312" w:hAnsi="仿宋_GB2312" w:eastAsia="仿宋_GB2312" w:cs="仿宋_GB2312"/>
          <w:sz w:val="32"/>
          <w:szCs w:val="32"/>
          <w:lang w:val="en-US" w:eastAsia="zh-CN"/>
        </w:rPr>
        <w:t>采购方</w:t>
      </w:r>
      <w:r>
        <w:rPr>
          <w:rFonts w:hint="eastAsia" w:ascii="仿宋_GB2312" w:hAnsi="仿宋_GB2312" w:eastAsia="仿宋_GB2312" w:cs="仿宋_GB2312"/>
          <w:sz w:val="32"/>
          <w:szCs w:val="32"/>
        </w:rPr>
        <w:t>将向成交供应商发出成交通知书。</w:t>
      </w:r>
    </w:p>
    <w:p w14:paraId="1E10602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2.成交通知书对采购方和成交供应商具有法律约束力。成交通知书发出后，采购方改变成交结果或者成交供应商放弃成交，均应当承担相应的法律责任</w:t>
      </w:r>
      <w:r>
        <w:rPr>
          <w:rFonts w:hint="eastAsia" w:ascii="仿宋_GB2312" w:hAnsi="仿宋_GB2312" w:eastAsia="仿宋_GB2312" w:cs="仿宋_GB2312"/>
          <w:sz w:val="32"/>
          <w:szCs w:val="32"/>
          <w:lang w:eastAsia="zh-CN"/>
        </w:rPr>
        <w:t>。</w:t>
      </w:r>
    </w:p>
    <w:p w14:paraId="7FA606A2">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3.采购方对未成交供应商不承担解释未成交原因的义务。</w:t>
      </w:r>
    </w:p>
    <w:p w14:paraId="7C4D9CDB">
      <w:pPr>
        <w:snapToGrid/>
        <w:spacing w:beforeAutospacing="0" w:afterAutospacing="0" w:line="560" w:lineRule="exact"/>
        <w:ind w:left="0" w:leftChars="0" w:right="0" w:rightChars="0" w:firstLine="482"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二十</w:t>
      </w:r>
      <w:r>
        <w:rPr>
          <w:rFonts w:hint="default" w:ascii="黑体" w:hAnsi="黑体" w:eastAsia="黑体" w:cs="黑体"/>
          <w:b w:val="0"/>
          <w:bCs w:val="0"/>
          <w:sz w:val="32"/>
          <w:szCs w:val="32"/>
        </w:rPr>
        <w:t>一</w:t>
      </w:r>
      <w:r>
        <w:rPr>
          <w:rFonts w:hint="eastAsia" w:ascii="黑体" w:hAnsi="黑体" w:eastAsia="黑体" w:cs="黑体"/>
          <w:b w:val="0"/>
          <w:bCs w:val="0"/>
          <w:sz w:val="32"/>
          <w:szCs w:val="32"/>
        </w:rPr>
        <w:t>、履约保证金</w:t>
      </w:r>
    </w:p>
    <w:p w14:paraId="384ABF0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w:t>
      </w:r>
    </w:p>
    <w:p w14:paraId="1860A6B2">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二十</w:t>
      </w:r>
      <w:r>
        <w:rPr>
          <w:rFonts w:hint="default" w:ascii="黑体" w:hAnsi="黑体" w:eastAsia="黑体" w:cs="黑体"/>
          <w:b w:val="0"/>
          <w:bCs w:val="0"/>
          <w:sz w:val="32"/>
          <w:szCs w:val="32"/>
          <w:lang w:eastAsia="zh-CN"/>
        </w:rPr>
        <w:t>二</w:t>
      </w:r>
      <w:r>
        <w:rPr>
          <w:rFonts w:hint="eastAsia" w:ascii="黑体" w:hAnsi="黑体" w:eastAsia="黑体" w:cs="黑体"/>
          <w:b w:val="0"/>
          <w:bCs w:val="0"/>
          <w:sz w:val="32"/>
          <w:szCs w:val="32"/>
        </w:rPr>
        <w:t>、合同的签订</w:t>
      </w:r>
    </w:p>
    <w:p w14:paraId="4CF3DB2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1.成交供应商应按成交通知书规定的时间、地点，按照采购文件确定的事项与采购方签订采购合同，且不得迟于成交通知书发出之日起三十日内，否则由此给采购方造成损失的，成交供应商还应承担赔偿责任。</w:t>
      </w:r>
    </w:p>
    <w:p w14:paraId="2B369CE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2.采购文件、成交供应商的响应文件及采购过程中有关澄清、承诺文件均应作为合同附件。</w:t>
      </w:r>
    </w:p>
    <w:p w14:paraId="435E78B8">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签订合同后，成交供应商不得将货物及其他相关服务进行转包。未经采购方同意，成交供应商也不得采用分包的形式履行合同，否则采购方有权终止合同，成交供应商的履约保证金将不予退还。转包或分包造成采购方损失的，成交供应商应承担相应赔偿责任。</w:t>
      </w:r>
    </w:p>
    <w:p w14:paraId="449B4ED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4.合同履行中，采购方需追加与合同标的相同的货物或服务的，在不改变合同其他条款的前提下，可以与成交供应商协商签订补充合同，但所有补充合同的采购金额不超过原合同金额10%。</w:t>
      </w:r>
    </w:p>
    <w:p w14:paraId="54364A51">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成交供应商因不可抗力导致无法按期签订合同的，应当在不可抗力发生之日起5日内提出，并提供书面证据，采购方及成交供应商互不承担任何责任及损失。如成交供应商无正当理由未按期签订合同的，视为自动放弃成交资格，采购方有权追究其违约责任，同时采购方有权与排位在成交供应商之后第一位的成交供应商签订合同或重新委托进行采购。</w:t>
      </w:r>
    </w:p>
    <w:p w14:paraId="1DE37543">
      <w:pPr>
        <w:snapToGrid/>
        <w:spacing w:beforeAutospacing="0" w:afterAutospacing="0" w:line="560" w:lineRule="exact"/>
        <w:ind w:right="0" w:rightChars="0" w:firstLine="640" w:firstLineChars="200"/>
        <w:jc w:val="left"/>
        <w:rPr>
          <w:rFonts w:hint="eastAsia" w:ascii="方正小标宋简体" w:hAnsi="方正小标宋简体" w:eastAsia="方正小标宋简体" w:cs="方正小标宋简体"/>
          <w:b w:val="0"/>
          <w:bCs w:val="0"/>
          <w:color w:val="0000FF"/>
          <w:sz w:val="36"/>
          <w:szCs w:val="36"/>
          <w:lang w:val="en-US" w:eastAsia="zh-CN"/>
        </w:rPr>
      </w:pPr>
      <w:r>
        <w:rPr>
          <w:rFonts w:hint="eastAsia" w:ascii="仿宋_GB2312" w:hAnsi="仿宋_GB2312" w:eastAsia="仿宋_GB2312" w:cs="仿宋_GB2312"/>
          <w:color w:val="0000FF"/>
          <w:sz w:val="32"/>
          <w:szCs w:val="32"/>
          <w:lang w:val="en-US" w:eastAsia="zh-CN"/>
        </w:rPr>
        <w:t>6.</w:t>
      </w:r>
      <w:r>
        <w:rPr>
          <w:rFonts w:hint="eastAsia" w:ascii="仿宋_GB2312" w:hAnsi="仿宋_GB2312" w:eastAsia="仿宋_GB2312" w:cs="仿宋_GB2312"/>
          <w:color w:val="0000FF"/>
          <w:kern w:val="2"/>
          <w:sz w:val="32"/>
          <w:szCs w:val="32"/>
          <w:lang w:val="en-US" w:eastAsia="zh-CN" w:bidi="ar-SA"/>
        </w:rPr>
        <w:t>除因不可抗力或发包人原因延误外，若甲方因其它非主观因素（如极端天气、自然灾害、政策调整、主管部门要求等）需调整或取消工期的，有权调整或取消开工/竣工时间。中标方需无条件配合甲方，不得以此为由提出额外费用索赔。</w:t>
      </w:r>
    </w:p>
    <w:p w14:paraId="77E25EC2">
      <w:pPr>
        <w:snapToGrid/>
        <w:spacing w:before="200" w:beforeAutospacing="0" w:after="100" w:afterAutospacing="0" w:line="240" w:lineRule="auto"/>
        <w:ind w:left="0" w:leftChars="0" w:right="0" w:rightChars="0" w:firstLine="0" w:firstLineChars="0"/>
        <w:jc w:val="center"/>
        <w:outlineLvl w:val="0"/>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第二章   响应文件的组成</w:t>
      </w:r>
    </w:p>
    <w:p w14:paraId="582450A3">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一、资格审查材料</w:t>
      </w:r>
    </w:p>
    <w:p w14:paraId="2A80A80E">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证明供应商符合资格要求的证明材料包括但不限于以下材料（响应文件中提供的材料均需加盖公章，未加盖公章的视为未提供该项材料）。</w:t>
      </w:r>
    </w:p>
    <w:p w14:paraId="29F3B9C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*1.响应函</w:t>
      </w:r>
    </w:p>
    <w:p w14:paraId="4AEF397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*2.法定代表人资格证明书、法定代表人身份证复印件（双面）</w:t>
      </w:r>
    </w:p>
    <w:p w14:paraId="7B6E14D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*3.授权委托书身份证复印件（双面）</w:t>
      </w:r>
    </w:p>
    <w:p w14:paraId="355D5FC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*4.法人或者其他组织的有效营业执照等证明文件</w:t>
      </w:r>
    </w:p>
    <w:p w14:paraId="3C20CEE4">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*5.承诺函</w:t>
      </w:r>
    </w:p>
    <w:p w14:paraId="642314E6">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*6.“信用中国”网站（www.creditchina.gov.cn）提供截图</w:t>
      </w:r>
    </w:p>
    <w:p w14:paraId="7B730840">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*7.3年内未违法声明</w:t>
      </w:r>
    </w:p>
    <w:p w14:paraId="56B184AB">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 建筑工程施工总承包三级及以上资质</w:t>
      </w:r>
    </w:p>
    <w:p w14:paraId="0F43B77C">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*9.有效期内的安全许可证</w:t>
      </w:r>
    </w:p>
    <w:p w14:paraId="116C6799">
      <w:pPr>
        <w:snapToGrid/>
        <w:spacing w:beforeAutospacing="0" w:afterAutospacing="0" w:line="560" w:lineRule="exact"/>
        <w:ind w:left="0" w:leftChars="0" w:right="0" w:rightChars="0" w:firstLine="482"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10.中小企业声明函</w:t>
      </w:r>
    </w:p>
    <w:p w14:paraId="5A61D9A1">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二、价格及有关商务部分材料</w:t>
      </w:r>
    </w:p>
    <w:p w14:paraId="4A7165D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*1.报价一览表</w:t>
      </w:r>
    </w:p>
    <w:p w14:paraId="0F6FC63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*2.分项报价表</w:t>
      </w:r>
    </w:p>
    <w:p w14:paraId="0AFAEA06">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三、技术部分材料</w:t>
      </w:r>
    </w:p>
    <w:p w14:paraId="7C8FF56C">
      <w:pPr>
        <w:snapToGrid/>
        <w:spacing w:before="200" w:beforeAutospacing="0" w:after="100" w:afterAutospacing="0" w:line="240" w:lineRule="auto"/>
        <w:ind w:left="0" w:leftChars="0" w:right="0" w:rightChars="0" w:firstLine="640"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施工组织设计。编制具体要求是：编制时应说明各分部分项工程的施工方法；拟投入的主要施工机械设备情况、劳动力计划等；结合采购工程特点提出切实可行的工程质量、安全生产、文明施工、工程进度、技术组织措施，同时应对关键工序、复杂环节重点提出相应技术措施。</w:t>
      </w:r>
    </w:p>
    <w:p w14:paraId="4C25EB0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2．施工组织设计除采用文字表述外可视项目情况附下列图表</w:t>
      </w:r>
    </w:p>
    <w:p w14:paraId="2134DB7A">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（1）拟投入的主要施工机械设备表</w:t>
      </w:r>
    </w:p>
    <w:p w14:paraId="18341705">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（2）劳动力计划表</w:t>
      </w:r>
    </w:p>
    <w:p w14:paraId="375CBD4D">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（3）计划</w:t>
      </w:r>
      <w:r>
        <w:rPr>
          <w:rFonts w:hint="eastAsia" w:ascii="仿宋_GB2312" w:hAnsi="仿宋_GB2312" w:eastAsia="仿宋_GB2312" w:cs="仿宋_GB2312"/>
          <w:sz w:val="32"/>
          <w:szCs w:val="32"/>
          <w:lang w:eastAsia="zh-CN"/>
        </w:rPr>
        <w:t>开工</w:t>
      </w:r>
      <w:r>
        <w:rPr>
          <w:rFonts w:hint="eastAsia" w:ascii="仿宋_GB2312" w:hAnsi="仿宋_GB2312" w:eastAsia="仿宋_GB2312" w:cs="仿宋_GB2312"/>
          <w:sz w:val="32"/>
          <w:szCs w:val="32"/>
        </w:rPr>
        <w:t>、竣工日期和施工进度网络图</w:t>
      </w:r>
    </w:p>
    <w:p w14:paraId="44426A0A">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（4）施工总平面图。</w:t>
      </w:r>
    </w:p>
    <w:p w14:paraId="53645AA1">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*3.偏离表</w:t>
      </w:r>
    </w:p>
    <w:p w14:paraId="206B30A6">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*4.质量保证、服务承诺书</w:t>
      </w:r>
    </w:p>
    <w:p w14:paraId="75DEE24C">
      <w:pPr>
        <w:ind w:firstLine="320" w:firstLine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5.其他评审相关资料</w:t>
      </w:r>
    </w:p>
    <w:p w14:paraId="7D26CAD7">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四、说明</w:t>
      </w:r>
    </w:p>
    <w:p w14:paraId="0FA4C49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1.上述带“*”条款供应商必须在响应文件中提供，否则将作为无效响应处理。所有项目若有缺失或无效将可能导致</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无效且不允许在</w:t>
      </w:r>
      <w:r>
        <w:rPr>
          <w:rFonts w:hint="eastAsia" w:ascii="仿宋_GB2312" w:hAnsi="仿宋_GB2312" w:eastAsia="仿宋_GB2312" w:cs="仿宋_GB2312"/>
          <w:sz w:val="32"/>
          <w:szCs w:val="32"/>
          <w:lang w:eastAsia="zh-CN"/>
        </w:rPr>
        <w:t>投标</w:t>
      </w:r>
      <w:r>
        <w:rPr>
          <w:rFonts w:hint="eastAsia" w:ascii="仿宋_GB2312" w:hAnsi="仿宋_GB2312" w:eastAsia="仿宋_GB2312" w:cs="仿宋_GB2312"/>
          <w:sz w:val="32"/>
          <w:szCs w:val="32"/>
        </w:rPr>
        <w:t>截止后补正。</w:t>
      </w:r>
    </w:p>
    <w:p w14:paraId="768BA97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2.对本章所有的格式，供应商可根据自身情况进行补充和修改，但补充和修改不得造成与本格式内容有实质性的违背。供应商可</w:t>
      </w:r>
      <w:r>
        <w:rPr>
          <w:rFonts w:hint="eastAsia" w:ascii="仿宋_GB2312" w:hAnsi="仿宋_GB2312" w:eastAsia="仿宋_GB2312" w:cs="仿宋_GB2312"/>
          <w:sz w:val="32"/>
          <w:szCs w:val="32"/>
          <w:lang w:eastAsia="zh-CN"/>
        </w:rPr>
        <w:t>提供其他</w:t>
      </w:r>
      <w:r>
        <w:rPr>
          <w:rFonts w:hint="eastAsia" w:ascii="仿宋_GB2312" w:hAnsi="仿宋_GB2312" w:eastAsia="仿宋_GB2312" w:cs="仿宋_GB2312"/>
          <w:sz w:val="32"/>
          <w:szCs w:val="32"/>
        </w:rPr>
        <w:t>相关的证明材料（不限于此）。</w:t>
      </w:r>
    </w:p>
    <w:p w14:paraId="1EE505D2">
      <w:pPr>
        <w:rPr>
          <w:rFonts w:hint="eastAsia"/>
          <w:sz w:val="32"/>
          <w:szCs w:val="32"/>
        </w:rPr>
      </w:pPr>
    </w:p>
    <w:p w14:paraId="6836B36A">
      <w:pPr>
        <w:snapToGrid/>
        <w:spacing w:before="200" w:beforeAutospacing="0" w:after="100" w:afterAutospacing="0" w:line="240" w:lineRule="auto"/>
        <w:ind w:left="0" w:leftChars="0" w:right="0" w:rightChars="0" w:firstLine="0" w:firstLineChars="0"/>
        <w:jc w:val="center"/>
        <w:outlineLvl w:val="1"/>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第三章    项目需求</w:t>
      </w:r>
    </w:p>
    <w:p w14:paraId="3B113016">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一、项目概况</w:t>
      </w:r>
    </w:p>
    <w:p w14:paraId="657704DC">
      <w:pPr>
        <w:snapToGrid/>
        <w:spacing w:before="200" w:beforeAutospacing="0" w:after="100" w:afterAutospacing="0" w:line="240" w:lineRule="auto"/>
        <w:ind w:left="0" w:leftChars="0" w:right="0" w:rightChars="0" w:firstLine="640"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本次拆除工程项目位于常州市</w:t>
      </w:r>
      <w:r>
        <w:rPr>
          <w:rFonts w:hint="eastAsia" w:ascii="仿宋_GB2312" w:eastAsia="仿宋_GB2312"/>
          <w:sz w:val="32"/>
          <w:szCs w:val="32"/>
        </w:rPr>
        <w:t>钟楼</w:t>
      </w:r>
      <w:r>
        <w:rPr>
          <w:rFonts w:hint="eastAsia" w:ascii="仿宋_GB2312" w:eastAsia="仿宋_GB2312"/>
          <w:sz w:val="32"/>
          <w:szCs w:val="32"/>
          <w:lang w:val="en-US" w:eastAsia="zh-CN"/>
        </w:rPr>
        <w:t>区</w:t>
      </w:r>
      <w:r>
        <w:rPr>
          <w:rFonts w:hint="eastAsia" w:ascii="仿宋_GB2312" w:eastAsia="仿宋_GB2312"/>
          <w:sz w:val="32"/>
          <w:szCs w:val="32"/>
        </w:rPr>
        <w:t>常金路以南、新312国道以西</w:t>
      </w:r>
      <w:r>
        <w:rPr>
          <w:rFonts w:hint="eastAsia" w:ascii="仿宋_GB2312" w:hAnsi="仿宋_GB2312" w:eastAsia="仿宋_GB2312" w:cs="仿宋_GB2312"/>
          <w:sz w:val="32"/>
          <w:szCs w:val="32"/>
        </w:rPr>
        <w:t>钢结构房屋，拆除建筑面积约1</w:t>
      </w:r>
      <w:r>
        <w:rPr>
          <w:rFonts w:hint="eastAsia" w:ascii="仿宋_GB2312" w:hAnsi="仿宋_GB2312" w:eastAsia="仿宋_GB2312" w:cs="仿宋_GB2312"/>
          <w:sz w:val="32"/>
          <w:szCs w:val="32"/>
          <w:lang w:val="en-US" w:eastAsia="zh-CN"/>
        </w:rPr>
        <w:t>96</w:t>
      </w:r>
      <w:r>
        <w:rPr>
          <w:rFonts w:hint="eastAsia" w:ascii="仿宋_GB2312" w:hAnsi="仿宋_GB2312" w:eastAsia="仿宋_GB2312" w:cs="仿宋_GB2312"/>
          <w:sz w:val="32"/>
          <w:szCs w:val="32"/>
        </w:rPr>
        <w:t>0平方米。</w:t>
      </w:r>
    </w:p>
    <w:p w14:paraId="150863A9">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二、工程内容</w:t>
      </w:r>
    </w:p>
    <w:p w14:paraId="0D485CA1">
      <w:pPr>
        <w:snapToGrid/>
        <w:spacing w:before="200" w:beforeAutospacing="0" w:after="100" w:afterAutospacing="0" w:line="240" w:lineRule="auto"/>
        <w:ind w:left="0" w:leftChars="0" w:right="0" w:rightChars="0" w:firstLine="640"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根据采购方要求将位于常州市</w:t>
      </w:r>
      <w:r>
        <w:rPr>
          <w:rFonts w:hint="eastAsia" w:ascii="仿宋_GB2312" w:eastAsia="仿宋_GB2312"/>
          <w:sz w:val="32"/>
          <w:szCs w:val="32"/>
        </w:rPr>
        <w:t>钟楼</w:t>
      </w:r>
      <w:r>
        <w:rPr>
          <w:rFonts w:hint="eastAsia" w:ascii="仿宋_GB2312" w:eastAsia="仿宋_GB2312"/>
          <w:sz w:val="32"/>
          <w:szCs w:val="32"/>
          <w:lang w:val="en-US" w:eastAsia="zh-CN"/>
        </w:rPr>
        <w:t>区</w:t>
      </w:r>
      <w:r>
        <w:rPr>
          <w:rFonts w:hint="eastAsia" w:ascii="仿宋_GB2312" w:eastAsia="仿宋_GB2312"/>
          <w:sz w:val="32"/>
          <w:szCs w:val="32"/>
        </w:rPr>
        <w:t>常金路以南、新312国道以西</w:t>
      </w:r>
      <w:r>
        <w:rPr>
          <w:rFonts w:hint="eastAsia" w:ascii="仿宋_GB2312" w:hAnsi="仿宋_GB2312" w:eastAsia="仿宋_GB2312" w:cs="仿宋_GB2312"/>
          <w:sz w:val="32"/>
          <w:szCs w:val="32"/>
        </w:rPr>
        <w:t>违法建设房屋进行拆除，包括但不限于采购文件及其基本技术要求范围内相应工程开工前的准备（包括现场踏勘等）、制定方案、技术资料、施工、安全防护、围挡维护、清理现场、拆后物料处置、技术服务、主管单位验收、质保期和采购文件所要求的相关服务等全部内容。</w:t>
      </w:r>
    </w:p>
    <w:p w14:paraId="5848A949">
      <w:pPr>
        <w:snapToGrid/>
        <w:spacing w:before="200" w:beforeAutospacing="0" w:after="100" w:afterAutospacing="0" w:line="240" w:lineRule="auto"/>
        <w:ind w:left="0" w:leftChars="0" w:right="0" w:rightChars="0" w:firstLine="640"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承包方式：总价包干</w:t>
      </w:r>
    </w:p>
    <w:p w14:paraId="0668A290">
      <w:pPr>
        <w:snapToGrid/>
        <w:spacing w:before="200" w:beforeAutospacing="0" w:after="100" w:afterAutospacing="0" w:line="240" w:lineRule="auto"/>
        <w:ind w:left="0" w:leftChars="0" w:right="0" w:rightChars="0" w:firstLine="643" w:firstLineChars="200"/>
        <w:jc w:val="left"/>
        <w:outlineLvl w:val="1"/>
        <w:rPr>
          <w:rFonts w:hint="eastAsia" w:ascii="仿宋_GB2312" w:hAnsi="仿宋_GB2312" w:eastAsia="仿宋_GB2312" w:cs="仿宋_GB2312"/>
          <w:sz w:val="32"/>
          <w:szCs w:val="32"/>
        </w:rPr>
      </w:pPr>
      <w:r>
        <w:rPr>
          <w:rFonts w:hint="eastAsia" w:ascii="仿宋_GB2312" w:hAnsi="仿宋_GB2312" w:eastAsia="仿宋_GB2312" w:cs="仿宋_GB2312"/>
          <w:b/>
          <w:bCs/>
          <w:kern w:val="44"/>
          <w:sz w:val="32"/>
          <w:szCs w:val="32"/>
          <w:lang w:eastAsia="zh-CN"/>
        </w:rPr>
        <w:drawing>
          <wp:anchor distT="0" distB="0" distL="114300" distR="114300" simplePos="0" relativeHeight="251660288" behindDoc="1" locked="0" layoutInCell="1" allowOverlap="1">
            <wp:simplePos x="0" y="0"/>
            <wp:positionH relativeFrom="column">
              <wp:posOffset>142875</wp:posOffset>
            </wp:positionH>
            <wp:positionV relativeFrom="paragraph">
              <wp:posOffset>512445</wp:posOffset>
            </wp:positionV>
            <wp:extent cx="5102225" cy="2877820"/>
            <wp:effectExtent l="0" t="0" r="3175" b="17780"/>
            <wp:wrapNone/>
            <wp:docPr id="4" name="图片 4" descr="微信图片_20250827214455_8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50827214455_8_3"/>
                    <pic:cNvPicPr>
                      <a:picLocks noChangeAspect="1"/>
                    </pic:cNvPicPr>
                  </pic:nvPicPr>
                  <pic:blipFill>
                    <a:blip r:embed="rId6"/>
                    <a:stretch>
                      <a:fillRect/>
                    </a:stretch>
                  </pic:blipFill>
                  <pic:spPr>
                    <a:xfrm>
                      <a:off x="0" y="0"/>
                      <a:ext cx="5102225" cy="2877820"/>
                    </a:xfrm>
                    <a:prstGeom prst="rect">
                      <a:avLst/>
                    </a:prstGeom>
                  </pic:spPr>
                </pic:pic>
              </a:graphicData>
            </a:graphic>
          </wp:anchor>
        </w:drawing>
      </w:r>
      <w:r>
        <w:rPr>
          <w:rFonts w:hint="eastAsia" w:ascii="仿宋_GB2312" w:hAnsi="仿宋_GB2312" w:eastAsia="仿宋_GB2312" w:cs="仿宋_GB2312"/>
          <w:b/>
          <w:bCs/>
          <w:kern w:val="44"/>
          <w:sz w:val="32"/>
          <w:szCs w:val="32"/>
          <w:lang w:eastAsia="zh-CN"/>
        </w:rPr>
        <w:t>3.</w:t>
      </w:r>
      <w:r>
        <w:rPr>
          <w:rFonts w:hint="eastAsia" w:ascii="仿宋_GB2312" w:hAnsi="仿宋_GB2312" w:eastAsia="仿宋_GB2312" w:cs="仿宋_GB2312"/>
          <w:sz w:val="32"/>
          <w:szCs w:val="32"/>
        </w:rPr>
        <w:t>工程位置</w:t>
      </w:r>
    </w:p>
    <w:p w14:paraId="7015A8F3">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rPr>
      </w:pPr>
    </w:p>
    <w:p w14:paraId="6ED23230">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lang w:eastAsia="zh-CN"/>
        </w:rPr>
      </w:pPr>
    </w:p>
    <w:p w14:paraId="7A7CF414">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rPr>
      </w:pPr>
    </w:p>
    <w:p w14:paraId="74BFC047">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rPr>
      </w:pPr>
    </w:p>
    <w:p w14:paraId="4D786C1E">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rPr>
      </w:pPr>
    </w:p>
    <w:p w14:paraId="7DD436B0">
      <w:pPr>
        <w:tabs>
          <w:tab w:val="right" w:leader="dot" w:pos="8789"/>
        </w:tabs>
        <w:spacing w:before="156" w:beforeLines="50" w:after="156" w:afterLines="50" w:line="360" w:lineRule="auto"/>
        <w:jc w:val="center"/>
        <w:rPr>
          <w:rFonts w:hint="eastAsia" w:ascii="仿宋_GB2312" w:hAnsi="仿宋_GB2312" w:eastAsia="仿宋_GB2312" w:cs="仿宋_GB2312"/>
          <w:b/>
          <w:bCs/>
          <w:kern w:val="44"/>
          <w:sz w:val="32"/>
          <w:szCs w:val="32"/>
        </w:rPr>
      </w:pPr>
    </w:p>
    <w:p w14:paraId="4C985369">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三、工程量清单</w:t>
      </w:r>
    </w:p>
    <w:tbl>
      <w:tblPr>
        <w:tblStyle w:val="7"/>
        <w:tblpPr w:leftFromText="180" w:rightFromText="180" w:vertAnchor="text" w:horzAnchor="page" w:tblpX="1769" w:tblpY="133"/>
        <w:tblOverlap w:val="never"/>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5"/>
        <w:gridCol w:w="1740"/>
        <w:gridCol w:w="1425"/>
        <w:gridCol w:w="1455"/>
        <w:gridCol w:w="3255"/>
      </w:tblGrid>
      <w:tr w14:paraId="73494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005" w:type="dxa"/>
            <w:vAlign w:val="center"/>
          </w:tcPr>
          <w:p w14:paraId="48523F05">
            <w:pPr>
              <w:jc w:val="center"/>
              <w:rPr>
                <w:rFonts w:hint="eastAsia" w:asciiTheme="minorEastAsia" w:hAnsiTheme="minorEastAsia" w:eastAsiaTheme="minorEastAsia" w:cstheme="minorEastAsia"/>
                <w:b/>
                <w:bCs/>
                <w:sz w:val="28"/>
                <w:szCs w:val="28"/>
                <w:vertAlign w:val="baseline"/>
              </w:rPr>
            </w:pPr>
            <w:r>
              <w:rPr>
                <w:rFonts w:hint="eastAsia" w:asciiTheme="minorEastAsia" w:hAnsiTheme="minorEastAsia" w:eastAsiaTheme="minorEastAsia" w:cstheme="minorEastAsia"/>
                <w:b/>
                <w:bCs/>
                <w:sz w:val="28"/>
                <w:szCs w:val="28"/>
              </w:rPr>
              <w:t>序号</w:t>
            </w:r>
          </w:p>
        </w:tc>
        <w:tc>
          <w:tcPr>
            <w:tcW w:w="1740" w:type="dxa"/>
            <w:vAlign w:val="center"/>
          </w:tcPr>
          <w:p w14:paraId="0070B78A">
            <w:pPr>
              <w:jc w:val="center"/>
              <w:rPr>
                <w:rFonts w:hint="eastAsia" w:asciiTheme="minorEastAsia" w:hAnsiTheme="minorEastAsia" w:eastAsiaTheme="minorEastAsia" w:cstheme="minorEastAsia"/>
                <w:b/>
                <w:bCs/>
                <w:sz w:val="28"/>
                <w:szCs w:val="28"/>
                <w:vertAlign w:val="baseline"/>
              </w:rPr>
            </w:pPr>
            <w:r>
              <w:rPr>
                <w:rFonts w:hint="eastAsia" w:asciiTheme="minorEastAsia" w:hAnsiTheme="minorEastAsia" w:eastAsiaTheme="minorEastAsia" w:cstheme="minorEastAsia"/>
                <w:b/>
                <w:bCs/>
                <w:sz w:val="28"/>
                <w:szCs w:val="28"/>
              </w:rPr>
              <w:t>项目名称</w:t>
            </w:r>
          </w:p>
        </w:tc>
        <w:tc>
          <w:tcPr>
            <w:tcW w:w="1425" w:type="dxa"/>
            <w:vAlign w:val="center"/>
          </w:tcPr>
          <w:p w14:paraId="50580BBA">
            <w:pPr>
              <w:jc w:val="center"/>
              <w:rPr>
                <w:rFonts w:hint="eastAsia" w:asciiTheme="minorEastAsia" w:hAnsiTheme="minorEastAsia" w:eastAsiaTheme="minorEastAsia" w:cstheme="minorEastAsia"/>
                <w:b/>
                <w:bCs/>
                <w:sz w:val="28"/>
                <w:szCs w:val="28"/>
                <w:vertAlign w:val="baseline"/>
              </w:rPr>
            </w:pPr>
            <w:r>
              <w:rPr>
                <w:rFonts w:hint="eastAsia" w:asciiTheme="minorEastAsia" w:hAnsiTheme="minorEastAsia" w:eastAsiaTheme="minorEastAsia" w:cstheme="minorEastAsia"/>
                <w:b/>
                <w:bCs/>
                <w:sz w:val="28"/>
                <w:szCs w:val="28"/>
              </w:rPr>
              <w:t>计量单位</w:t>
            </w:r>
          </w:p>
        </w:tc>
        <w:tc>
          <w:tcPr>
            <w:tcW w:w="1455" w:type="dxa"/>
            <w:vAlign w:val="center"/>
          </w:tcPr>
          <w:p w14:paraId="34F298D8">
            <w:pPr>
              <w:jc w:val="center"/>
              <w:rPr>
                <w:rFonts w:hint="eastAsia" w:asciiTheme="minorEastAsia" w:hAnsiTheme="minorEastAsia" w:eastAsiaTheme="minorEastAsia" w:cstheme="minorEastAsia"/>
                <w:b/>
                <w:bCs/>
                <w:sz w:val="28"/>
                <w:szCs w:val="28"/>
                <w:vertAlign w:val="baseline"/>
              </w:rPr>
            </w:pPr>
            <w:r>
              <w:rPr>
                <w:rFonts w:hint="eastAsia" w:asciiTheme="minorEastAsia" w:hAnsiTheme="minorEastAsia" w:eastAsiaTheme="minorEastAsia" w:cstheme="minorEastAsia"/>
                <w:b/>
                <w:bCs/>
                <w:sz w:val="28"/>
                <w:szCs w:val="28"/>
              </w:rPr>
              <w:t>数量</w:t>
            </w:r>
          </w:p>
        </w:tc>
        <w:tc>
          <w:tcPr>
            <w:tcW w:w="3255" w:type="dxa"/>
            <w:vAlign w:val="center"/>
          </w:tcPr>
          <w:p w14:paraId="50EB6338">
            <w:pPr>
              <w:jc w:val="center"/>
              <w:rPr>
                <w:rFonts w:hint="eastAsia" w:asciiTheme="minorEastAsia" w:hAnsiTheme="minorEastAsia" w:eastAsiaTheme="minorEastAsia" w:cstheme="minorEastAsia"/>
                <w:b/>
                <w:bCs/>
                <w:sz w:val="28"/>
                <w:szCs w:val="28"/>
                <w:vertAlign w:val="baseline"/>
              </w:rPr>
            </w:pPr>
            <w:r>
              <w:rPr>
                <w:rFonts w:hint="eastAsia" w:asciiTheme="minorEastAsia" w:hAnsiTheme="minorEastAsia" w:eastAsiaTheme="minorEastAsia" w:cstheme="minorEastAsia"/>
                <w:b/>
                <w:bCs/>
                <w:sz w:val="28"/>
                <w:szCs w:val="28"/>
              </w:rPr>
              <w:t>备注</w:t>
            </w:r>
          </w:p>
        </w:tc>
      </w:tr>
      <w:tr w14:paraId="7EA2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76E3F93D">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1</w:t>
            </w:r>
          </w:p>
        </w:tc>
        <w:tc>
          <w:tcPr>
            <w:tcW w:w="1740" w:type="dxa"/>
            <w:vAlign w:val="center"/>
          </w:tcPr>
          <w:p w14:paraId="689D3C7F">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屋面拆除</w:t>
            </w:r>
          </w:p>
        </w:tc>
        <w:tc>
          <w:tcPr>
            <w:tcW w:w="1425" w:type="dxa"/>
            <w:vAlign w:val="center"/>
          </w:tcPr>
          <w:p w14:paraId="529FAC1C">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平</w:t>
            </w:r>
          </w:p>
        </w:tc>
        <w:tc>
          <w:tcPr>
            <w:tcW w:w="1455" w:type="dxa"/>
          </w:tcPr>
          <w:p w14:paraId="363912AF">
            <w:pPr>
              <w:jc w:val="center"/>
              <w:rPr>
                <w:rFonts w:hint="default" w:eastAsiaTheme="minorEastAsia"/>
                <w:color w:val="auto"/>
                <w:sz w:val="28"/>
                <w:szCs w:val="28"/>
                <w:vertAlign w:val="baseline"/>
                <w:lang w:val="en-US" w:eastAsia="zh-CN"/>
              </w:rPr>
            </w:pPr>
          </w:p>
        </w:tc>
        <w:tc>
          <w:tcPr>
            <w:tcW w:w="3255" w:type="dxa"/>
          </w:tcPr>
          <w:p w14:paraId="3E847A20">
            <w:pPr>
              <w:jc w:val="center"/>
              <w:rPr>
                <w:rFonts w:hint="eastAsia" w:eastAsiaTheme="minorEastAsia"/>
                <w:color w:val="auto"/>
                <w:sz w:val="28"/>
                <w:szCs w:val="28"/>
                <w:vertAlign w:val="baseline"/>
                <w:lang w:val="en-US" w:eastAsia="zh-CN"/>
              </w:rPr>
            </w:pPr>
          </w:p>
        </w:tc>
      </w:tr>
      <w:tr w14:paraId="4076B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09BB2F89">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2</w:t>
            </w:r>
          </w:p>
        </w:tc>
        <w:tc>
          <w:tcPr>
            <w:tcW w:w="1740" w:type="dxa"/>
            <w:vAlign w:val="center"/>
          </w:tcPr>
          <w:p w14:paraId="192DB1BC">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拆除钢架</w:t>
            </w:r>
          </w:p>
        </w:tc>
        <w:tc>
          <w:tcPr>
            <w:tcW w:w="1425" w:type="dxa"/>
            <w:vAlign w:val="center"/>
          </w:tcPr>
          <w:p w14:paraId="6B847B19">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米</w:t>
            </w:r>
          </w:p>
        </w:tc>
        <w:tc>
          <w:tcPr>
            <w:tcW w:w="1455" w:type="dxa"/>
          </w:tcPr>
          <w:p w14:paraId="5974987A">
            <w:pPr>
              <w:jc w:val="center"/>
              <w:rPr>
                <w:rFonts w:hint="eastAsia" w:eastAsiaTheme="minorEastAsia"/>
                <w:color w:val="auto"/>
                <w:sz w:val="28"/>
                <w:szCs w:val="28"/>
                <w:vertAlign w:val="baseline"/>
                <w:lang w:val="en-US" w:eastAsia="zh-CN"/>
              </w:rPr>
            </w:pPr>
          </w:p>
        </w:tc>
        <w:tc>
          <w:tcPr>
            <w:tcW w:w="3255" w:type="dxa"/>
          </w:tcPr>
          <w:p w14:paraId="6B4CC63C">
            <w:pPr>
              <w:jc w:val="center"/>
              <w:rPr>
                <w:rFonts w:hint="eastAsia" w:eastAsiaTheme="minorEastAsia"/>
                <w:color w:val="auto"/>
                <w:sz w:val="28"/>
                <w:szCs w:val="28"/>
                <w:vertAlign w:val="baseline"/>
                <w:lang w:val="en-US" w:eastAsia="zh-CN"/>
              </w:rPr>
            </w:pPr>
          </w:p>
        </w:tc>
      </w:tr>
      <w:tr w14:paraId="425EA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0068DC2D">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3</w:t>
            </w:r>
          </w:p>
        </w:tc>
        <w:tc>
          <w:tcPr>
            <w:tcW w:w="1740" w:type="dxa"/>
            <w:vAlign w:val="center"/>
          </w:tcPr>
          <w:p w14:paraId="436577DA">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门窗拆除</w:t>
            </w:r>
          </w:p>
        </w:tc>
        <w:tc>
          <w:tcPr>
            <w:tcW w:w="1425" w:type="dxa"/>
            <w:vAlign w:val="center"/>
          </w:tcPr>
          <w:p w14:paraId="3837190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平</w:t>
            </w:r>
          </w:p>
        </w:tc>
        <w:tc>
          <w:tcPr>
            <w:tcW w:w="1455" w:type="dxa"/>
          </w:tcPr>
          <w:p w14:paraId="76950A81">
            <w:pPr>
              <w:jc w:val="center"/>
              <w:rPr>
                <w:rFonts w:hint="default" w:eastAsiaTheme="minorEastAsia"/>
                <w:color w:val="auto"/>
                <w:sz w:val="28"/>
                <w:szCs w:val="28"/>
                <w:vertAlign w:val="baseline"/>
                <w:lang w:val="en-US" w:eastAsia="zh-CN"/>
              </w:rPr>
            </w:pPr>
          </w:p>
        </w:tc>
        <w:tc>
          <w:tcPr>
            <w:tcW w:w="3255" w:type="dxa"/>
          </w:tcPr>
          <w:p w14:paraId="240B8183">
            <w:pPr>
              <w:jc w:val="center"/>
              <w:rPr>
                <w:rFonts w:hint="eastAsia" w:eastAsiaTheme="minorEastAsia"/>
                <w:color w:val="auto"/>
                <w:sz w:val="28"/>
                <w:szCs w:val="28"/>
                <w:vertAlign w:val="baseline"/>
                <w:lang w:val="en-US" w:eastAsia="zh-CN"/>
              </w:rPr>
            </w:pPr>
          </w:p>
        </w:tc>
      </w:tr>
      <w:tr w14:paraId="57B3D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76D55F5C">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4</w:t>
            </w:r>
          </w:p>
        </w:tc>
        <w:tc>
          <w:tcPr>
            <w:tcW w:w="1740" w:type="dxa"/>
            <w:vAlign w:val="center"/>
          </w:tcPr>
          <w:p w14:paraId="7A117496">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砖砌墙拆除</w:t>
            </w:r>
          </w:p>
        </w:tc>
        <w:tc>
          <w:tcPr>
            <w:tcW w:w="1425" w:type="dxa"/>
            <w:vAlign w:val="center"/>
          </w:tcPr>
          <w:p w14:paraId="31B0BB9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平</w:t>
            </w:r>
          </w:p>
        </w:tc>
        <w:tc>
          <w:tcPr>
            <w:tcW w:w="1455" w:type="dxa"/>
          </w:tcPr>
          <w:p w14:paraId="49D3EF75">
            <w:pPr>
              <w:jc w:val="center"/>
              <w:rPr>
                <w:rFonts w:hint="default" w:eastAsiaTheme="minorEastAsia"/>
                <w:color w:val="auto"/>
                <w:sz w:val="28"/>
                <w:szCs w:val="28"/>
                <w:vertAlign w:val="baseline"/>
                <w:lang w:val="en-US" w:eastAsia="zh-CN"/>
              </w:rPr>
            </w:pPr>
          </w:p>
        </w:tc>
        <w:tc>
          <w:tcPr>
            <w:tcW w:w="3255" w:type="dxa"/>
          </w:tcPr>
          <w:p w14:paraId="44AA1587">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含拆除瓷砖、墙体等</w:t>
            </w:r>
          </w:p>
          <w:p w14:paraId="37424D57">
            <w:pPr>
              <w:jc w:val="center"/>
              <w:rPr>
                <w:rFonts w:hint="eastAsia" w:eastAsiaTheme="minorEastAsia"/>
                <w:color w:val="auto"/>
                <w:sz w:val="28"/>
                <w:szCs w:val="28"/>
                <w:vertAlign w:val="baseline"/>
                <w:lang w:val="en-US" w:eastAsia="zh-CN"/>
              </w:rPr>
            </w:pPr>
          </w:p>
        </w:tc>
      </w:tr>
      <w:tr w14:paraId="46F82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3569D30D">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5</w:t>
            </w:r>
          </w:p>
        </w:tc>
        <w:tc>
          <w:tcPr>
            <w:tcW w:w="1740" w:type="dxa"/>
            <w:vAlign w:val="center"/>
          </w:tcPr>
          <w:p w14:paraId="1C36E97F">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吊顶拆除</w:t>
            </w:r>
          </w:p>
        </w:tc>
        <w:tc>
          <w:tcPr>
            <w:tcW w:w="1425" w:type="dxa"/>
            <w:vAlign w:val="center"/>
          </w:tcPr>
          <w:p w14:paraId="4EA3C737">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平</w:t>
            </w:r>
          </w:p>
        </w:tc>
        <w:tc>
          <w:tcPr>
            <w:tcW w:w="1455" w:type="dxa"/>
          </w:tcPr>
          <w:p w14:paraId="3D5C8772">
            <w:pPr>
              <w:jc w:val="center"/>
              <w:rPr>
                <w:rFonts w:hint="eastAsia" w:eastAsiaTheme="minorEastAsia"/>
                <w:color w:val="auto"/>
                <w:sz w:val="28"/>
                <w:szCs w:val="28"/>
                <w:vertAlign w:val="baseline"/>
                <w:lang w:val="en-US" w:eastAsia="zh-CN"/>
              </w:rPr>
            </w:pPr>
          </w:p>
        </w:tc>
        <w:tc>
          <w:tcPr>
            <w:tcW w:w="3255" w:type="dxa"/>
          </w:tcPr>
          <w:p w14:paraId="55CB226A">
            <w:pPr>
              <w:jc w:val="center"/>
              <w:rPr>
                <w:rFonts w:hint="eastAsia" w:eastAsiaTheme="minorEastAsia"/>
                <w:color w:val="auto"/>
                <w:sz w:val="28"/>
                <w:szCs w:val="28"/>
                <w:vertAlign w:val="baseline"/>
                <w:lang w:val="en-US" w:eastAsia="zh-CN"/>
              </w:rPr>
            </w:pPr>
          </w:p>
        </w:tc>
      </w:tr>
      <w:tr w14:paraId="48FB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498AD299">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6</w:t>
            </w:r>
          </w:p>
        </w:tc>
        <w:tc>
          <w:tcPr>
            <w:tcW w:w="1740" w:type="dxa"/>
            <w:vAlign w:val="center"/>
          </w:tcPr>
          <w:p w14:paraId="45B1AE4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机械费</w:t>
            </w:r>
          </w:p>
        </w:tc>
        <w:tc>
          <w:tcPr>
            <w:tcW w:w="1425" w:type="dxa"/>
            <w:vAlign w:val="center"/>
          </w:tcPr>
          <w:p w14:paraId="72354257">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项</w:t>
            </w:r>
          </w:p>
        </w:tc>
        <w:tc>
          <w:tcPr>
            <w:tcW w:w="1455" w:type="dxa"/>
          </w:tcPr>
          <w:p w14:paraId="71D41E96">
            <w:pPr>
              <w:jc w:val="center"/>
              <w:rPr>
                <w:rFonts w:hint="eastAsia" w:eastAsiaTheme="minorEastAsia"/>
                <w:color w:val="auto"/>
                <w:sz w:val="28"/>
                <w:szCs w:val="28"/>
                <w:vertAlign w:val="baseline"/>
                <w:lang w:val="en-US" w:eastAsia="zh-CN"/>
              </w:rPr>
            </w:pPr>
          </w:p>
        </w:tc>
        <w:tc>
          <w:tcPr>
            <w:tcW w:w="3255" w:type="dxa"/>
          </w:tcPr>
          <w:p w14:paraId="27845CB2">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含大型挖机、小型挖机、装载机等</w:t>
            </w:r>
          </w:p>
        </w:tc>
      </w:tr>
      <w:tr w14:paraId="3DFCD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0F19CF00">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7</w:t>
            </w:r>
          </w:p>
        </w:tc>
        <w:tc>
          <w:tcPr>
            <w:tcW w:w="1740" w:type="dxa"/>
            <w:vAlign w:val="center"/>
          </w:tcPr>
          <w:p w14:paraId="4EBC1D36">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水车</w:t>
            </w:r>
          </w:p>
        </w:tc>
        <w:tc>
          <w:tcPr>
            <w:tcW w:w="1425" w:type="dxa"/>
            <w:vAlign w:val="center"/>
          </w:tcPr>
          <w:p w14:paraId="1EA6E66B">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天</w:t>
            </w:r>
          </w:p>
        </w:tc>
        <w:tc>
          <w:tcPr>
            <w:tcW w:w="1455" w:type="dxa"/>
          </w:tcPr>
          <w:p w14:paraId="35305BC4">
            <w:pPr>
              <w:jc w:val="center"/>
              <w:rPr>
                <w:rFonts w:hint="eastAsia" w:eastAsiaTheme="minorEastAsia"/>
                <w:color w:val="auto"/>
                <w:sz w:val="28"/>
                <w:szCs w:val="28"/>
                <w:vertAlign w:val="baseline"/>
                <w:lang w:val="en-US" w:eastAsia="zh-CN"/>
              </w:rPr>
            </w:pPr>
          </w:p>
        </w:tc>
        <w:tc>
          <w:tcPr>
            <w:tcW w:w="3255" w:type="dxa"/>
          </w:tcPr>
          <w:p w14:paraId="086C70A2">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含雾炮车和3名操作人</w:t>
            </w:r>
          </w:p>
        </w:tc>
      </w:tr>
      <w:tr w14:paraId="23A8E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61F5883D">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8</w:t>
            </w:r>
          </w:p>
        </w:tc>
        <w:tc>
          <w:tcPr>
            <w:tcW w:w="1740" w:type="dxa"/>
            <w:vAlign w:val="center"/>
          </w:tcPr>
          <w:p w14:paraId="62904DAA">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吊车</w:t>
            </w:r>
          </w:p>
        </w:tc>
        <w:tc>
          <w:tcPr>
            <w:tcW w:w="1425" w:type="dxa"/>
            <w:vAlign w:val="center"/>
          </w:tcPr>
          <w:p w14:paraId="61B6981E">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天</w:t>
            </w:r>
          </w:p>
        </w:tc>
        <w:tc>
          <w:tcPr>
            <w:tcW w:w="1455" w:type="dxa"/>
          </w:tcPr>
          <w:p w14:paraId="7D816CAC">
            <w:pPr>
              <w:jc w:val="center"/>
              <w:rPr>
                <w:rFonts w:hint="eastAsia" w:eastAsiaTheme="minorEastAsia"/>
                <w:color w:val="auto"/>
                <w:sz w:val="28"/>
                <w:szCs w:val="28"/>
                <w:vertAlign w:val="baseline"/>
                <w:lang w:val="en-US" w:eastAsia="zh-CN"/>
              </w:rPr>
            </w:pPr>
          </w:p>
        </w:tc>
        <w:tc>
          <w:tcPr>
            <w:tcW w:w="3255" w:type="dxa"/>
          </w:tcPr>
          <w:p w14:paraId="49A10B09">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ab/>
            </w:r>
            <w:r>
              <w:rPr>
                <w:rFonts w:hint="eastAsia" w:eastAsiaTheme="minorEastAsia"/>
                <w:color w:val="auto"/>
                <w:sz w:val="28"/>
                <w:szCs w:val="28"/>
                <w:vertAlign w:val="baseline"/>
                <w:lang w:val="en-US" w:eastAsia="zh-CN"/>
              </w:rPr>
              <w:t>含观察员等</w:t>
            </w:r>
          </w:p>
        </w:tc>
      </w:tr>
      <w:tr w14:paraId="14F94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34D151E7">
            <w:pPr>
              <w:jc w:val="center"/>
              <w:rPr>
                <w:rFonts w:hint="eastAsia" w:eastAsiaTheme="minorEastAsia"/>
                <w:color w:val="auto"/>
                <w:sz w:val="28"/>
                <w:szCs w:val="28"/>
                <w:vertAlign w:val="baseline"/>
                <w:lang w:val="en-US" w:eastAsia="zh-CN"/>
              </w:rPr>
            </w:pPr>
            <w:r>
              <w:rPr>
                <w:rFonts w:hint="eastAsia"/>
                <w:color w:val="auto"/>
                <w:sz w:val="28"/>
                <w:szCs w:val="28"/>
                <w:vertAlign w:val="baseline"/>
                <w:lang w:val="en-US" w:eastAsia="zh-CN"/>
              </w:rPr>
              <w:t>9</w:t>
            </w:r>
          </w:p>
        </w:tc>
        <w:tc>
          <w:tcPr>
            <w:tcW w:w="1740" w:type="dxa"/>
            <w:vAlign w:val="center"/>
          </w:tcPr>
          <w:p w14:paraId="41D38CA7">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垃圾清理费</w:t>
            </w:r>
          </w:p>
        </w:tc>
        <w:tc>
          <w:tcPr>
            <w:tcW w:w="1425" w:type="dxa"/>
            <w:vAlign w:val="center"/>
          </w:tcPr>
          <w:p w14:paraId="75B97E62">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车</w:t>
            </w:r>
          </w:p>
        </w:tc>
        <w:tc>
          <w:tcPr>
            <w:tcW w:w="1455" w:type="dxa"/>
          </w:tcPr>
          <w:p w14:paraId="06D82E2E">
            <w:pPr>
              <w:jc w:val="center"/>
              <w:rPr>
                <w:rFonts w:hint="eastAsia" w:eastAsiaTheme="minorEastAsia"/>
                <w:color w:val="auto"/>
                <w:sz w:val="28"/>
                <w:szCs w:val="28"/>
                <w:vertAlign w:val="baseline"/>
                <w:lang w:val="en-US" w:eastAsia="zh-CN"/>
              </w:rPr>
            </w:pPr>
          </w:p>
        </w:tc>
        <w:tc>
          <w:tcPr>
            <w:tcW w:w="3255" w:type="dxa"/>
          </w:tcPr>
          <w:p w14:paraId="6DCCC08A">
            <w:pPr>
              <w:jc w:val="center"/>
              <w:rPr>
                <w:rFonts w:hint="eastAsia" w:eastAsiaTheme="minorEastAsia"/>
                <w:color w:val="auto"/>
                <w:sz w:val="28"/>
                <w:szCs w:val="28"/>
                <w:vertAlign w:val="baseline"/>
                <w:lang w:val="en-US" w:eastAsia="zh-CN"/>
              </w:rPr>
            </w:pPr>
          </w:p>
        </w:tc>
      </w:tr>
      <w:tr w14:paraId="004B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623B3C94">
            <w:pPr>
              <w:jc w:val="center"/>
              <w:rPr>
                <w:rFonts w:hint="default" w:eastAsiaTheme="minorEastAsia"/>
                <w:color w:val="auto"/>
                <w:sz w:val="28"/>
                <w:szCs w:val="28"/>
                <w:vertAlign w:val="baseline"/>
                <w:lang w:val="en-US" w:eastAsia="zh-CN"/>
              </w:rPr>
            </w:pPr>
            <w:r>
              <w:rPr>
                <w:rFonts w:hint="eastAsia"/>
                <w:color w:val="auto"/>
                <w:sz w:val="28"/>
                <w:szCs w:val="28"/>
                <w:vertAlign w:val="baseline"/>
                <w:lang w:val="en-US" w:eastAsia="zh-CN"/>
              </w:rPr>
              <w:t>10</w:t>
            </w:r>
          </w:p>
        </w:tc>
        <w:tc>
          <w:tcPr>
            <w:tcW w:w="1740" w:type="dxa"/>
            <w:vAlign w:val="center"/>
          </w:tcPr>
          <w:p w14:paraId="49F9D41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垃圾清理费</w:t>
            </w:r>
          </w:p>
        </w:tc>
        <w:tc>
          <w:tcPr>
            <w:tcW w:w="1425" w:type="dxa"/>
            <w:vAlign w:val="center"/>
          </w:tcPr>
          <w:p w14:paraId="2738B48A">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车</w:t>
            </w:r>
          </w:p>
        </w:tc>
        <w:tc>
          <w:tcPr>
            <w:tcW w:w="1455" w:type="dxa"/>
          </w:tcPr>
          <w:p w14:paraId="128C7C91">
            <w:pPr>
              <w:jc w:val="center"/>
              <w:rPr>
                <w:rFonts w:hint="eastAsia" w:eastAsiaTheme="minorEastAsia"/>
                <w:color w:val="auto"/>
                <w:sz w:val="28"/>
                <w:szCs w:val="28"/>
                <w:vertAlign w:val="baseline"/>
                <w:lang w:val="en-US" w:eastAsia="zh-CN"/>
              </w:rPr>
            </w:pPr>
          </w:p>
        </w:tc>
        <w:tc>
          <w:tcPr>
            <w:tcW w:w="3255" w:type="dxa"/>
          </w:tcPr>
          <w:p w14:paraId="7DB116AD">
            <w:pPr>
              <w:jc w:val="center"/>
              <w:rPr>
                <w:rFonts w:hint="eastAsia" w:eastAsiaTheme="minorEastAsia"/>
                <w:color w:val="auto"/>
                <w:sz w:val="28"/>
                <w:szCs w:val="28"/>
                <w:vertAlign w:val="baseline"/>
                <w:lang w:val="en-US" w:eastAsia="zh-CN"/>
              </w:rPr>
            </w:pPr>
          </w:p>
        </w:tc>
      </w:tr>
      <w:tr w14:paraId="5CBCA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2DF68C8C">
            <w:pPr>
              <w:jc w:val="center"/>
              <w:rPr>
                <w:rFonts w:hint="default"/>
                <w:color w:val="auto"/>
                <w:sz w:val="28"/>
                <w:szCs w:val="28"/>
                <w:vertAlign w:val="baseline"/>
                <w:lang w:val="en-US" w:eastAsia="zh-CN"/>
              </w:rPr>
            </w:pPr>
            <w:r>
              <w:rPr>
                <w:rFonts w:hint="eastAsia"/>
                <w:color w:val="auto"/>
                <w:sz w:val="28"/>
                <w:szCs w:val="28"/>
                <w:vertAlign w:val="baseline"/>
                <w:lang w:val="en-US" w:eastAsia="zh-CN"/>
              </w:rPr>
              <w:t>11</w:t>
            </w:r>
          </w:p>
        </w:tc>
        <w:tc>
          <w:tcPr>
            <w:tcW w:w="1740" w:type="dxa"/>
            <w:vAlign w:val="center"/>
          </w:tcPr>
          <w:p w14:paraId="06D8F2FB">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规费</w:t>
            </w:r>
          </w:p>
        </w:tc>
        <w:tc>
          <w:tcPr>
            <w:tcW w:w="1425" w:type="dxa"/>
            <w:vAlign w:val="center"/>
          </w:tcPr>
          <w:p w14:paraId="362AB111">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项</w:t>
            </w:r>
          </w:p>
        </w:tc>
        <w:tc>
          <w:tcPr>
            <w:tcW w:w="1455" w:type="dxa"/>
          </w:tcPr>
          <w:p w14:paraId="1CC80D8B">
            <w:pPr>
              <w:jc w:val="center"/>
              <w:rPr>
                <w:rFonts w:hint="eastAsia" w:eastAsiaTheme="minorEastAsia"/>
                <w:color w:val="auto"/>
                <w:sz w:val="28"/>
                <w:szCs w:val="28"/>
                <w:vertAlign w:val="baseline"/>
                <w:lang w:val="en-US" w:eastAsia="zh-CN"/>
              </w:rPr>
            </w:pPr>
          </w:p>
        </w:tc>
        <w:tc>
          <w:tcPr>
            <w:tcW w:w="3255" w:type="dxa"/>
          </w:tcPr>
          <w:p w14:paraId="02154A91">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含人员保险等</w:t>
            </w:r>
          </w:p>
        </w:tc>
      </w:tr>
      <w:tr w14:paraId="2F28F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038A39BE">
            <w:pPr>
              <w:jc w:val="center"/>
              <w:rPr>
                <w:rFonts w:hint="default"/>
                <w:color w:val="auto"/>
                <w:sz w:val="28"/>
                <w:szCs w:val="28"/>
                <w:vertAlign w:val="baseline"/>
                <w:lang w:val="en-US" w:eastAsia="zh-CN"/>
              </w:rPr>
            </w:pPr>
            <w:r>
              <w:rPr>
                <w:rFonts w:hint="eastAsia"/>
                <w:color w:val="auto"/>
                <w:sz w:val="28"/>
                <w:szCs w:val="28"/>
                <w:vertAlign w:val="baseline"/>
                <w:lang w:val="en-US" w:eastAsia="zh-CN"/>
              </w:rPr>
              <w:t>12</w:t>
            </w:r>
          </w:p>
        </w:tc>
        <w:tc>
          <w:tcPr>
            <w:tcW w:w="1740" w:type="dxa"/>
            <w:vAlign w:val="center"/>
          </w:tcPr>
          <w:p w14:paraId="35071B7E">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措施费</w:t>
            </w:r>
          </w:p>
        </w:tc>
        <w:tc>
          <w:tcPr>
            <w:tcW w:w="1425" w:type="dxa"/>
            <w:vAlign w:val="center"/>
          </w:tcPr>
          <w:p w14:paraId="6BB41902">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项</w:t>
            </w:r>
          </w:p>
        </w:tc>
        <w:tc>
          <w:tcPr>
            <w:tcW w:w="1455" w:type="dxa"/>
          </w:tcPr>
          <w:p w14:paraId="4955869F">
            <w:pPr>
              <w:jc w:val="center"/>
              <w:rPr>
                <w:rFonts w:hint="eastAsia" w:eastAsiaTheme="minorEastAsia"/>
                <w:color w:val="auto"/>
                <w:sz w:val="28"/>
                <w:szCs w:val="28"/>
                <w:vertAlign w:val="baseline"/>
                <w:lang w:val="en-US" w:eastAsia="zh-CN"/>
              </w:rPr>
            </w:pPr>
          </w:p>
        </w:tc>
        <w:tc>
          <w:tcPr>
            <w:tcW w:w="3255" w:type="dxa"/>
          </w:tcPr>
          <w:p w14:paraId="67932C4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含建、拆围挡，灭火器、施工电费等</w:t>
            </w:r>
          </w:p>
        </w:tc>
      </w:tr>
      <w:tr w14:paraId="0E28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5A2D3F8D">
            <w:pPr>
              <w:jc w:val="center"/>
              <w:rPr>
                <w:rFonts w:hint="default"/>
                <w:color w:val="auto"/>
                <w:sz w:val="28"/>
                <w:szCs w:val="28"/>
                <w:vertAlign w:val="baseline"/>
                <w:lang w:val="en-US" w:eastAsia="zh-CN"/>
              </w:rPr>
            </w:pPr>
            <w:r>
              <w:rPr>
                <w:rFonts w:hint="eastAsia"/>
                <w:color w:val="auto"/>
                <w:sz w:val="28"/>
                <w:szCs w:val="28"/>
                <w:vertAlign w:val="baseline"/>
                <w:lang w:val="en-US" w:eastAsia="zh-CN"/>
              </w:rPr>
              <w:t>13</w:t>
            </w:r>
          </w:p>
        </w:tc>
        <w:tc>
          <w:tcPr>
            <w:tcW w:w="1740" w:type="dxa"/>
            <w:vAlign w:val="center"/>
          </w:tcPr>
          <w:p w14:paraId="3A857ED7">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管理费</w:t>
            </w:r>
          </w:p>
        </w:tc>
        <w:tc>
          <w:tcPr>
            <w:tcW w:w="1425" w:type="dxa"/>
            <w:vAlign w:val="center"/>
          </w:tcPr>
          <w:p w14:paraId="459B448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天</w:t>
            </w:r>
          </w:p>
        </w:tc>
        <w:tc>
          <w:tcPr>
            <w:tcW w:w="1455" w:type="dxa"/>
          </w:tcPr>
          <w:p w14:paraId="4333E586">
            <w:pPr>
              <w:jc w:val="center"/>
              <w:rPr>
                <w:rFonts w:hint="eastAsia" w:eastAsiaTheme="minorEastAsia"/>
                <w:color w:val="auto"/>
                <w:sz w:val="28"/>
                <w:szCs w:val="28"/>
                <w:vertAlign w:val="baseline"/>
                <w:lang w:val="en-US" w:eastAsia="zh-CN"/>
              </w:rPr>
            </w:pPr>
          </w:p>
        </w:tc>
        <w:tc>
          <w:tcPr>
            <w:tcW w:w="3255" w:type="dxa"/>
          </w:tcPr>
          <w:p w14:paraId="04A4BEF8">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含前期勘察、设计，现场2-3名安全员、工人用餐、防暑降温、夜间看护等</w:t>
            </w:r>
          </w:p>
        </w:tc>
      </w:tr>
      <w:tr w14:paraId="7B04D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5" w:type="dxa"/>
          </w:tcPr>
          <w:p w14:paraId="220BAF32">
            <w:pPr>
              <w:jc w:val="center"/>
              <w:rPr>
                <w:rFonts w:hint="default"/>
                <w:color w:val="auto"/>
                <w:sz w:val="28"/>
                <w:szCs w:val="28"/>
                <w:vertAlign w:val="baseline"/>
                <w:lang w:val="en-US" w:eastAsia="zh-CN"/>
              </w:rPr>
            </w:pPr>
            <w:r>
              <w:rPr>
                <w:rFonts w:hint="eastAsia"/>
                <w:color w:val="auto"/>
                <w:sz w:val="28"/>
                <w:szCs w:val="28"/>
                <w:vertAlign w:val="baseline"/>
                <w:lang w:val="en-US" w:eastAsia="zh-CN"/>
              </w:rPr>
              <w:t>14</w:t>
            </w:r>
          </w:p>
        </w:tc>
        <w:tc>
          <w:tcPr>
            <w:tcW w:w="1740" w:type="dxa"/>
            <w:vAlign w:val="center"/>
          </w:tcPr>
          <w:p w14:paraId="5ABE5E0B">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税金</w:t>
            </w:r>
          </w:p>
        </w:tc>
        <w:tc>
          <w:tcPr>
            <w:tcW w:w="1425" w:type="dxa"/>
            <w:vAlign w:val="center"/>
          </w:tcPr>
          <w:p w14:paraId="1B0B2B52">
            <w:pPr>
              <w:jc w:val="center"/>
              <w:rPr>
                <w:rFonts w:hint="eastAsia" w:eastAsiaTheme="minorEastAsia"/>
                <w:color w:val="auto"/>
                <w:sz w:val="28"/>
                <w:szCs w:val="28"/>
                <w:vertAlign w:val="baseline"/>
                <w:lang w:val="en-US" w:eastAsia="zh-CN"/>
              </w:rPr>
            </w:pPr>
            <w:r>
              <w:rPr>
                <w:rFonts w:hint="eastAsia" w:eastAsiaTheme="minorEastAsia"/>
                <w:color w:val="auto"/>
                <w:sz w:val="28"/>
                <w:szCs w:val="28"/>
                <w:vertAlign w:val="baseline"/>
                <w:lang w:val="en-US" w:eastAsia="zh-CN"/>
              </w:rPr>
              <w:t>项</w:t>
            </w:r>
          </w:p>
        </w:tc>
        <w:tc>
          <w:tcPr>
            <w:tcW w:w="1455" w:type="dxa"/>
          </w:tcPr>
          <w:p w14:paraId="438279E4">
            <w:pPr>
              <w:jc w:val="center"/>
              <w:rPr>
                <w:rFonts w:hint="eastAsia" w:eastAsiaTheme="minorEastAsia"/>
                <w:color w:val="auto"/>
                <w:sz w:val="28"/>
                <w:szCs w:val="28"/>
                <w:vertAlign w:val="baseline"/>
                <w:lang w:val="en-US" w:eastAsia="zh-CN"/>
              </w:rPr>
            </w:pPr>
          </w:p>
        </w:tc>
        <w:tc>
          <w:tcPr>
            <w:tcW w:w="3255" w:type="dxa"/>
          </w:tcPr>
          <w:p w14:paraId="74E8B30C">
            <w:pPr>
              <w:jc w:val="center"/>
              <w:rPr>
                <w:rFonts w:hint="eastAsia" w:eastAsiaTheme="minorEastAsia"/>
                <w:color w:val="auto"/>
                <w:sz w:val="28"/>
                <w:szCs w:val="28"/>
                <w:vertAlign w:val="baseline"/>
                <w:lang w:val="en-US" w:eastAsia="zh-CN"/>
              </w:rPr>
            </w:pPr>
          </w:p>
        </w:tc>
      </w:tr>
    </w:tbl>
    <w:p w14:paraId="6F86B926">
      <w:pPr>
        <w:rPr>
          <w:rFonts w:hint="eastAsia"/>
        </w:rPr>
      </w:pPr>
      <w:r>
        <w:rPr>
          <w:rFonts w:hint="eastAsia"/>
        </w:rPr>
        <w:tab/>
      </w:r>
      <w:r>
        <w:rPr>
          <w:rFonts w:hint="eastAsia"/>
        </w:rPr>
        <w:tab/>
      </w:r>
      <w:r>
        <w:rPr>
          <w:rFonts w:hint="eastAsia"/>
        </w:rPr>
        <w:tab/>
      </w:r>
      <w:r>
        <w:rPr>
          <w:rFonts w:hint="eastAsia"/>
        </w:rPr>
        <w:tab/>
      </w:r>
      <w:r>
        <w:rPr>
          <w:rFonts w:hint="eastAsia"/>
        </w:rPr>
        <w:tab/>
      </w:r>
      <w:r>
        <w:rPr>
          <w:rFonts w:hint="eastAsia"/>
        </w:rPr>
        <w:tab/>
      </w:r>
    </w:p>
    <w:p w14:paraId="6AE5440F">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四、质保期及质量标准</w:t>
      </w:r>
    </w:p>
    <w:p w14:paraId="0E517A4E">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计划工期：本工程以采购方发出的开工令通知为准，施工工期为5个工作日，同时施工工期必须严格服从采购方的安排，满足工程进度的要求。若遇不可抗力原因，可经采购方同意后延期。</w:t>
      </w:r>
    </w:p>
    <w:p w14:paraId="5A7042AF">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质量标准：符合配套的相关工程质量验收规范的合格等级，确保一次性验收合格。</w:t>
      </w:r>
    </w:p>
    <w:p w14:paraId="2B2BEB97">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五、具体服务要求</w:t>
      </w:r>
    </w:p>
    <w:p w14:paraId="47783948">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1.采购人对违法建设做出认定并保障强制拆除符合《常州市违法建设治理办法》规定的程序。</w:t>
      </w:r>
    </w:p>
    <w:p w14:paraId="30A1057F">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2.采购人应确保供应商可进入现场实施作业的可行性条件，供应商按照采购人的要求，结合现场情况，合理完成指定范围内的地上建、构筑物拆除。</w:t>
      </w:r>
    </w:p>
    <w:p w14:paraId="568FBB96">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3.供应商拆除的建筑垃圾应及时运出现场依法进行处置，保持场容整洁。</w:t>
      </w:r>
    </w:p>
    <w:p w14:paraId="70C5AA97">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4.拆除涉及水、电、煤气等设施时应在确保完全断电的情况下进行，以确保作业人员的安全。</w:t>
      </w:r>
    </w:p>
    <w:p w14:paraId="3CA07292">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5.在拆除区域设置醒目警示标志，做好围栏围挡等防护措施。拆除过程时做好安全防护，防止掉落的建筑废弃物伤人。</w:t>
      </w:r>
    </w:p>
    <w:p w14:paraId="671F6641">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6.根据拆除现场作业环境，制定相应的消防安全措施。</w:t>
      </w:r>
    </w:p>
    <w:p w14:paraId="7DCA44D7">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7.现场安全文明施工由成交供应商全面负责，施工过程中承包方要严格执行施工规范、安全操作规程、防火安全规定、环境保护规定等。要加强安全保护措施，做好施工紧急事故预案及安保措施方案，确保工地现场的安全，</w:t>
      </w:r>
      <w:r>
        <w:rPr>
          <w:rFonts w:hint="eastAsia" w:ascii="仿宋_GB2312" w:hAnsi="仿宋_GB2312" w:eastAsia="仿宋_GB2312" w:cs="仿宋_GB2312"/>
          <w:color w:val="auto"/>
          <w:sz w:val="32"/>
          <w:szCs w:val="32"/>
          <w:lang w:eastAsia="zh-CN"/>
        </w:rPr>
        <w:t>施工期间（含每日停工后）及工程未竣工验收前的夜间看护责任由中标方全权承担，中标方需配备专职夜间看护人员，配备照明、监控、警示标识等必要安防设备，防止物料丢失、人员误入或现场设施损坏，相关看护费用已包含在投标报价中，甲方不额外支付发生任何事故，责任与费用均由成交供应商自行承担。</w:t>
      </w:r>
    </w:p>
    <w:p w14:paraId="6F9222EE">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8. 本项目拆除完成后的所有物料（包括但不限于钢结构构件、砖瓦、门窗等），所有权均归当事人新阳光食品城所有。中标方需在工程竣工验收前配合新阳光食品城完成物料清点与交接。</w:t>
      </w:r>
    </w:p>
    <w:p w14:paraId="2ED95B09">
      <w:pPr>
        <w:snapToGrid/>
        <w:spacing w:beforeAutospacing="0" w:afterAutospacing="0" w:line="560" w:lineRule="exact"/>
        <w:ind w:right="0" w:rightChars="0" w:firstLine="640" w:firstLineChars="200"/>
        <w:jc w:val="left"/>
        <w:rPr>
          <w:rFonts w:hint="eastAsia"/>
          <w:color w:val="0000FF"/>
          <w:lang w:eastAsia="zh-CN"/>
        </w:rPr>
      </w:pPr>
      <w:bookmarkStart w:id="0" w:name="_GoBack"/>
      <w:r>
        <w:rPr>
          <w:rFonts w:hint="eastAsia" w:ascii="仿宋_GB2312" w:hAnsi="仿宋_GB2312" w:eastAsia="仿宋_GB2312" w:cs="仿宋_GB2312"/>
          <w:color w:val="0000FF"/>
          <w:sz w:val="32"/>
          <w:szCs w:val="32"/>
          <w:lang w:val="en-US" w:eastAsia="zh-CN"/>
        </w:rPr>
        <w:t>9.</w:t>
      </w:r>
      <w:r>
        <w:rPr>
          <w:rFonts w:hint="eastAsia" w:ascii="仿宋_GB2312" w:hAnsi="仿宋_GB2312" w:eastAsia="仿宋_GB2312" w:cs="仿宋_GB2312"/>
          <w:color w:val="0000FF"/>
          <w:kern w:val="2"/>
          <w:sz w:val="32"/>
          <w:szCs w:val="32"/>
          <w:lang w:val="en-US" w:eastAsia="zh-CN" w:bidi="ar-SA"/>
        </w:rPr>
        <w:t>除因不可抗力或发包人原因延误外，若甲方因其它非主观因素（如极端天气、自然灾害、政策调整、主管部门要求等）需调整或取消工期的，有权调整或取消开工/竣工时间。中标方需无条件配合甲方，不得以此为由提出额外费用索赔。</w:t>
      </w:r>
    </w:p>
    <w:bookmarkEnd w:id="0"/>
    <w:p w14:paraId="3BE710BB">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六、付款方式</w:t>
      </w:r>
    </w:p>
    <w:p w14:paraId="7B0B5946">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1.工程竣工验收合格后，支付合同金额的50%，结算审计后按照审计金额支付全部余款（无息）。</w:t>
      </w:r>
    </w:p>
    <w:p w14:paraId="69F4CE4A">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成交供应商向采购人申请付款时须提供等额的正规税务发票。</w:t>
      </w:r>
    </w:p>
    <w:p w14:paraId="1CEC15AB">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七、其他说明：</w:t>
      </w:r>
    </w:p>
    <w:p w14:paraId="5A4DE87B">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报价应包括人工、材料费、机械费、措施费、管理费、利润、规费、税金等完成本项目的一切费用。除此以外采购人不再支付其他任何费用。本项目总价款还包含成交供应商应当提供的伴随服务/售后服务费用。</w:t>
      </w:r>
    </w:p>
    <w:p w14:paraId="74F59720">
      <w:pPr>
        <w:ind w:firstLine="640" w:firstLineChars="200"/>
        <w:rPr>
          <w:rFonts w:hint="eastAsia" w:ascii="仿宋_GB2312" w:hAnsi="仿宋_GB2312" w:eastAsia="仿宋_GB2312" w:cs="仿宋_GB2312"/>
          <w:sz w:val="32"/>
          <w:szCs w:val="32"/>
          <w:lang w:eastAsia="zh-CN"/>
        </w:rPr>
      </w:pPr>
    </w:p>
    <w:p w14:paraId="00FE0B1C">
      <w:pPr>
        <w:rPr>
          <w:rFonts w:hint="eastAsia"/>
        </w:rPr>
      </w:pPr>
    </w:p>
    <w:p w14:paraId="2A57B7B3">
      <w:pPr>
        <w:rPr>
          <w:rFonts w:hint="eastAsia"/>
        </w:rPr>
      </w:pPr>
    </w:p>
    <w:p w14:paraId="02155381">
      <w:pPr>
        <w:rPr>
          <w:rFonts w:hint="eastAsia"/>
        </w:rPr>
      </w:pPr>
    </w:p>
    <w:p w14:paraId="7D67CC3E">
      <w:pPr>
        <w:rPr>
          <w:rFonts w:hint="eastAsia"/>
        </w:rPr>
      </w:pPr>
    </w:p>
    <w:p w14:paraId="59936ED0">
      <w:pPr>
        <w:rPr>
          <w:rFonts w:hint="eastAsia"/>
        </w:rPr>
      </w:pPr>
    </w:p>
    <w:p w14:paraId="0FF671CE">
      <w:pPr>
        <w:rPr>
          <w:rFonts w:hint="eastAsia"/>
        </w:rPr>
      </w:pPr>
    </w:p>
    <w:p w14:paraId="1F4E73C2">
      <w:pPr>
        <w:rPr>
          <w:rFonts w:hint="eastAsia"/>
        </w:rPr>
      </w:pPr>
    </w:p>
    <w:p w14:paraId="61F85CE1">
      <w:pPr>
        <w:rPr>
          <w:rFonts w:hint="eastAsia"/>
        </w:rPr>
      </w:pPr>
    </w:p>
    <w:p w14:paraId="094E8D87">
      <w:pPr>
        <w:rPr>
          <w:rFonts w:hint="eastAsia"/>
        </w:rPr>
      </w:pPr>
    </w:p>
    <w:p w14:paraId="3EB427B4">
      <w:pPr>
        <w:rPr>
          <w:rFonts w:hint="eastAsia"/>
        </w:rPr>
      </w:pPr>
    </w:p>
    <w:p w14:paraId="75FFAA5A">
      <w:pPr>
        <w:rPr>
          <w:rFonts w:hint="eastAsia"/>
        </w:rPr>
      </w:pPr>
    </w:p>
    <w:p w14:paraId="623C84C9">
      <w:pPr>
        <w:rPr>
          <w:rFonts w:hint="eastAsia"/>
        </w:rPr>
      </w:pPr>
    </w:p>
    <w:p w14:paraId="6A0D3695">
      <w:pPr>
        <w:rPr>
          <w:rFonts w:hint="eastAsia"/>
        </w:rPr>
      </w:pPr>
    </w:p>
    <w:p w14:paraId="62B2AE87">
      <w:pPr>
        <w:pStyle w:val="2"/>
        <w:rPr>
          <w:rFonts w:hint="eastAsia"/>
        </w:rPr>
      </w:pPr>
    </w:p>
    <w:p w14:paraId="772F451F">
      <w:pPr>
        <w:pStyle w:val="2"/>
        <w:rPr>
          <w:rFonts w:hint="eastAsia"/>
        </w:rPr>
      </w:pPr>
    </w:p>
    <w:p w14:paraId="08D72E71">
      <w:pPr>
        <w:snapToGrid/>
        <w:spacing w:before="200" w:beforeAutospacing="0" w:after="100" w:afterAutospacing="0" w:line="240" w:lineRule="auto"/>
        <w:ind w:left="0" w:leftChars="0" w:right="0" w:rightChars="0" w:firstLine="0" w:firstLineChars="0"/>
        <w:jc w:val="center"/>
        <w:outlineLvl w:val="1"/>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第四章    合同草案条款</w:t>
      </w:r>
    </w:p>
    <w:p w14:paraId="5C3ED92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甲方（全称）：</w:t>
      </w:r>
      <w:r>
        <w:rPr>
          <w:rFonts w:hint="eastAsia" w:ascii="仿宋_GB2312" w:hAnsi="仿宋_GB2312" w:eastAsia="仿宋_GB2312" w:cs="仿宋_GB2312"/>
          <w:sz w:val="32"/>
          <w:szCs w:val="32"/>
          <w:u w:val="single"/>
        </w:rPr>
        <w:t>常州市城市管理</w:t>
      </w:r>
      <w:r>
        <w:rPr>
          <w:rFonts w:hint="eastAsia" w:ascii="仿宋_GB2312" w:hAnsi="仿宋_GB2312" w:eastAsia="仿宋_GB2312" w:cs="仿宋_GB2312"/>
          <w:sz w:val="32"/>
          <w:szCs w:val="32"/>
          <w:u w:val="single"/>
          <w:lang w:eastAsia="zh-CN"/>
        </w:rPr>
        <w:t>综合行政执法监督局</w:t>
      </w:r>
    </w:p>
    <w:p w14:paraId="1EE17B37">
      <w:pPr>
        <w:ind w:firstLine="640" w:firstLineChars="200"/>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rPr>
        <w:t>乙方（全称）：</w:t>
      </w:r>
      <w:r>
        <w:rPr>
          <w:rFonts w:hint="eastAsia" w:ascii="仿宋_GB2312" w:hAnsi="仿宋_GB2312" w:eastAsia="仿宋_GB2312" w:cs="仿宋_GB2312"/>
          <w:sz w:val="32"/>
          <w:szCs w:val="32"/>
          <w:u w:val="single"/>
          <w:lang w:val="en-US" w:eastAsia="zh-CN"/>
        </w:rPr>
        <w:t xml:space="preserve">                                </w:t>
      </w:r>
    </w:p>
    <w:p w14:paraId="38466A2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依照《中华人民共和国民法典》及其他有关法律、行政法规，遵循平等、自愿、公平和诚实信用的原则，甲方、乙方双方就工程施工事项经协商达成一致。</w:t>
      </w:r>
    </w:p>
    <w:p w14:paraId="29E3985D">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一、工程概况</w:t>
      </w:r>
    </w:p>
    <w:p w14:paraId="154B2BD8">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工程名称：</w:t>
      </w:r>
      <w:r>
        <w:rPr>
          <w:rFonts w:hint="eastAsia" w:ascii="仿宋_GB2312" w:hAnsi="仿宋_GB2312" w:eastAsia="仿宋_GB2312" w:cs="仿宋_GB2312"/>
          <w:sz w:val="32"/>
          <w:szCs w:val="32"/>
          <w:u w:val="single"/>
          <w:lang w:eastAsia="zh-CN"/>
        </w:rPr>
        <w:t>新阳光食品城</w:t>
      </w:r>
      <w:r>
        <w:rPr>
          <w:rFonts w:hint="eastAsia" w:ascii="仿宋_GB2312" w:hAnsi="仿宋_GB2312" w:eastAsia="仿宋_GB2312" w:cs="仿宋_GB2312"/>
          <w:sz w:val="32"/>
          <w:szCs w:val="32"/>
          <w:u w:val="single"/>
          <w:lang w:val="en-US" w:eastAsia="zh-CN"/>
        </w:rPr>
        <w:t>违法建设</w:t>
      </w:r>
      <w:r>
        <w:rPr>
          <w:rFonts w:hint="eastAsia" w:ascii="仿宋_GB2312" w:hAnsi="仿宋_GB2312" w:eastAsia="仿宋_GB2312" w:cs="仿宋_GB2312"/>
          <w:sz w:val="32"/>
          <w:szCs w:val="32"/>
          <w:u w:val="single"/>
        </w:rPr>
        <w:t>拆除工程</w:t>
      </w:r>
      <w:r>
        <w:rPr>
          <w:rFonts w:hint="eastAsia" w:ascii="仿宋_GB2312" w:hAnsi="仿宋_GB2312" w:eastAsia="仿宋_GB2312" w:cs="仿宋_GB2312"/>
          <w:sz w:val="32"/>
          <w:szCs w:val="32"/>
          <w:u w:val="single"/>
          <w:lang w:val="en-US" w:eastAsia="zh-CN"/>
        </w:rPr>
        <w:t>项目</w:t>
      </w:r>
    </w:p>
    <w:p w14:paraId="63A74B0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工程地点：</w:t>
      </w:r>
    </w:p>
    <w:p w14:paraId="150F2412">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二、工程承包范围与承包方式</w:t>
      </w:r>
    </w:p>
    <w:p w14:paraId="24F54FC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承包范围：</w:t>
      </w:r>
    </w:p>
    <w:p w14:paraId="7CFDE81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承包方式：本工程采用总价包干方式</w:t>
      </w:r>
    </w:p>
    <w:p w14:paraId="64135C41">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三、合同工期</w:t>
      </w:r>
    </w:p>
    <w:p w14:paraId="55962B6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总工期为5个工作日。开工日期为</w:t>
      </w:r>
      <w:r>
        <w:rPr>
          <w:rFonts w:hint="eastAsia" w:ascii="仿宋_GB2312" w:hAnsi="仿宋_GB2312" w:eastAsia="仿宋_GB2312" w:cs="仿宋_GB2312"/>
          <w:sz w:val="32"/>
          <w:szCs w:val="32"/>
          <w:u w:val="single"/>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日，竣工日期为</w:t>
      </w:r>
      <w:r>
        <w:rPr>
          <w:rFonts w:hint="eastAsia" w:ascii="仿宋_GB2312" w:hAnsi="仿宋_GB2312" w:eastAsia="仿宋_GB2312" w:cs="仿宋_GB2312"/>
          <w:sz w:val="32"/>
          <w:szCs w:val="32"/>
          <w:u w:val="single"/>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14:paraId="086EE42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因不可抗力或发包人的原因引起的工期延误，需办理签证，方可在合同工期中扣除相应的工期。</w:t>
      </w:r>
    </w:p>
    <w:p w14:paraId="3D914DC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工期延误：每天按合同价的</w:t>
      </w:r>
      <w:r>
        <w:rPr>
          <w:rFonts w:hint="eastAsia" w:ascii="仿宋_GB2312" w:hAnsi="仿宋_GB2312" w:eastAsia="仿宋_GB2312" w:cs="仿宋_GB2312"/>
          <w:sz w:val="32"/>
          <w:szCs w:val="32"/>
          <w:u w:val="single"/>
        </w:rPr>
        <w:t>2‰</w:t>
      </w:r>
      <w:r>
        <w:rPr>
          <w:rFonts w:hint="eastAsia" w:ascii="仿宋_GB2312" w:hAnsi="仿宋_GB2312" w:eastAsia="仿宋_GB2312" w:cs="仿宋_GB2312"/>
          <w:sz w:val="32"/>
          <w:szCs w:val="32"/>
        </w:rPr>
        <w:t>进行处罚。</w:t>
      </w:r>
    </w:p>
    <w:p w14:paraId="3DD44D4F">
      <w:pPr>
        <w:widowControl w:val="0"/>
        <w:ind w:firstLine="640" w:firstLineChars="200"/>
        <w:jc w:val="both"/>
        <w:rPr>
          <w:rFonts w:hint="eastAsia" w:ascii="仿宋_GB2312" w:hAnsi="仿宋_GB2312" w:eastAsia="仿宋_GB2312" w:cs="仿宋_GB2312"/>
          <w:color w:val="0000FF"/>
          <w:kern w:val="2"/>
          <w:sz w:val="32"/>
          <w:szCs w:val="32"/>
          <w:lang w:val="en-US" w:eastAsia="zh-CN" w:bidi="ar-SA"/>
        </w:rPr>
      </w:pPr>
      <w:r>
        <w:rPr>
          <w:rFonts w:hint="eastAsia" w:ascii="仿宋_GB2312" w:hAnsi="仿宋_GB2312" w:eastAsia="仿宋_GB2312" w:cs="仿宋_GB2312"/>
          <w:color w:val="0000FF"/>
          <w:kern w:val="2"/>
          <w:sz w:val="32"/>
          <w:szCs w:val="32"/>
          <w:lang w:val="en-US" w:eastAsia="zh-CN" w:bidi="ar-SA"/>
        </w:rPr>
        <w:t>4.除本条款第2条（不可抗力或发包人原因延误）约定情形外，若甲方因其它非主观因素（如极端天气、自然灾害、政策调整、主管部门要求等）需调整或取消工期的，有权调整或取消开工/竣工时间。中标方需无条件配合甲方，不得以此为由提出额外费用索赔。</w:t>
      </w:r>
    </w:p>
    <w:p w14:paraId="00F25DDA">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四、合同价款及结算条件</w:t>
      </w:r>
    </w:p>
    <w:p w14:paraId="7940672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本合同采用固定总价方式，合同总价为人民币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元整（大写：</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），工程量清单报价表（详见附件）。</w:t>
      </w:r>
    </w:p>
    <w:p w14:paraId="5E9125F6">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五、基本要求</w:t>
      </w:r>
    </w:p>
    <w:p w14:paraId="20353F4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施工方案要求</w:t>
      </w:r>
    </w:p>
    <w:p w14:paraId="448B2E9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拆除工程开工前，乙方应根据工程特点、构造情况、工程量等编制施工组织设计或安全专项施工方案；制订拆除工程现场安全操作规程，对施工人员进行安全培训；按安全程序施工并指派现场安全检查员。</w:t>
      </w:r>
    </w:p>
    <w:p w14:paraId="0303DEF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建立完善的施工现场安全组织结构，明确岗位、职责，在施工中出现的一切安全事故，由乙方自行解决，并承担由此产生的一切责任。</w:t>
      </w:r>
    </w:p>
    <w:p w14:paraId="20E6273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安全技术管理</w:t>
      </w:r>
    </w:p>
    <w:p w14:paraId="1BBA50A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在恶劣的气候条件下，严禁进行拆除作业。</w:t>
      </w:r>
    </w:p>
    <w:p w14:paraId="508F967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当日拆除施工结束后，所有机械设备应远离被拆除建筑。施工期间的临时设施，应与被拆除建筑保持安全距离。</w:t>
      </w:r>
    </w:p>
    <w:p w14:paraId="65BA981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拆除工程施工过程中，当发现重大险情或生产安全事故时，应及时启动应急预案排除险情、 组织抢救、做好保护，并及时向上级组织部门报告。</w:t>
      </w:r>
    </w:p>
    <w:p w14:paraId="73E980D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施工现场的周围要设置围栏、屏障等，并张贴标志或悬挂标志牌，夜间要设置红灯，防止有人误入，发生危险。</w:t>
      </w:r>
    </w:p>
    <w:p w14:paraId="62371D3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rPr>
        <w:t>乙方应做好施工区域成品保护，施工过程中如发现隐蔽管线及其他设施，在甲方代表下达指令前予以保护好。若有损坏，乙方必须无条件及时修复并承担由此发生的各种费用。</w:t>
      </w:r>
    </w:p>
    <w:p w14:paraId="1648450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rPr>
        <w:t>文明施工：乙方对工程的安全文明负责，如需现场加工，需配备相应的消防设备或其它相关保护措施，并承担工程建设过程中的所有人身和财产安全责任，一旦发生安全事故，乙方必须承担由此产生的全部经济和社会责任。乙方应做好职工工资发放工作，如有因乙方工资发放原因而引起职工投诉，经核实后甲方有权从乙方工程款中扣除，直接发放给职工，并对乙方处于投诉工资相同数额的罚款。</w:t>
      </w:r>
    </w:p>
    <w:p w14:paraId="13FC651F">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5.夜间施工：</w:t>
      </w:r>
      <w:r>
        <w:rPr>
          <w:rFonts w:hint="eastAsia" w:ascii="仿宋_GB2312" w:hAnsi="仿宋_GB2312" w:eastAsia="仿宋_GB2312" w:cs="仿宋_GB2312"/>
          <w:sz w:val="32"/>
          <w:szCs w:val="32"/>
          <w:lang w:eastAsia="zh-CN"/>
        </w:rPr>
        <w:t>施工期间（含每日停工后）及工程未竣工验收前的夜间看护责任由中标方全权承担，中标方需配备专职夜间看护人员，配备照明、监控、警示标识等必要安防设备，防止物料丢失、人员误入或现场设施损坏，相关看护费用已包含在投标报价中，甲方不额外支付发生任何事故，责任与费用均由成交供应商自行承担。</w:t>
      </w:r>
    </w:p>
    <w:p w14:paraId="1D37B5B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接受监理单位全过程施工监理。</w:t>
      </w:r>
    </w:p>
    <w:p w14:paraId="239728E7">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六、质量标准</w:t>
      </w:r>
    </w:p>
    <w:p w14:paraId="1B50268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严格按照有关法律法规及政策性文件等要求进行施工，</w:t>
      </w:r>
      <w:r>
        <w:rPr>
          <w:rFonts w:hint="eastAsia" w:ascii="仿宋_GB2312" w:hAnsi="仿宋_GB2312" w:eastAsia="仿宋_GB2312" w:cs="仿宋_GB2312"/>
          <w:sz w:val="32"/>
          <w:szCs w:val="32"/>
          <w:lang w:eastAsia="zh-CN"/>
        </w:rPr>
        <w:t>要求</w:t>
      </w:r>
      <w:r>
        <w:rPr>
          <w:rFonts w:hint="eastAsia" w:ascii="仿宋_GB2312" w:hAnsi="仿宋_GB2312" w:eastAsia="仿宋_GB2312" w:cs="仿宋_GB2312"/>
          <w:sz w:val="32"/>
          <w:szCs w:val="32"/>
        </w:rPr>
        <w:t>一次性验收合格。如乙方因自身原因未达到一次性合格，甲方将按分部分项工程费的10%对乙方进行处罚。</w:t>
      </w:r>
    </w:p>
    <w:p w14:paraId="6710E19C">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七、工程管理人员要求</w:t>
      </w:r>
    </w:p>
    <w:p w14:paraId="20D72E2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甲方指派代表协助乙方做好施工协调工作。</w:t>
      </w:r>
    </w:p>
    <w:p w14:paraId="02A7CC6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乙方指派为驻工地代表，组织施工，解决由乙方负责的各项事宜。</w:t>
      </w:r>
    </w:p>
    <w:p w14:paraId="48583D03">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八、组成合同的文件</w:t>
      </w:r>
      <w:r>
        <w:rPr>
          <w:rFonts w:hint="eastAsia" w:ascii="黑体" w:hAnsi="黑体" w:eastAsia="黑体" w:cs="黑体"/>
          <w:b w:val="0"/>
          <w:bCs w:val="0"/>
          <w:sz w:val="32"/>
          <w:szCs w:val="32"/>
        </w:rPr>
        <w:tab/>
      </w:r>
    </w:p>
    <w:p w14:paraId="03E0090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组成本合同的文件包括：</w:t>
      </w:r>
    </w:p>
    <w:p w14:paraId="434E140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本合同书</w:t>
      </w:r>
    </w:p>
    <w:p w14:paraId="2AC717E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清单报价表</w:t>
      </w:r>
    </w:p>
    <w:p w14:paraId="5B01608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双方有关工程的洽商、变更等书面协议或文件视为本合同的组成部分。上述文件是相互说明、相互解释的，如出现不一致时，上述的排列顺序就是合同的优先解释顺序。</w:t>
      </w:r>
    </w:p>
    <w:p w14:paraId="758387D9">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九、工程款支付</w:t>
      </w:r>
    </w:p>
    <w:p w14:paraId="582423A9">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1.工程竣工验收合格后，支付合同金额的50%，结算审计后按照审计金额支付全部余款（无息）。</w:t>
      </w:r>
    </w:p>
    <w:p w14:paraId="4195FEB3">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十、违约责任</w:t>
      </w:r>
    </w:p>
    <w:p w14:paraId="7878C8D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合同生效后，任何一方不得单方</w:t>
      </w:r>
      <w:r>
        <w:rPr>
          <w:rFonts w:hint="eastAsia" w:ascii="仿宋_GB2312" w:hAnsi="仿宋_GB2312" w:eastAsia="仿宋_GB2312" w:cs="仿宋_GB2312"/>
          <w:sz w:val="32"/>
          <w:szCs w:val="32"/>
          <w:lang w:eastAsia="zh-CN"/>
        </w:rPr>
        <w:t>终止</w:t>
      </w:r>
      <w:r>
        <w:rPr>
          <w:rFonts w:hint="eastAsia" w:ascii="仿宋_GB2312" w:hAnsi="仿宋_GB2312" w:eastAsia="仿宋_GB2312" w:cs="仿宋_GB2312"/>
          <w:sz w:val="32"/>
          <w:szCs w:val="32"/>
        </w:rPr>
        <w:t>合同，中止合同方要</w:t>
      </w:r>
      <w:r>
        <w:rPr>
          <w:rFonts w:hint="eastAsia" w:ascii="仿宋_GB2312" w:hAnsi="仿宋_GB2312" w:eastAsia="仿宋_GB2312" w:cs="仿宋_GB2312"/>
          <w:sz w:val="32"/>
          <w:szCs w:val="32"/>
          <w:lang w:eastAsia="zh-CN"/>
        </w:rPr>
        <w:t>支付</w:t>
      </w:r>
      <w:r>
        <w:rPr>
          <w:rFonts w:hint="eastAsia" w:ascii="仿宋_GB2312" w:hAnsi="仿宋_GB2312" w:eastAsia="仿宋_GB2312" w:cs="仿宋_GB2312"/>
          <w:sz w:val="32"/>
          <w:szCs w:val="32"/>
        </w:rPr>
        <w:t>对方本合同价的5%的违约金。</w:t>
      </w:r>
    </w:p>
    <w:p w14:paraId="5F29036F">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甲乙双方如有任何争议，本着友好协商的原则，共同商议解决，协商不成，则提交常州仲裁委员会仲裁。</w:t>
      </w:r>
    </w:p>
    <w:p w14:paraId="4FE44F96">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十一、合同生效</w:t>
      </w:r>
    </w:p>
    <w:p w14:paraId="1F597A1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本合同双方约定法定代表人（或法定代表人委托人）签字盖章后生效。</w:t>
      </w:r>
    </w:p>
    <w:p w14:paraId="136D8607">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十二、其他事项</w:t>
      </w:r>
    </w:p>
    <w:p w14:paraId="33635B6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rPr>
        <w:t>甲、乙双方履行合同全部义务，工程款全部结清后，本合同即终止；</w:t>
      </w:r>
    </w:p>
    <w:p w14:paraId="626E2963">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 本项目拆除完成后的所有物料（包括但不限于钢结构构件、砖瓦、门窗等），所有权均归当事人新阳光食品城所有。中标方需在工程竣工验收前配合新阳光食品城完成物料清点与交接。</w:t>
      </w:r>
    </w:p>
    <w:p w14:paraId="71AA8A8E">
      <w:pPr>
        <w:widowControl w:val="0"/>
        <w:ind w:firstLine="640" w:firstLineChars="200"/>
        <w:jc w:val="both"/>
        <w:rPr>
          <w:rFonts w:hint="default"/>
          <w:color w:val="auto"/>
          <w:lang w:val="en-US"/>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kern w:val="2"/>
          <w:sz w:val="32"/>
          <w:szCs w:val="32"/>
          <w:lang w:val="en-US" w:eastAsia="zh-CN" w:bidi="ar-SA"/>
        </w:rPr>
        <w:t>除因不可抗力或发包人原因延误外，若甲方因其它非主观因素（如极端天气、自然灾害、政策调整、主管部门要求等）需调整或取消工期的，有权调整或取消开工/竣工时间。中标方需无条件配合甲方，不得以此为由提出额外费用索赔及违约赔偿。</w:t>
      </w:r>
    </w:p>
    <w:p w14:paraId="5EE51D1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本合同未尽事宜以采购文件和响应文件为准。</w:t>
      </w:r>
    </w:p>
    <w:p w14:paraId="26F4095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u w:val="single"/>
          <w:lang w:val="en-US" w:eastAsia="zh-CN"/>
        </w:rPr>
        <w:t>肆</w:t>
      </w:r>
      <w:r>
        <w:rPr>
          <w:rFonts w:hint="eastAsia" w:ascii="仿宋_GB2312" w:hAnsi="仿宋_GB2312" w:eastAsia="仿宋_GB2312" w:cs="仿宋_GB2312"/>
          <w:sz w:val="32"/>
          <w:szCs w:val="32"/>
        </w:rPr>
        <w:t>份，甲方保存</w:t>
      </w:r>
      <w:r>
        <w:rPr>
          <w:rFonts w:hint="eastAsia" w:ascii="仿宋_GB2312" w:hAnsi="仿宋_GB2312" w:eastAsia="仿宋_GB2312" w:cs="仿宋_GB2312"/>
          <w:sz w:val="32"/>
          <w:szCs w:val="32"/>
          <w:u w:val="single"/>
        </w:rPr>
        <w:t>贰</w:t>
      </w:r>
      <w:r>
        <w:rPr>
          <w:rFonts w:hint="eastAsia" w:ascii="仿宋_GB2312" w:hAnsi="仿宋_GB2312" w:eastAsia="仿宋_GB2312" w:cs="仿宋_GB2312"/>
          <w:sz w:val="32"/>
          <w:szCs w:val="32"/>
        </w:rPr>
        <w:t>份，乙方保存</w:t>
      </w:r>
      <w:r>
        <w:rPr>
          <w:rFonts w:hint="eastAsia" w:ascii="仿宋_GB2312" w:hAnsi="仿宋_GB2312" w:eastAsia="仿宋_GB2312" w:cs="仿宋_GB2312"/>
          <w:sz w:val="32"/>
          <w:szCs w:val="32"/>
          <w:u w:val="single"/>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eastAsia="zh-CN"/>
        </w:rPr>
        <w:t>。</w:t>
      </w:r>
    </w:p>
    <w:p w14:paraId="398E6C15">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甲方（盖公章）：                      乙方（盖公章）：</w:t>
      </w:r>
    </w:p>
    <w:p w14:paraId="3AB293F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单位地址：                            单位地址：</w:t>
      </w:r>
    </w:p>
    <w:p w14:paraId="24D5442A">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                          法定代表人：</w:t>
      </w:r>
    </w:p>
    <w:p w14:paraId="265CED65">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代理人：                              代理人：</w:t>
      </w:r>
    </w:p>
    <w:p w14:paraId="23F787C0">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                                电话：</w:t>
      </w:r>
    </w:p>
    <w:p w14:paraId="48871EAB">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传真：                                传真：</w:t>
      </w:r>
    </w:p>
    <w:p w14:paraId="43D7FB1F">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开户银行：</w:t>
      </w:r>
    </w:p>
    <w:p w14:paraId="48310484">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银行账号</w:t>
      </w:r>
      <w:r>
        <w:rPr>
          <w:rFonts w:hint="eastAsia" w:ascii="仿宋_GB2312" w:hAnsi="仿宋_GB2312" w:eastAsia="仿宋_GB2312" w:cs="仿宋_GB2312"/>
          <w:sz w:val="32"/>
          <w:szCs w:val="32"/>
        </w:rPr>
        <w:t>：</w:t>
      </w:r>
    </w:p>
    <w:p w14:paraId="5BBF8546">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签订日期：</w:t>
      </w:r>
    </w:p>
    <w:p w14:paraId="3A5675AA">
      <w:pPr>
        <w:rPr>
          <w:rFonts w:hint="eastAsia" w:ascii="仿宋_GB2312" w:hAnsi="仿宋_GB2312" w:eastAsia="仿宋_GB2312" w:cs="仿宋_GB2312"/>
          <w:sz w:val="32"/>
          <w:szCs w:val="32"/>
        </w:rPr>
      </w:pPr>
    </w:p>
    <w:p w14:paraId="2D766926">
      <w:pPr>
        <w:rPr>
          <w:rFonts w:hint="eastAsia" w:ascii="仿宋_GB2312" w:hAnsi="仿宋_GB2312" w:eastAsia="仿宋_GB2312" w:cs="仿宋_GB2312"/>
          <w:sz w:val="32"/>
          <w:szCs w:val="32"/>
        </w:rPr>
      </w:pPr>
    </w:p>
    <w:p w14:paraId="4B6125CE">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注：以上是合同的简易</w:t>
      </w:r>
      <w:r>
        <w:rPr>
          <w:rFonts w:hint="eastAsia" w:ascii="仿宋_GB2312" w:hAnsi="仿宋_GB2312" w:eastAsia="仿宋_GB2312" w:cs="仿宋_GB2312"/>
          <w:sz w:val="32"/>
          <w:szCs w:val="32"/>
          <w:lang w:eastAsia="zh-CN"/>
        </w:rPr>
        <w:t>模板</w:t>
      </w:r>
      <w:r>
        <w:rPr>
          <w:rFonts w:hint="eastAsia" w:ascii="仿宋_GB2312" w:hAnsi="仿宋_GB2312" w:eastAsia="仿宋_GB2312" w:cs="仿宋_GB2312"/>
          <w:sz w:val="32"/>
          <w:szCs w:val="32"/>
        </w:rPr>
        <w:t>，仅供甲乙双方签订合同时参考，具体条款详见采购文件中所对应的采购内容及要求，其余条款按照《中华人民共和国民法典》、其他有关法律、行政法规以及省、市、区规范性文件规定，由甲乙双方协商一致后自拟合同。</w:t>
      </w:r>
    </w:p>
    <w:p w14:paraId="4847D51F">
      <w:pPr>
        <w:pStyle w:val="2"/>
        <w:rPr>
          <w:rFonts w:hint="eastAsia" w:ascii="仿宋_GB2312" w:hAnsi="仿宋_GB2312" w:eastAsia="仿宋_GB2312" w:cs="仿宋_GB2312"/>
          <w:sz w:val="32"/>
          <w:szCs w:val="32"/>
        </w:rPr>
      </w:pPr>
    </w:p>
    <w:p w14:paraId="6D9BAC80">
      <w:pPr>
        <w:pStyle w:val="2"/>
        <w:rPr>
          <w:rFonts w:hint="eastAsia" w:ascii="仿宋_GB2312" w:hAnsi="仿宋_GB2312" w:eastAsia="仿宋_GB2312" w:cs="仿宋_GB2312"/>
          <w:sz w:val="32"/>
          <w:szCs w:val="32"/>
        </w:rPr>
      </w:pPr>
    </w:p>
    <w:p w14:paraId="7F41E416">
      <w:pPr>
        <w:pStyle w:val="2"/>
        <w:rPr>
          <w:rFonts w:hint="eastAsia" w:ascii="仿宋_GB2312" w:hAnsi="仿宋_GB2312" w:eastAsia="仿宋_GB2312" w:cs="仿宋_GB2312"/>
          <w:sz w:val="32"/>
          <w:szCs w:val="32"/>
        </w:rPr>
      </w:pPr>
    </w:p>
    <w:p w14:paraId="38E600CC">
      <w:pPr>
        <w:pStyle w:val="2"/>
        <w:rPr>
          <w:rFonts w:hint="eastAsia" w:ascii="仿宋_GB2312" w:hAnsi="仿宋_GB2312" w:eastAsia="仿宋_GB2312" w:cs="仿宋_GB2312"/>
          <w:sz w:val="32"/>
          <w:szCs w:val="32"/>
        </w:rPr>
      </w:pPr>
    </w:p>
    <w:p w14:paraId="115CD58B">
      <w:pPr>
        <w:snapToGrid/>
        <w:spacing w:before="200" w:beforeAutospacing="0" w:after="100" w:afterAutospacing="0" w:line="240" w:lineRule="auto"/>
        <w:ind w:left="0" w:leftChars="0" w:right="0" w:rightChars="0" w:firstLine="0" w:firstLineChars="0"/>
        <w:jc w:val="center"/>
        <w:outlineLvl w:val="1"/>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第五章    评审细则</w:t>
      </w:r>
    </w:p>
    <w:p w14:paraId="093F5F9A">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一、评审方法与确定成交人原则</w:t>
      </w:r>
    </w:p>
    <w:p w14:paraId="2E8FDD95">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最终报价在采购最高限价以下的为有效报价。超出此范围的报价为无效报价。无效报价的响应文件不进行评审，也不成交。</w:t>
      </w:r>
    </w:p>
    <w:p w14:paraId="728CDF32">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2.本次采购采用</w:t>
      </w:r>
      <w:r>
        <w:rPr>
          <w:rFonts w:hint="eastAsia" w:ascii="仿宋_GB2312" w:hAnsi="仿宋_GB2312" w:eastAsia="仿宋_GB2312" w:cs="仿宋_GB2312"/>
          <w:b/>
          <w:bCs/>
          <w:sz w:val="32"/>
          <w:szCs w:val="32"/>
        </w:rPr>
        <w:t>综合评分法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小组各成员独立对每个有效供应商的响应文件技术部分进行评审和评价。评标结果按综合评分由高到低顺序排列，综合评分相同的并列。响应文件满足采购文件全部实质性要求且综合评分最高的供应商为排名第一的成交候选供应商。</w:t>
      </w:r>
    </w:p>
    <w:p w14:paraId="25B434F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3.综合评分相同的，按报价由低到高顺序排列。</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小组认为，排在前面的成交供应商的最低报价或者某些分项报价明显不合理或者低于成本，有可能不能诚信履约的，应当要求其在规定的期限内提供书面文件予以解释说明，并提交相关证明材料；否则，</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小组可以取消该供应商的成交候选资格，按顺序排在后面的成交候选供应商递补，以此类推。</w:t>
      </w:r>
    </w:p>
    <w:p w14:paraId="5DAEAB4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4.对于小微企业提供本企业或者其他小微企业制造的产品进行价格扣除：对小型和微型企业产品的价格给予5% 的扣除用扣除后的价格参与评审。属于残疾人福利性单位的视同小微企业，给予价格扣除。小微企业提供大中型企业制造的货物的，视同为大中型企业，不给予价格扣除。</w:t>
      </w:r>
    </w:p>
    <w:p w14:paraId="4847CF19">
      <w:pPr>
        <w:pStyle w:val="2"/>
        <w:rPr>
          <w:rFonts w:hint="eastAsia"/>
        </w:rPr>
      </w:pPr>
    </w:p>
    <w:p w14:paraId="0EF32358">
      <w:pPr>
        <w:snapToGrid/>
        <w:spacing w:before="200" w:beforeAutospacing="0" w:after="100" w:afterAutospacing="0" w:line="240" w:lineRule="auto"/>
        <w:ind w:left="0" w:leftChars="0" w:right="0" w:rightChars="0" w:firstLine="640" w:firstLineChars="200"/>
        <w:jc w:val="left"/>
        <w:outlineLvl w:val="1"/>
        <w:rPr>
          <w:rFonts w:hint="eastAsia" w:ascii="黑体" w:hAnsi="黑体" w:eastAsia="黑体" w:cs="黑体"/>
          <w:b w:val="0"/>
          <w:bCs w:val="0"/>
          <w:sz w:val="32"/>
          <w:szCs w:val="32"/>
        </w:rPr>
      </w:pPr>
      <w:r>
        <w:rPr>
          <w:rFonts w:hint="eastAsia" w:ascii="黑体" w:hAnsi="黑体" w:eastAsia="黑体" w:cs="黑体"/>
          <w:b w:val="0"/>
          <w:bCs w:val="0"/>
          <w:sz w:val="32"/>
          <w:szCs w:val="32"/>
        </w:rPr>
        <w:t>二、评分标准：</w:t>
      </w:r>
    </w:p>
    <w:tbl>
      <w:tblPr>
        <w:tblStyle w:val="6"/>
        <w:tblW w:w="9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7363"/>
        <w:gridCol w:w="720"/>
      </w:tblGrid>
      <w:tr w14:paraId="64457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185" w:type="dxa"/>
            <w:vAlign w:val="center"/>
          </w:tcPr>
          <w:p w14:paraId="31546AF2">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评分项</w:t>
            </w:r>
          </w:p>
        </w:tc>
        <w:tc>
          <w:tcPr>
            <w:tcW w:w="7363" w:type="dxa"/>
            <w:vAlign w:val="center"/>
          </w:tcPr>
          <w:p w14:paraId="6D5CCB42">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评分细则</w:t>
            </w:r>
          </w:p>
        </w:tc>
        <w:tc>
          <w:tcPr>
            <w:tcW w:w="720" w:type="dxa"/>
            <w:vAlign w:val="center"/>
          </w:tcPr>
          <w:p w14:paraId="409BB683">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分值</w:t>
            </w:r>
          </w:p>
        </w:tc>
      </w:tr>
      <w:tr w14:paraId="1658C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185" w:type="dxa"/>
            <w:vAlign w:val="center"/>
          </w:tcPr>
          <w:p w14:paraId="2128FF60">
            <w:pPr>
              <w:widowControl/>
              <w:jc w:val="center"/>
              <w:rPr>
                <w:rFonts w:ascii="宋体" w:hAnsi="宋体" w:eastAsia="宋体"/>
                <w:b/>
                <w:bCs/>
                <w:sz w:val="24"/>
                <w:szCs w:val="24"/>
              </w:rPr>
            </w:pPr>
            <w:r>
              <w:rPr>
                <w:rFonts w:hint="eastAsia" w:ascii="宋体" w:hAnsi="宋体" w:eastAsia="宋体"/>
                <w:b/>
                <w:bCs/>
                <w:sz w:val="24"/>
                <w:szCs w:val="24"/>
              </w:rPr>
              <w:t>价格分</w:t>
            </w:r>
          </w:p>
        </w:tc>
        <w:tc>
          <w:tcPr>
            <w:tcW w:w="7363" w:type="dxa"/>
            <w:vAlign w:val="center"/>
          </w:tcPr>
          <w:p w14:paraId="641069AC">
            <w:pPr>
              <w:rPr>
                <w:rFonts w:ascii="宋体" w:hAnsi="宋体" w:eastAsia="宋体" w:cs="宋体"/>
                <w:sz w:val="24"/>
                <w:szCs w:val="24"/>
                <w:lang w:val="zh-CN"/>
              </w:rPr>
            </w:pPr>
            <w:r>
              <w:rPr>
                <w:rFonts w:hint="eastAsia" w:ascii="宋体" w:hAnsi="宋体" w:eastAsia="宋体" w:cs="宋体"/>
                <w:sz w:val="24"/>
                <w:szCs w:val="24"/>
                <w:lang w:val="zh-CN"/>
              </w:rPr>
              <w:t>价格分采用</w:t>
            </w:r>
            <w:r>
              <w:rPr>
                <w:rFonts w:hint="eastAsia" w:ascii="宋体" w:hAnsi="宋体" w:eastAsia="宋体" w:cs="宋体"/>
                <w:sz w:val="24"/>
                <w:szCs w:val="24"/>
                <w:lang w:val="zh-CN" w:eastAsia="zh-CN"/>
              </w:rPr>
              <w:t>低价优先法</w:t>
            </w:r>
            <w:r>
              <w:rPr>
                <w:rFonts w:hint="eastAsia" w:ascii="宋体" w:hAnsi="宋体" w:eastAsia="宋体" w:cs="宋体"/>
                <w:sz w:val="24"/>
                <w:szCs w:val="24"/>
                <w:lang w:val="zh-CN"/>
              </w:rPr>
              <w:t>计算，即满足</w:t>
            </w:r>
            <w:r>
              <w:rPr>
                <w:rFonts w:hint="eastAsia" w:ascii="宋体" w:hAnsi="宋体" w:eastAsia="宋体" w:cs="宋体"/>
                <w:sz w:val="24"/>
                <w:szCs w:val="24"/>
                <w:lang w:val="en-US" w:eastAsia="zh-CN"/>
              </w:rPr>
              <w:t>投标</w:t>
            </w:r>
            <w:r>
              <w:rPr>
                <w:rFonts w:hint="eastAsia" w:ascii="宋体" w:hAnsi="宋体" w:eastAsia="宋体" w:cs="宋体"/>
                <w:sz w:val="24"/>
                <w:szCs w:val="24"/>
                <w:lang w:val="zh-CN"/>
              </w:rPr>
              <w:t>文件要求且投标价格最低的投标报价为投标基准价，其价格分为满分。其他投标人的价格分按照下列公式计算（计算结果四舍五入保留两位小数）：投标报价得分</w:t>
            </w:r>
            <w:r>
              <w:rPr>
                <w:rFonts w:ascii="宋体" w:hAnsi="宋体" w:eastAsia="宋体" w:cs="宋体"/>
                <w:sz w:val="24"/>
                <w:szCs w:val="24"/>
                <w:lang w:val="zh-CN"/>
              </w:rPr>
              <w:t>=（</w:t>
            </w:r>
            <w:r>
              <w:rPr>
                <w:rFonts w:hint="eastAsia" w:ascii="宋体" w:hAnsi="宋体" w:eastAsia="宋体" w:cs="宋体"/>
                <w:sz w:val="24"/>
                <w:szCs w:val="24"/>
                <w:lang w:val="zh-CN"/>
              </w:rPr>
              <w:t>投标</w:t>
            </w:r>
            <w:r>
              <w:rPr>
                <w:rFonts w:ascii="宋体" w:hAnsi="宋体" w:eastAsia="宋体" w:cs="宋体"/>
                <w:sz w:val="24"/>
                <w:szCs w:val="24"/>
                <w:lang w:val="zh-CN"/>
              </w:rPr>
              <w:t>基准价/</w:t>
            </w:r>
            <w:r>
              <w:rPr>
                <w:rFonts w:hint="eastAsia" w:ascii="宋体" w:hAnsi="宋体" w:eastAsia="宋体" w:cs="宋体"/>
                <w:sz w:val="24"/>
                <w:szCs w:val="24"/>
                <w:lang w:val="zh-CN"/>
              </w:rPr>
              <w:t>投标</w:t>
            </w:r>
            <w:r>
              <w:rPr>
                <w:rFonts w:ascii="宋体" w:hAnsi="宋体" w:eastAsia="宋体" w:cs="宋体"/>
                <w:sz w:val="24"/>
                <w:szCs w:val="24"/>
                <w:lang w:val="zh-CN"/>
              </w:rPr>
              <w:t>报价）*价格权重</w:t>
            </w:r>
          </w:p>
        </w:tc>
        <w:tc>
          <w:tcPr>
            <w:tcW w:w="720" w:type="dxa"/>
            <w:vAlign w:val="center"/>
          </w:tcPr>
          <w:p w14:paraId="5E4D77BF">
            <w:pPr>
              <w:jc w:val="center"/>
              <w:rPr>
                <w:rFonts w:ascii="宋体" w:hAnsi="宋体" w:eastAsia="宋体"/>
                <w:kern w:val="0"/>
                <w:sz w:val="24"/>
                <w:szCs w:val="24"/>
              </w:rPr>
            </w:pPr>
            <w:r>
              <w:rPr>
                <w:rFonts w:hint="eastAsia" w:ascii="宋体" w:hAnsi="宋体" w:eastAsia="宋体"/>
                <w:sz w:val="24"/>
                <w:szCs w:val="24"/>
              </w:rPr>
              <w:t>4</w:t>
            </w:r>
            <w:r>
              <w:rPr>
                <w:rFonts w:ascii="宋体" w:hAnsi="宋体" w:eastAsia="宋体"/>
                <w:sz w:val="24"/>
                <w:szCs w:val="24"/>
              </w:rPr>
              <w:t>0</w:t>
            </w:r>
          </w:p>
        </w:tc>
      </w:tr>
      <w:tr w14:paraId="0DCB9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185" w:type="dxa"/>
            <w:vAlign w:val="center"/>
          </w:tcPr>
          <w:p w14:paraId="0C973336">
            <w:pPr>
              <w:ind w:left="-50"/>
              <w:jc w:val="center"/>
              <w:rPr>
                <w:rFonts w:hAnsi="宋体" w:cs="Times New Roman"/>
                <w:b/>
                <w:bCs/>
                <w:sz w:val="24"/>
                <w:szCs w:val="24"/>
              </w:rPr>
            </w:pPr>
            <w:r>
              <w:rPr>
                <w:rFonts w:hint="eastAsia" w:ascii="宋体" w:hAnsi="宋体" w:eastAsia="宋体"/>
                <w:b/>
                <w:bCs/>
                <w:sz w:val="24"/>
                <w:szCs w:val="24"/>
              </w:rPr>
              <w:t>业绩</w:t>
            </w:r>
          </w:p>
        </w:tc>
        <w:tc>
          <w:tcPr>
            <w:tcW w:w="7363" w:type="dxa"/>
            <w:vAlign w:val="center"/>
          </w:tcPr>
          <w:p w14:paraId="60F99484">
            <w:pPr>
              <w:ind w:left="-50"/>
              <w:jc w:val="left"/>
              <w:rPr>
                <w:rFonts w:ascii="宋体" w:hAnsi="宋体" w:eastAsia="宋体"/>
                <w:sz w:val="24"/>
                <w:szCs w:val="24"/>
              </w:rPr>
            </w:pPr>
            <w:r>
              <w:rPr>
                <w:rFonts w:hint="eastAsia" w:ascii="宋体" w:hAnsi="宋体" w:eastAsia="宋体" w:cs="宋体"/>
                <w:sz w:val="24"/>
                <w:szCs w:val="24"/>
                <w:lang w:val="zh-CN"/>
              </w:rPr>
              <w:t>供应商自</w:t>
            </w:r>
            <w:r>
              <w:rPr>
                <w:rFonts w:ascii="宋体" w:hAnsi="宋体" w:eastAsia="宋体" w:cs="宋体"/>
                <w:sz w:val="24"/>
                <w:szCs w:val="24"/>
                <w:lang w:val="zh-CN"/>
              </w:rPr>
              <w:t>20</w:t>
            </w:r>
            <w:r>
              <w:rPr>
                <w:rFonts w:hint="eastAsia" w:ascii="宋体" w:hAnsi="宋体" w:eastAsia="宋体" w:cs="宋体"/>
                <w:sz w:val="24"/>
                <w:szCs w:val="24"/>
              </w:rPr>
              <w:t>20</w:t>
            </w:r>
            <w:r>
              <w:rPr>
                <w:rFonts w:ascii="宋体" w:hAnsi="宋体" w:eastAsia="宋体" w:cs="宋体"/>
                <w:sz w:val="24"/>
                <w:szCs w:val="24"/>
                <w:lang w:val="zh-CN"/>
              </w:rPr>
              <w:t>年</w:t>
            </w:r>
            <w:r>
              <w:rPr>
                <w:rFonts w:hint="eastAsia" w:ascii="宋体" w:hAnsi="宋体" w:eastAsia="宋体" w:cs="宋体"/>
                <w:sz w:val="24"/>
                <w:szCs w:val="24"/>
              </w:rPr>
              <w:t>1</w:t>
            </w:r>
            <w:r>
              <w:rPr>
                <w:rFonts w:ascii="宋体" w:hAnsi="宋体" w:eastAsia="宋体" w:cs="宋体"/>
                <w:sz w:val="24"/>
                <w:szCs w:val="24"/>
                <w:lang w:val="zh-CN"/>
              </w:rPr>
              <w:t>月1日至</w:t>
            </w:r>
            <w:r>
              <w:rPr>
                <w:rFonts w:hint="eastAsia" w:ascii="宋体" w:hAnsi="宋体" w:eastAsia="宋体" w:cs="宋体"/>
                <w:sz w:val="24"/>
                <w:szCs w:val="24"/>
                <w:lang w:val="zh-CN"/>
              </w:rPr>
              <w:t>本项目</w:t>
            </w:r>
            <w:r>
              <w:rPr>
                <w:rFonts w:hint="eastAsia" w:ascii="宋体" w:hAnsi="宋体" w:eastAsia="宋体" w:cs="宋体"/>
                <w:sz w:val="24"/>
                <w:szCs w:val="24"/>
                <w:lang w:eastAsia="zh-CN"/>
              </w:rPr>
              <w:t>投标</w:t>
            </w:r>
            <w:r>
              <w:rPr>
                <w:rFonts w:hint="eastAsia" w:ascii="宋体" w:hAnsi="宋体" w:eastAsia="宋体" w:cs="宋体"/>
                <w:sz w:val="24"/>
                <w:szCs w:val="24"/>
                <w:lang w:val="zh-CN"/>
              </w:rPr>
              <w:t>公告之日止，</w:t>
            </w:r>
            <w:r>
              <w:rPr>
                <w:rFonts w:hint="eastAsia" w:ascii="宋体" w:hAnsi="宋体" w:eastAsia="宋体"/>
                <w:sz w:val="24"/>
                <w:szCs w:val="24"/>
              </w:rPr>
              <w:t>承担过类似工程项目的有效业绩，每提供一个有效业绩证明得3分，</w:t>
            </w:r>
            <w:r>
              <w:rPr>
                <w:rFonts w:hint="eastAsia" w:ascii="宋体" w:hAnsi="宋体" w:eastAsia="宋体"/>
                <w:b/>
                <w:bCs/>
                <w:sz w:val="24"/>
                <w:szCs w:val="24"/>
              </w:rPr>
              <w:t>最高得6分。</w:t>
            </w:r>
          </w:p>
          <w:p w14:paraId="15A1929F">
            <w:pPr>
              <w:ind w:left="-50"/>
              <w:jc w:val="left"/>
              <w:rPr>
                <w:rFonts w:ascii="宋体" w:hAnsi="宋体" w:eastAsia="宋体"/>
                <w:b/>
                <w:bCs/>
                <w:sz w:val="24"/>
                <w:szCs w:val="24"/>
              </w:rPr>
            </w:pPr>
            <w:r>
              <w:rPr>
                <w:rFonts w:hint="eastAsia" w:ascii="宋体" w:hAnsi="宋体" w:eastAsia="宋体" w:cs="宋体"/>
                <w:b/>
                <w:bCs/>
                <w:sz w:val="24"/>
                <w:szCs w:val="24"/>
              </w:rPr>
              <w:t>注：</w:t>
            </w:r>
            <w:r>
              <w:rPr>
                <w:rFonts w:hint="eastAsia" w:ascii="宋体" w:hAnsi="宋体" w:eastAsia="宋体"/>
                <w:b/>
                <w:bCs/>
                <w:sz w:val="24"/>
                <w:szCs w:val="24"/>
              </w:rPr>
              <w:t>响应文件中提供业绩合同等证明材料复印件并加盖供应商公章。</w:t>
            </w:r>
          </w:p>
        </w:tc>
        <w:tc>
          <w:tcPr>
            <w:tcW w:w="720" w:type="dxa"/>
            <w:vAlign w:val="center"/>
          </w:tcPr>
          <w:p w14:paraId="6C20A1A0">
            <w:pPr>
              <w:jc w:val="center"/>
              <w:rPr>
                <w:rFonts w:ascii="宋体" w:hAnsi="宋体" w:eastAsia="宋体"/>
                <w:sz w:val="24"/>
                <w:szCs w:val="24"/>
              </w:rPr>
            </w:pPr>
            <w:r>
              <w:rPr>
                <w:rFonts w:hint="eastAsia" w:ascii="宋体" w:hAnsi="宋体" w:eastAsia="宋体"/>
                <w:sz w:val="24"/>
                <w:szCs w:val="24"/>
              </w:rPr>
              <w:t>6</w:t>
            </w:r>
          </w:p>
        </w:tc>
      </w:tr>
      <w:tr w14:paraId="1355F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185" w:type="dxa"/>
            <w:vAlign w:val="center"/>
          </w:tcPr>
          <w:p w14:paraId="0D8573E0">
            <w:pPr>
              <w:ind w:left="-50"/>
              <w:jc w:val="center"/>
              <w:rPr>
                <w:rFonts w:ascii="宋体" w:hAnsi="宋体" w:eastAsia="宋体"/>
                <w:b/>
                <w:bCs/>
                <w:sz w:val="24"/>
                <w:szCs w:val="24"/>
              </w:rPr>
            </w:pPr>
            <w:r>
              <w:rPr>
                <w:rFonts w:hint="eastAsia" w:ascii="宋体" w:hAnsi="宋体" w:eastAsia="宋体"/>
                <w:b/>
                <w:bCs/>
                <w:sz w:val="24"/>
                <w:szCs w:val="24"/>
              </w:rPr>
              <w:t>企业实力</w:t>
            </w:r>
          </w:p>
        </w:tc>
        <w:tc>
          <w:tcPr>
            <w:tcW w:w="7363" w:type="dxa"/>
            <w:vAlign w:val="center"/>
          </w:tcPr>
          <w:p w14:paraId="5B4B51C8">
            <w:pPr>
              <w:rPr>
                <w:rFonts w:ascii="宋体" w:hAnsi="宋体" w:eastAsia="宋体" w:cs="宋体"/>
                <w:sz w:val="24"/>
                <w:szCs w:val="24"/>
              </w:rPr>
            </w:pPr>
            <w:r>
              <w:rPr>
                <w:rFonts w:hint="eastAsia" w:ascii="宋体" w:hAnsi="宋体" w:eastAsia="宋体" w:cs="宋体"/>
                <w:sz w:val="24"/>
                <w:szCs w:val="24"/>
                <w:lang w:eastAsia="zh-CN"/>
              </w:rPr>
              <w:t>1.</w:t>
            </w:r>
            <w:r>
              <w:rPr>
                <w:rFonts w:hint="eastAsia" w:ascii="宋体" w:hAnsi="宋体" w:eastAsia="宋体" w:cs="宋体"/>
                <w:sz w:val="24"/>
                <w:szCs w:val="24"/>
              </w:rPr>
              <w:t>供应商具有有效期内的ISO9001质量管理体系认证证书、ISO14001环境管理体系认证证书</w:t>
            </w:r>
            <w:r>
              <w:rPr>
                <w:rFonts w:hint="eastAsia" w:ascii="宋体" w:hAnsi="宋体" w:eastAsia="宋体" w:cs="宋体"/>
                <w:sz w:val="24"/>
                <w:szCs w:val="24"/>
                <w:lang w:eastAsia="zh-CN"/>
              </w:rPr>
              <w:t>，</w:t>
            </w:r>
            <w:r>
              <w:rPr>
                <w:rFonts w:hint="eastAsia" w:ascii="宋体" w:hAnsi="宋体" w:eastAsia="宋体" w:cs="宋体"/>
                <w:sz w:val="24"/>
                <w:szCs w:val="24"/>
              </w:rPr>
              <w:t xml:space="preserve">每提供一份有效认证证书的得2分，最高得4分； </w:t>
            </w:r>
          </w:p>
          <w:p w14:paraId="078F2EC2">
            <w:pPr>
              <w:rPr>
                <w:rFonts w:ascii="宋体" w:hAnsi="宋体" w:eastAsia="宋体" w:cs="宋体"/>
                <w:sz w:val="24"/>
                <w:szCs w:val="24"/>
              </w:rPr>
            </w:pPr>
            <w:r>
              <w:rPr>
                <w:rFonts w:hint="eastAsia" w:ascii="宋体" w:hAnsi="宋体" w:eastAsia="宋体" w:cs="宋体"/>
                <w:sz w:val="24"/>
                <w:szCs w:val="24"/>
                <w:lang w:eastAsia="zh-CN"/>
              </w:rPr>
              <w:t>2.</w:t>
            </w:r>
            <w:r>
              <w:rPr>
                <w:rFonts w:hint="eastAsia" w:ascii="宋体" w:hAnsi="宋体" w:eastAsia="宋体" w:cs="宋体"/>
                <w:sz w:val="24"/>
                <w:szCs w:val="24"/>
              </w:rPr>
              <w:t>供应商具有消防设施施工承包二级及以上资质的得2分。</w:t>
            </w:r>
          </w:p>
          <w:p w14:paraId="35F7F41D">
            <w:pPr>
              <w:rPr>
                <w:rFonts w:ascii="宋体" w:hAnsi="宋体" w:eastAsia="宋体" w:cs="宋体"/>
                <w:b/>
                <w:bCs/>
                <w:sz w:val="24"/>
                <w:szCs w:val="24"/>
              </w:rPr>
            </w:pPr>
            <w:r>
              <w:rPr>
                <w:rFonts w:hint="eastAsia" w:ascii="宋体" w:hAnsi="宋体" w:eastAsia="宋体" w:cs="宋体"/>
                <w:b/>
                <w:bCs/>
                <w:sz w:val="24"/>
                <w:szCs w:val="24"/>
              </w:rPr>
              <w:t>本项最高得6分。</w:t>
            </w:r>
          </w:p>
          <w:p w14:paraId="08312980">
            <w:pPr>
              <w:rPr>
                <w:rFonts w:ascii="宋体" w:hAnsi="宋体" w:eastAsia="宋体" w:cs="宋体"/>
                <w:sz w:val="24"/>
                <w:szCs w:val="24"/>
              </w:rPr>
            </w:pPr>
            <w:r>
              <w:rPr>
                <w:rFonts w:hint="eastAsia" w:ascii="宋体" w:hAnsi="宋体" w:eastAsia="宋体" w:cs="宋体"/>
                <w:b/>
                <w:bCs/>
                <w:sz w:val="24"/>
                <w:szCs w:val="24"/>
              </w:rPr>
              <w:t>注：响应文件中提供相关证书、资质证明材料复印件并加盖供应商公章。</w:t>
            </w:r>
          </w:p>
        </w:tc>
        <w:tc>
          <w:tcPr>
            <w:tcW w:w="720" w:type="dxa"/>
            <w:vAlign w:val="center"/>
          </w:tcPr>
          <w:p w14:paraId="330FFBEA">
            <w:pPr>
              <w:jc w:val="center"/>
              <w:rPr>
                <w:rFonts w:ascii="宋体" w:hAnsi="宋体" w:eastAsia="宋体"/>
                <w:sz w:val="24"/>
                <w:szCs w:val="24"/>
              </w:rPr>
            </w:pPr>
            <w:r>
              <w:rPr>
                <w:rFonts w:hint="eastAsia" w:ascii="宋体" w:hAnsi="宋体" w:eastAsia="宋体"/>
                <w:sz w:val="24"/>
                <w:szCs w:val="24"/>
              </w:rPr>
              <w:t>6</w:t>
            </w:r>
          </w:p>
        </w:tc>
      </w:tr>
      <w:tr w14:paraId="7609E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185" w:type="dxa"/>
            <w:vAlign w:val="center"/>
          </w:tcPr>
          <w:p w14:paraId="4F07275E">
            <w:pPr>
              <w:ind w:left="-50"/>
              <w:jc w:val="center"/>
              <w:rPr>
                <w:rFonts w:ascii="宋体" w:hAnsi="宋体" w:eastAsia="宋体"/>
                <w:b/>
                <w:bCs/>
                <w:sz w:val="24"/>
                <w:szCs w:val="24"/>
              </w:rPr>
            </w:pPr>
            <w:r>
              <w:rPr>
                <w:rFonts w:hint="eastAsia" w:ascii="宋体" w:hAnsi="宋体" w:eastAsia="宋体"/>
                <w:b/>
                <w:bCs/>
                <w:sz w:val="24"/>
                <w:szCs w:val="24"/>
              </w:rPr>
              <w:t>项目人员组成</w:t>
            </w:r>
          </w:p>
        </w:tc>
        <w:tc>
          <w:tcPr>
            <w:tcW w:w="7363" w:type="dxa"/>
            <w:vAlign w:val="center"/>
          </w:tcPr>
          <w:p w14:paraId="4380FF59">
            <w:pPr>
              <w:ind w:left="-50"/>
              <w:jc w:val="left"/>
              <w:rPr>
                <w:rFonts w:ascii="宋体" w:hAnsi="宋体" w:eastAsia="宋体" w:cs="宋体"/>
                <w:sz w:val="24"/>
                <w:szCs w:val="24"/>
              </w:rPr>
            </w:pPr>
            <w:r>
              <w:rPr>
                <w:rFonts w:hint="eastAsia" w:ascii="宋体" w:hAnsi="宋体" w:eastAsia="宋体" w:cs="宋体"/>
                <w:sz w:val="24"/>
                <w:szCs w:val="24"/>
                <w:lang w:eastAsia="zh-CN"/>
              </w:rPr>
              <w:t>1.</w:t>
            </w:r>
            <w:r>
              <w:rPr>
                <w:rFonts w:hint="eastAsia" w:ascii="宋体" w:hAnsi="宋体" w:eastAsia="宋体" w:cs="宋体"/>
                <w:sz w:val="24"/>
                <w:szCs w:val="24"/>
              </w:rPr>
              <w:t xml:space="preserve">拟配的项目经理具备建筑工程专业建造师的得2分。 </w:t>
            </w:r>
          </w:p>
          <w:p w14:paraId="544774EB">
            <w:pPr>
              <w:ind w:left="-50"/>
              <w:jc w:val="left"/>
              <w:rPr>
                <w:rFonts w:ascii="宋体" w:hAnsi="宋体" w:eastAsia="宋体" w:cs="宋体"/>
                <w:sz w:val="24"/>
                <w:szCs w:val="24"/>
              </w:rPr>
            </w:pPr>
            <w:r>
              <w:rPr>
                <w:rFonts w:hint="eastAsia" w:ascii="宋体" w:hAnsi="宋体" w:eastAsia="宋体" w:cs="宋体"/>
                <w:sz w:val="24"/>
                <w:szCs w:val="24"/>
                <w:lang w:eastAsia="zh-CN"/>
              </w:rPr>
              <w:t>2.</w:t>
            </w:r>
            <w:r>
              <w:rPr>
                <w:rFonts w:hint="eastAsia" w:ascii="宋体" w:hAnsi="宋体" w:eastAsia="宋体" w:cs="宋体"/>
                <w:sz w:val="24"/>
                <w:szCs w:val="24"/>
              </w:rPr>
              <w:t>拟配的技术负责人具备机电工程专业建造师的得2分。</w:t>
            </w:r>
          </w:p>
          <w:p w14:paraId="09C133FD">
            <w:pPr>
              <w:ind w:left="-50"/>
              <w:jc w:val="left"/>
              <w:rPr>
                <w:rFonts w:ascii="宋体" w:hAnsi="宋体" w:eastAsia="宋体" w:cs="宋体"/>
                <w:b/>
                <w:bCs/>
                <w:sz w:val="24"/>
                <w:szCs w:val="24"/>
              </w:rPr>
            </w:pPr>
            <w:r>
              <w:rPr>
                <w:rFonts w:hint="eastAsia" w:ascii="宋体" w:hAnsi="宋体" w:eastAsia="宋体" w:cs="宋体"/>
                <w:b/>
                <w:bCs/>
                <w:sz w:val="24"/>
                <w:szCs w:val="24"/>
              </w:rPr>
              <w:t>注：响应文件中提供相关证书</w:t>
            </w:r>
            <w:r>
              <w:rPr>
                <w:rFonts w:hint="eastAsia" w:ascii="宋体" w:hAnsi="宋体" w:eastAsia="宋体" w:cs="宋体"/>
                <w:b/>
                <w:bCs/>
                <w:sz w:val="24"/>
                <w:szCs w:val="24"/>
                <w:lang w:eastAsia="zh-CN"/>
              </w:rPr>
              <w:t>复印件</w:t>
            </w:r>
            <w:r>
              <w:rPr>
                <w:rFonts w:hint="eastAsia" w:ascii="宋体" w:hAnsi="宋体" w:eastAsia="宋体" w:cs="宋体"/>
                <w:b/>
                <w:bCs/>
                <w:sz w:val="24"/>
                <w:szCs w:val="24"/>
              </w:rPr>
              <w:t>并加盖供应商公章。</w:t>
            </w:r>
          </w:p>
        </w:tc>
        <w:tc>
          <w:tcPr>
            <w:tcW w:w="720" w:type="dxa"/>
            <w:vAlign w:val="center"/>
          </w:tcPr>
          <w:p w14:paraId="3D2F44D9">
            <w:pPr>
              <w:jc w:val="center"/>
              <w:rPr>
                <w:rFonts w:ascii="宋体" w:hAnsi="宋体" w:eastAsia="宋体"/>
                <w:sz w:val="24"/>
                <w:szCs w:val="24"/>
              </w:rPr>
            </w:pPr>
            <w:r>
              <w:rPr>
                <w:rFonts w:hint="eastAsia" w:ascii="宋体" w:hAnsi="宋体" w:eastAsia="宋体"/>
                <w:sz w:val="24"/>
                <w:szCs w:val="24"/>
              </w:rPr>
              <w:t>4</w:t>
            </w:r>
          </w:p>
        </w:tc>
      </w:tr>
      <w:tr w14:paraId="397B8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185" w:type="dxa"/>
            <w:vAlign w:val="center"/>
          </w:tcPr>
          <w:p w14:paraId="34DE8B35">
            <w:pPr>
              <w:ind w:left="-50"/>
              <w:jc w:val="center"/>
              <w:rPr>
                <w:rFonts w:ascii="宋体" w:hAnsi="宋体" w:eastAsia="宋体"/>
                <w:b/>
                <w:bCs/>
                <w:sz w:val="24"/>
                <w:szCs w:val="24"/>
              </w:rPr>
            </w:pPr>
            <w:r>
              <w:rPr>
                <w:rFonts w:hint="eastAsia" w:ascii="宋体" w:hAnsi="宋体" w:eastAsia="宋体"/>
                <w:b/>
                <w:bCs/>
                <w:sz w:val="24"/>
                <w:szCs w:val="24"/>
              </w:rPr>
              <w:t>拆除方案</w:t>
            </w:r>
          </w:p>
        </w:tc>
        <w:tc>
          <w:tcPr>
            <w:tcW w:w="7363" w:type="dxa"/>
            <w:vAlign w:val="center"/>
          </w:tcPr>
          <w:p w14:paraId="7A3A8442">
            <w:pPr>
              <w:ind w:left="-50"/>
              <w:jc w:val="left"/>
              <w:rPr>
                <w:rFonts w:ascii="宋体" w:hAnsi="宋体" w:eastAsia="宋体" w:cs="宋体"/>
                <w:b/>
                <w:bCs/>
                <w:sz w:val="24"/>
                <w:szCs w:val="24"/>
              </w:rPr>
            </w:pPr>
            <w:r>
              <w:rPr>
                <w:rFonts w:hint="eastAsia" w:ascii="宋体" w:hAnsi="宋体" w:eastAsia="宋体" w:cs="宋体"/>
                <w:b/>
                <w:bCs/>
                <w:sz w:val="24"/>
                <w:szCs w:val="24"/>
                <w:lang w:val="en-US" w:eastAsia="zh-CN"/>
              </w:rPr>
              <w:t>招标</w:t>
            </w:r>
            <w:r>
              <w:rPr>
                <w:rFonts w:hint="eastAsia" w:ascii="宋体" w:hAnsi="宋体" w:eastAsia="宋体" w:cs="宋体"/>
                <w:b/>
                <w:bCs/>
                <w:sz w:val="24"/>
                <w:szCs w:val="24"/>
              </w:rPr>
              <w:t>小组根据供应商针对本项目提供的详细拆除方案，包括实施方案、现场组织、风险控制、现场清理等进行综合评分：</w:t>
            </w:r>
          </w:p>
          <w:p w14:paraId="54E2A962">
            <w:pPr>
              <w:ind w:left="-50"/>
              <w:jc w:val="left"/>
              <w:rPr>
                <w:rFonts w:ascii="宋体" w:hAnsi="宋体" w:eastAsia="宋体" w:cs="宋体"/>
                <w:sz w:val="24"/>
                <w:szCs w:val="24"/>
              </w:rPr>
            </w:pPr>
            <w:r>
              <w:rPr>
                <w:rFonts w:hint="eastAsia" w:ascii="宋体" w:hAnsi="宋体" w:eastAsia="宋体" w:cs="宋体"/>
                <w:sz w:val="24"/>
                <w:szCs w:val="24"/>
              </w:rPr>
              <w:t>（1）总体实施方案及现场组织：</w:t>
            </w:r>
          </w:p>
          <w:p w14:paraId="5791EADA">
            <w:pPr>
              <w:ind w:left="-50"/>
              <w:jc w:val="left"/>
              <w:rPr>
                <w:rFonts w:ascii="宋体" w:hAnsi="宋体" w:eastAsia="宋体" w:cs="宋体"/>
                <w:sz w:val="24"/>
                <w:szCs w:val="24"/>
              </w:rPr>
            </w:pPr>
            <w:r>
              <w:rPr>
                <w:rFonts w:hint="eastAsia" w:ascii="宋体" w:hAnsi="宋体" w:eastAsia="宋体" w:cs="宋体"/>
                <w:sz w:val="24"/>
                <w:szCs w:val="24"/>
              </w:rPr>
              <w:t>方案完整、可行，能完全满足项目实施要求，得5分；</w:t>
            </w:r>
          </w:p>
          <w:p w14:paraId="1A89CEB3">
            <w:pPr>
              <w:ind w:left="-50"/>
              <w:jc w:val="left"/>
              <w:rPr>
                <w:rFonts w:ascii="宋体" w:hAnsi="宋体" w:eastAsia="宋体" w:cs="宋体"/>
                <w:sz w:val="24"/>
                <w:szCs w:val="24"/>
              </w:rPr>
            </w:pPr>
            <w:r>
              <w:rPr>
                <w:rFonts w:hint="eastAsia" w:ascii="宋体" w:hAnsi="宋体" w:eastAsia="宋体" w:cs="宋体"/>
                <w:sz w:val="24"/>
                <w:szCs w:val="24"/>
              </w:rPr>
              <w:t>方案较具体、可行，能基本满足项目实施要求，得3分；</w:t>
            </w:r>
          </w:p>
          <w:p w14:paraId="73B9FFD8">
            <w:pPr>
              <w:ind w:left="-50"/>
              <w:jc w:val="left"/>
              <w:rPr>
                <w:rFonts w:ascii="宋体" w:hAnsi="宋体" w:eastAsia="宋体" w:cs="宋体"/>
                <w:sz w:val="24"/>
                <w:szCs w:val="24"/>
              </w:rPr>
            </w:pPr>
            <w:r>
              <w:rPr>
                <w:rFonts w:hint="eastAsia" w:ascii="宋体" w:hAnsi="宋体" w:eastAsia="宋体" w:cs="宋体"/>
                <w:sz w:val="24"/>
                <w:szCs w:val="24"/>
              </w:rPr>
              <w:t>方案内容较简单，对项目实施要求响应一般，得1分。</w:t>
            </w:r>
          </w:p>
          <w:p w14:paraId="0DE57845">
            <w:pPr>
              <w:ind w:left="-50"/>
              <w:jc w:val="left"/>
              <w:rPr>
                <w:rFonts w:ascii="宋体" w:hAnsi="宋体" w:eastAsia="宋体" w:cs="宋体"/>
                <w:sz w:val="24"/>
                <w:szCs w:val="24"/>
              </w:rPr>
            </w:pPr>
            <w:r>
              <w:rPr>
                <w:rFonts w:hint="eastAsia" w:ascii="宋体" w:hAnsi="宋体" w:eastAsia="宋体" w:cs="宋体"/>
                <w:sz w:val="24"/>
                <w:szCs w:val="24"/>
              </w:rPr>
              <w:t>未提供不得分。</w:t>
            </w:r>
          </w:p>
          <w:p w14:paraId="2BB58A17">
            <w:pPr>
              <w:jc w:val="left"/>
              <w:rPr>
                <w:rFonts w:ascii="宋体" w:hAnsi="宋体" w:eastAsia="宋体" w:cs="宋体"/>
                <w:sz w:val="24"/>
                <w:szCs w:val="24"/>
              </w:rPr>
            </w:pPr>
            <w:r>
              <w:rPr>
                <w:rFonts w:hint="eastAsia" w:ascii="宋体" w:hAnsi="宋体" w:eastAsia="宋体" w:cs="宋体"/>
                <w:sz w:val="24"/>
                <w:szCs w:val="24"/>
              </w:rPr>
              <w:t>（2）风险控制及现场清理：</w:t>
            </w:r>
          </w:p>
          <w:p w14:paraId="75999741">
            <w:pPr>
              <w:jc w:val="left"/>
              <w:rPr>
                <w:rFonts w:ascii="宋体" w:hAnsi="宋体" w:eastAsia="宋体" w:cs="宋体"/>
                <w:b/>
                <w:bCs/>
                <w:sz w:val="24"/>
                <w:szCs w:val="24"/>
              </w:rPr>
            </w:pPr>
            <w:r>
              <w:rPr>
                <w:rFonts w:hint="eastAsia" w:ascii="宋体" w:hAnsi="宋体" w:eastAsia="宋体" w:cs="宋体"/>
                <w:sz w:val="24"/>
                <w:szCs w:val="24"/>
              </w:rPr>
              <w:t>方案完整、可行，能完全满足项目实施要求，得5分；</w:t>
            </w:r>
          </w:p>
          <w:p w14:paraId="1BF1C62F">
            <w:pPr>
              <w:jc w:val="left"/>
              <w:rPr>
                <w:rFonts w:ascii="宋体" w:hAnsi="宋体" w:eastAsia="宋体" w:cs="宋体"/>
                <w:b/>
                <w:bCs/>
                <w:sz w:val="24"/>
                <w:szCs w:val="24"/>
              </w:rPr>
            </w:pPr>
            <w:r>
              <w:rPr>
                <w:rFonts w:hint="eastAsia" w:ascii="宋体" w:hAnsi="宋体" w:eastAsia="宋体" w:cs="宋体"/>
                <w:sz w:val="24"/>
                <w:szCs w:val="24"/>
              </w:rPr>
              <w:t>方案较具体、可行，能基本满足项目实施要求，得3分；</w:t>
            </w:r>
          </w:p>
          <w:p w14:paraId="65EF8480">
            <w:pPr>
              <w:jc w:val="left"/>
              <w:rPr>
                <w:rFonts w:ascii="宋体" w:hAnsi="宋体" w:eastAsia="宋体" w:cs="宋体"/>
                <w:b/>
                <w:bCs/>
                <w:sz w:val="24"/>
                <w:szCs w:val="24"/>
              </w:rPr>
            </w:pPr>
            <w:r>
              <w:rPr>
                <w:rFonts w:hint="eastAsia" w:ascii="宋体" w:hAnsi="宋体" w:eastAsia="宋体" w:cs="宋体"/>
                <w:sz w:val="24"/>
                <w:szCs w:val="24"/>
              </w:rPr>
              <w:t>方案内容较简单，对项目实施要求响应一般，得1分。</w:t>
            </w:r>
          </w:p>
          <w:p w14:paraId="7FCD5650">
            <w:pPr>
              <w:jc w:val="left"/>
              <w:rPr>
                <w:rFonts w:ascii="宋体" w:hAnsi="宋体" w:eastAsia="宋体" w:cs="宋体"/>
                <w:b/>
                <w:bCs/>
                <w:sz w:val="24"/>
                <w:szCs w:val="24"/>
              </w:rPr>
            </w:pPr>
            <w:r>
              <w:rPr>
                <w:rFonts w:hint="eastAsia" w:ascii="宋体" w:hAnsi="宋体" w:eastAsia="宋体" w:cs="宋体"/>
                <w:sz w:val="24"/>
                <w:szCs w:val="24"/>
              </w:rPr>
              <w:t>未提供不得分。</w:t>
            </w:r>
          </w:p>
        </w:tc>
        <w:tc>
          <w:tcPr>
            <w:tcW w:w="720" w:type="dxa"/>
            <w:vAlign w:val="center"/>
          </w:tcPr>
          <w:p w14:paraId="0EB2C411">
            <w:pPr>
              <w:jc w:val="center"/>
              <w:rPr>
                <w:rFonts w:ascii="宋体" w:hAnsi="宋体" w:eastAsia="宋体"/>
                <w:sz w:val="24"/>
                <w:szCs w:val="24"/>
              </w:rPr>
            </w:pPr>
            <w:r>
              <w:rPr>
                <w:rFonts w:hint="eastAsia" w:ascii="宋体" w:hAnsi="宋体" w:eastAsia="宋体"/>
                <w:sz w:val="24"/>
                <w:szCs w:val="24"/>
              </w:rPr>
              <w:t>10</w:t>
            </w:r>
          </w:p>
        </w:tc>
      </w:tr>
      <w:tr w14:paraId="7F97B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trPr>
        <w:tc>
          <w:tcPr>
            <w:tcW w:w="1185" w:type="dxa"/>
            <w:vAlign w:val="center"/>
          </w:tcPr>
          <w:p w14:paraId="7C091641">
            <w:pPr>
              <w:ind w:left="-50"/>
              <w:jc w:val="center"/>
              <w:rPr>
                <w:rFonts w:ascii="宋体" w:hAnsi="宋体" w:eastAsia="宋体"/>
                <w:b/>
                <w:bCs/>
                <w:sz w:val="24"/>
                <w:szCs w:val="24"/>
              </w:rPr>
            </w:pPr>
            <w:r>
              <w:rPr>
                <w:rFonts w:hint="eastAsia" w:ascii="宋体" w:hAnsi="宋体" w:eastAsia="宋体"/>
                <w:b/>
                <w:bCs/>
                <w:sz w:val="24"/>
                <w:szCs w:val="24"/>
              </w:rPr>
              <w:t>应急方案</w:t>
            </w:r>
          </w:p>
        </w:tc>
        <w:tc>
          <w:tcPr>
            <w:tcW w:w="7363" w:type="dxa"/>
            <w:vAlign w:val="center"/>
          </w:tcPr>
          <w:p w14:paraId="2F5E8398">
            <w:pPr>
              <w:pStyle w:val="9"/>
              <w:spacing w:line="240" w:lineRule="auto"/>
              <w:ind w:firstLine="0"/>
              <w:rPr>
                <w:sz w:val="24"/>
                <w:szCs w:val="24"/>
              </w:rPr>
            </w:pPr>
            <w:r>
              <w:rPr>
                <w:rFonts w:hint="eastAsia"/>
                <w:b/>
                <w:bCs/>
                <w:sz w:val="24"/>
                <w:szCs w:val="24"/>
                <w:lang w:val="en-US" w:eastAsia="zh-CN"/>
              </w:rPr>
              <w:t>招标</w:t>
            </w:r>
            <w:r>
              <w:rPr>
                <w:rFonts w:hint="eastAsia"/>
                <w:b/>
                <w:bCs/>
                <w:sz w:val="24"/>
                <w:szCs w:val="24"/>
              </w:rPr>
              <w:t>小组根据供应商针对本项目提供的详细应急预案，包括应急指挥、应急行动、应急避险、资源调配、扩大应急、突发处置等内容进行综合评分：</w:t>
            </w:r>
          </w:p>
          <w:p w14:paraId="4345DC5C">
            <w:pPr>
              <w:pStyle w:val="9"/>
              <w:tabs>
                <w:tab w:val="left" w:pos="518"/>
              </w:tabs>
              <w:spacing w:line="240" w:lineRule="auto"/>
              <w:ind w:firstLine="0"/>
              <w:jc w:val="left"/>
              <w:rPr>
                <w:sz w:val="24"/>
                <w:szCs w:val="24"/>
              </w:rPr>
            </w:pPr>
            <w:r>
              <w:rPr>
                <w:rFonts w:hint="eastAsia"/>
                <w:sz w:val="24"/>
                <w:szCs w:val="24"/>
              </w:rPr>
              <w:t>整体措施方案完整、 可行，能完全满足项目实施要求，得10分；</w:t>
            </w:r>
          </w:p>
          <w:p w14:paraId="1BCE9CC5">
            <w:pPr>
              <w:pStyle w:val="9"/>
              <w:tabs>
                <w:tab w:val="left" w:pos="518"/>
              </w:tabs>
              <w:spacing w:line="240" w:lineRule="auto"/>
              <w:ind w:firstLine="0"/>
              <w:jc w:val="left"/>
              <w:rPr>
                <w:sz w:val="24"/>
                <w:szCs w:val="24"/>
              </w:rPr>
            </w:pPr>
            <w:r>
              <w:rPr>
                <w:rFonts w:hint="eastAsia"/>
                <w:sz w:val="24"/>
                <w:szCs w:val="24"/>
              </w:rPr>
              <w:t>整体措施方案较具体、可行，能基本满足项目实施要求，得6分；</w:t>
            </w:r>
          </w:p>
          <w:p w14:paraId="682D61CE">
            <w:pPr>
              <w:pStyle w:val="9"/>
              <w:tabs>
                <w:tab w:val="left" w:pos="518"/>
              </w:tabs>
              <w:spacing w:line="240" w:lineRule="auto"/>
              <w:ind w:firstLine="0"/>
              <w:jc w:val="left"/>
              <w:rPr>
                <w:sz w:val="24"/>
                <w:szCs w:val="24"/>
              </w:rPr>
            </w:pPr>
            <w:r>
              <w:rPr>
                <w:rFonts w:hint="eastAsia"/>
                <w:sz w:val="24"/>
                <w:szCs w:val="24"/>
              </w:rPr>
              <w:t>整体</w:t>
            </w:r>
            <w:r>
              <w:rPr>
                <w:rFonts w:hint="eastAsia"/>
                <w:sz w:val="24"/>
                <w:szCs w:val="24"/>
                <w:lang w:eastAsia="zh-CN"/>
              </w:rPr>
              <w:t>实施</w:t>
            </w:r>
            <w:r>
              <w:rPr>
                <w:rFonts w:hint="eastAsia"/>
                <w:sz w:val="24"/>
                <w:szCs w:val="24"/>
              </w:rPr>
              <w:t>方案内容较简单，对项目实施要求响应一般，得2分。</w:t>
            </w:r>
          </w:p>
          <w:p w14:paraId="367D9CF9">
            <w:pPr>
              <w:pStyle w:val="9"/>
              <w:tabs>
                <w:tab w:val="left" w:pos="518"/>
              </w:tabs>
              <w:spacing w:line="240" w:lineRule="auto"/>
              <w:ind w:firstLine="0"/>
              <w:jc w:val="left"/>
              <w:rPr>
                <w:sz w:val="24"/>
                <w:szCs w:val="24"/>
              </w:rPr>
            </w:pPr>
            <w:r>
              <w:rPr>
                <w:rFonts w:hint="eastAsia"/>
                <w:sz w:val="24"/>
                <w:szCs w:val="24"/>
              </w:rPr>
              <w:t>未提供不得分。</w:t>
            </w:r>
          </w:p>
        </w:tc>
        <w:tc>
          <w:tcPr>
            <w:tcW w:w="720" w:type="dxa"/>
            <w:vAlign w:val="center"/>
          </w:tcPr>
          <w:p w14:paraId="3ECD99F6">
            <w:pPr>
              <w:jc w:val="center"/>
              <w:rPr>
                <w:rFonts w:ascii="宋体" w:hAnsi="宋体" w:eastAsia="宋体"/>
                <w:sz w:val="24"/>
                <w:szCs w:val="24"/>
              </w:rPr>
            </w:pPr>
            <w:r>
              <w:rPr>
                <w:rFonts w:hint="eastAsia" w:ascii="宋体" w:hAnsi="宋体" w:eastAsia="宋体"/>
                <w:sz w:val="24"/>
                <w:szCs w:val="24"/>
              </w:rPr>
              <w:t>10</w:t>
            </w:r>
          </w:p>
        </w:tc>
      </w:tr>
      <w:tr w14:paraId="09036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9" w:hRule="atLeast"/>
        </w:trPr>
        <w:tc>
          <w:tcPr>
            <w:tcW w:w="1185" w:type="dxa"/>
            <w:vAlign w:val="center"/>
          </w:tcPr>
          <w:p w14:paraId="3ABE6A78">
            <w:pPr>
              <w:ind w:left="-50"/>
              <w:jc w:val="center"/>
              <w:rPr>
                <w:rFonts w:ascii="宋体" w:hAnsi="宋体" w:eastAsia="宋体"/>
                <w:b/>
                <w:bCs/>
                <w:sz w:val="24"/>
                <w:szCs w:val="24"/>
              </w:rPr>
            </w:pPr>
            <w:r>
              <w:rPr>
                <w:rFonts w:hint="eastAsia" w:ascii="宋体" w:hAnsi="宋体" w:eastAsia="宋体"/>
                <w:b/>
                <w:bCs/>
                <w:sz w:val="24"/>
                <w:szCs w:val="24"/>
              </w:rPr>
              <w:t>安全文明施工措施</w:t>
            </w:r>
          </w:p>
        </w:tc>
        <w:tc>
          <w:tcPr>
            <w:tcW w:w="7363" w:type="dxa"/>
            <w:vAlign w:val="center"/>
          </w:tcPr>
          <w:p w14:paraId="55A09154">
            <w:pPr>
              <w:pStyle w:val="9"/>
              <w:tabs>
                <w:tab w:val="left" w:pos="518"/>
              </w:tabs>
              <w:spacing w:line="240" w:lineRule="auto"/>
              <w:ind w:firstLine="0"/>
              <w:jc w:val="left"/>
              <w:rPr>
                <w:b/>
                <w:bCs/>
                <w:sz w:val="24"/>
                <w:szCs w:val="24"/>
              </w:rPr>
            </w:pPr>
            <w:r>
              <w:rPr>
                <w:rFonts w:hint="eastAsia"/>
                <w:b/>
                <w:bCs/>
                <w:sz w:val="24"/>
                <w:szCs w:val="24"/>
                <w:lang w:val="en-US" w:eastAsia="zh-CN"/>
              </w:rPr>
              <w:t>招标</w:t>
            </w:r>
            <w:r>
              <w:rPr>
                <w:rFonts w:hint="eastAsia"/>
                <w:b/>
                <w:bCs/>
                <w:sz w:val="24"/>
                <w:szCs w:val="24"/>
              </w:rPr>
              <w:t>小组根据供应商针对本项目提供的安全施工、文明施工、环境保护措施进行综合评分：</w:t>
            </w:r>
          </w:p>
          <w:p w14:paraId="74EA6D6F">
            <w:pPr>
              <w:pStyle w:val="9"/>
              <w:tabs>
                <w:tab w:val="left" w:pos="518"/>
              </w:tabs>
              <w:spacing w:line="240" w:lineRule="auto"/>
              <w:ind w:firstLine="0"/>
              <w:jc w:val="left"/>
              <w:rPr>
                <w:sz w:val="24"/>
                <w:szCs w:val="24"/>
              </w:rPr>
            </w:pPr>
            <w:r>
              <w:rPr>
                <w:rFonts w:hint="eastAsia"/>
                <w:sz w:val="24"/>
                <w:szCs w:val="24"/>
              </w:rPr>
              <w:t xml:space="preserve">措施方案完整、可行，能完全满足项目实施要求，得10分； </w:t>
            </w:r>
          </w:p>
          <w:p w14:paraId="217AA0F7">
            <w:pPr>
              <w:pStyle w:val="9"/>
              <w:tabs>
                <w:tab w:val="left" w:pos="518"/>
              </w:tabs>
              <w:spacing w:line="240" w:lineRule="auto"/>
              <w:ind w:firstLine="0"/>
              <w:jc w:val="left"/>
              <w:rPr>
                <w:sz w:val="24"/>
                <w:szCs w:val="24"/>
              </w:rPr>
            </w:pPr>
            <w:r>
              <w:rPr>
                <w:rFonts w:hint="eastAsia"/>
                <w:sz w:val="24"/>
                <w:szCs w:val="24"/>
              </w:rPr>
              <w:t>措施方案较具体、可行，能基本满足项目实施要求，得6分；</w:t>
            </w:r>
          </w:p>
          <w:p w14:paraId="7C917AB0">
            <w:pPr>
              <w:pStyle w:val="9"/>
              <w:tabs>
                <w:tab w:val="left" w:pos="518"/>
              </w:tabs>
              <w:spacing w:line="240" w:lineRule="auto"/>
              <w:ind w:firstLine="0"/>
              <w:jc w:val="left"/>
              <w:rPr>
                <w:sz w:val="24"/>
                <w:szCs w:val="24"/>
              </w:rPr>
            </w:pPr>
            <w:r>
              <w:rPr>
                <w:rFonts w:hint="eastAsia"/>
                <w:sz w:val="24"/>
                <w:szCs w:val="24"/>
              </w:rPr>
              <w:t>措施方案内容较简单，对项目实施要求响应一般，得 2分；</w:t>
            </w:r>
          </w:p>
          <w:p w14:paraId="07AFB128">
            <w:pPr>
              <w:pStyle w:val="9"/>
              <w:tabs>
                <w:tab w:val="left" w:pos="518"/>
              </w:tabs>
              <w:spacing w:line="240" w:lineRule="auto"/>
              <w:ind w:firstLine="0"/>
              <w:jc w:val="left"/>
              <w:rPr>
                <w:sz w:val="24"/>
                <w:szCs w:val="24"/>
              </w:rPr>
            </w:pPr>
            <w:r>
              <w:rPr>
                <w:rFonts w:hint="eastAsia"/>
                <w:sz w:val="24"/>
                <w:szCs w:val="24"/>
              </w:rPr>
              <w:t>未提供不得分。</w:t>
            </w:r>
          </w:p>
        </w:tc>
        <w:tc>
          <w:tcPr>
            <w:tcW w:w="720" w:type="dxa"/>
            <w:vAlign w:val="center"/>
          </w:tcPr>
          <w:p w14:paraId="3472574D">
            <w:pPr>
              <w:jc w:val="center"/>
              <w:rPr>
                <w:rFonts w:ascii="宋体" w:hAnsi="宋体" w:eastAsia="宋体"/>
                <w:sz w:val="24"/>
                <w:szCs w:val="24"/>
              </w:rPr>
            </w:pPr>
            <w:r>
              <w:rPr>
                <w:rFonts w:hint="eastAsia" w:ascii="宋体" w:hAnsi="宋体" w:eastAsia="宋体"/>
                <w:sz w:val="24"/>
                <w:szCs w:val="24"/>
              </w:rPr>
              <w:t>10</w:t>
            </w:r>
          </w:p>
        </w:tc>
      </w:tr>
      <w:tr w14:paraId="5F6E0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1185" w:type="dxa"/>
            <w:vAlign w:val="center"/>
          </w:tcPr>
          <w:p w14:paraId="7BC79275">
            <w:pPr>
              <w:ind w:left="-50"/>
              <w:jc w:val="center"/>
              <w:rPr>
                <w:rFonts w:ascii="宋体" w:hAnsi="宋体" w:eastAsia="宋体"/>
                <w:b/>
                <w:bCs/>
                <w:sz w:val="24"/>
                <w:szCs w:val="24"/>
              </w:rPr>
            </w:pPr>
            <w:r>
              <w:rPr>
                <w:rFonts w:hint="eastAsia" w:ascii="宋体" w:hAnsi="宋体" w:eastAsia="宋体"/>
                <w:b/>
                <w:bCs/>
                <w:sz w:val="24"/>
                <w:szCs w:val="24"/>
              </w:rPr>
              <w:t>消防防控措施</w:t>
            </w:r>
          </w:p>
        </w:tc>
        <w:tc>
          <w:tcPr>
            <w:tcW w:w="7363" w:type="dxa"/>
            <w:vAlign w:val="center"/>
          </w:tcPr>
          <w:p w14:paraId="2B356839">
            <w:pPr>
              <w:pStyle w:val="9"/>
              <w:tabs>
                <w:tab w:val="left" w:pos="518"/>
              </w:tabs>
              <w:spacing w:line="240" w:lineRule="auto"/>
              <w:ind w:firstLine="0"/>
              <w:jc w:val="left"/>
              <w:rPr>
                <w:b/>
                <w:bCs/>
                <w:sz w:val="24"/>
                <w:szCs w:val="24"/>
              </w:rPr>
            </w:pPr>
            <w:r>
              <w:rPr>
                <w:rFonts w:hint="eastAsia"/>
                <w:b/>
                <w:bCs/>
                <w:sz w:val="24"/>
                <w:szCs w:val="24"/>
                <w:lang w:val="en-US" w:eastAsia="zh-CN"/>
              </w:rPr>
              <w:t>招标</w:t>
            </w:r>
            <w:r>
              <w:rPr>
                <w:rFonts w:hint="eastAsia"/>
                <w:b/>
                <w:bCs/>
                <w:sz w:val="24"/>
                <w:szCs w:val="24"/>
              </w:rPr>
              <w:t>小组根据供应商提供的针对本项目的消防防控措施进行综合评分：</w:t>
            </w:r>
          </w:p>
          <w:p w14:paraId="0B0F052D">
            <w:pPr>
              <w:pStyle w:val="9"/>
              <w:tabs>
                <w:tab w:val="left" w:pos="518"/>
              </w:tabs>
              <w:spacing w:line="240" w:lineRule="auto"/>
              <w:ind w:firstLine="0"/>
              <w:jc w:val="left"/>
              <w:rPr>
                <w:sz w:val="24"/>
                <w:szCs w:val="24"/>
              </w:rPr>
            </w:pPr>
            <w:r>
              <w:rPr>
                <w:rFonts w:hint="eastAsia"/>
                <w:sz w:val="24"/>
                <w:szCs w:val="24"/>
              </w:rPr>
              <w:t xml:space="preserve">措施方案完整、可行，能完全满足项目实施要求，得10分； </w:t>
            </w:r>
          </w:p>
          <w:p w14:paraId="611A5BBC">
            <w:pPr>
              <w:pStyle w:val="9"/>
              <w:tabs>
                <w:tab w:val="left" w:pos="518"/>
              </w:tabs>
              <w:spacing w:line="240" w:lineRule="auto"/>
              <w:ind w:firstLine="0"/>
              <w:jc w:val="left"/>
              <w:rPr>
                <w:sz w:val="24"/>
                <w:szCs w:val="24"/>
              </w:rPr>
            </w:pPr>
            <w:r>
              <w:rPr>
                <w:rFonts w:hint="eastAsia"/>
                <w:sz w:val="24"/>
                <w:szCs w:val="24"/>
              </w:rPr>
              <w:t>措施方案较具体、可行，能基本满足项目实施要求，得6分；</w:t>
            </w:r>
          </w:p>
          <w:p w14:paraId="266111A2">
            <w:pPr>
              <w:pStyle w:val="9"/>
              <w:tabs>
                <w:tab w:val="left" w:pos="518"/>
              </w:tabs>
              <w:spacing w:line="240" w:lineRule="auto"/>
              <w:ind w:firstLine="0"/>
              <w:jc w:val="left"/>
              <w:rPr>
                <w:sz w:val="24"/>
                <w:szCs w:val="24"/>
              </w:rPr>
            </w:pPr>
            <w:r>
              <w:rPr>
                <w:rFonts w:hint="eastAsia"/>
                <w:sz w:val="24"/>
                <w:szCs w:val="24"/>
              </w:rPr>
              <w:t>措施方案内容较简单，对项目实施要求响应一般，得 2分；</w:t>
            </w:r>
          </w:p>
          <w:p w14:paraId="4D08787F">
            <w:pPr>
              <w:pStyle w:val="9"/>
              <w:tabs>
                <w:tab w:val="left" w:pos="518"/>
              </w:tabs>
              <w:spacing w:line="240" w:lineRule="auto"/>
              <w:ind w:firstLine="0"/>
              <w:jc w:val="left"/>
              <w:rPr>
                <w:sz w:val="24"/>
                <w:szCs w:val="24"/>
              </w:rPr>
            </w:pPr>
            <w:r>
              <w:rPr>
                <w:rFonts w:hint="eastAsia"/>
                <w:sz w:val="24"/>
                <w:szCs w:val="24"/>
              </w:rPr>
              <w:t>未提供不得分。</w:t>
            </w:r>
          </w:p>
        </w:tc>
        <w:tc>
          <w:tcPr>
            <w:tcW w:w="720" w:type="dxa"/>
            <w:vAlign w:val="center"/>
          </w:tcPr>
          <w:p w14:paraId="34C1DABF">
            <w:pPr>
              <w:jc w:val="center"/>
              <w:rPr>
                <w:rFonts w:ascii="宋体" w:hAnsi="宋体" w:eastAsia="宋体"/>
                <w:sz w:val="24"/>
                <w:szCs w:val="24"/>
              </w:rPr>
            </w:pPr>
            <w:r>
              <w:rPr>
                <w:rFonts w:hint="eastAsia" w:ascii="宋体" w:hAnsi="宋体" w:eastAsia="宋体"/>
                <w:sz w:val="24"/>
                <w:szCs w:val="24"/>
              </w:rPr>
              <w:t>10</w:t>
            </w:r>
          </w:p>
        </w:tc>
      </w:tr>
      <w:tr w14:paraId="61F79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1185" w:type="dxa"/>
            <w:vAlign w:val="center"/>
          </w:tcPr>
          <w:p w14:paraId="3847ACD5">
            <w:pPr>
              <w:ind w:left="-50"/>
              <w:jc w:val="center"/>
              <w:rPr>
                <w:rFonts w:ascii="宋体" w:hAnsi="宋体" w:eastAsia="宋体"/>
                <w:b/>
                <w:bCs/>
                <w:sz w:val="24"/>
                <w:szCs w:val="24"/>
              </w:rPr>
            </w:pPr>
            <w:r>
              <w:rPr>
                <w:rFonts w:hint="eastAsia" w:ascii="宋体" w:hAnsi="宋体" w:eastAsia="宋体"/>
                <w:b/>
                <w:bCs/>
                <w:sz w:val="24"/>
                <w:szCs w:val="24"/>
              </w:rPr>
              <w:t>实地踏勘</w:t>
            </w:r>
          </w:p>
        </w:tc>
        <w:tc>
          <w:tcPr>
            <w:tcW w:w="7363" w:type="dxa"/>
            <w:vAlign w:val="center"/>
          </w:tcPr>
          <w:p w14:paraId="6CD93334">
            <w:pPr>
              <w:rPr>
                <w:rFonts w:ascii="宋体" w:hAnsi="宋体" w:eastAsia="宋体"/>
                <w:sz w:val="24"/>
                <w:szCs w:val="24"/>
              </w:rPr>
            </w:pPr>
            <w:r>
              <w:rPr>
                <w:rFonts w:hint="eastAsia" w:ascii="宋体" w:hAnsi="宋体" w:eastAsia="宋体" w:cs="宋体"/>
                <w:kern w:val="0"/>
                <w:sz w:val="24"/>
                <w:szCs w:val="24"/>
              </w:rPr>
              <w:t>供应商应积极参与现场实地踏勘并形成踏勘记录，提供</w:t>
            </w:r>
            <w:r>
              <w:rPr>
                <w:rFonts w:hint="eastAsia" w:ascii="宋体" w:hAnsi="宋体" w:eastAsia="宋体" w:cs="宋体"/>
                <w:sz w:val="24"/>
                <w:szCs w:val="24"/>
              </w:rPr>
              <w:t>现场踏勘回执得4分。未提供不得分。</w:t>
            </w:r>
          </w:p>
        </w:tc>
        <w:tc>
          <w:tcPr>
            <w:tcW w:w="720" w:type="dxa"/>
            <w:vAlign w:val="center"/>
          </w:tcPr>
          <w:p w14:paraId="188D85CF">
            <w:pPr>
              <w:spacing w:line="276" w:lineRule="auto"/>
              <w:jc w:val="center"/>
              <w:rPr>
                <w:rFonts w:ascii="宋体" w:hAnsi="宋体" w:eastAsia="宋体"/>
                <w:sz w:val="24"/>
                <w:szCs w:val="24"/>
              </w:rPr>
            </w:pPr>
            <w:r>
              <w:rPr>
                <w:rFonts w:hint="eastAsia" w:ascii="宋体" w:hAnsi="宋体" w:eastAsia="宋体"/>
                <w:sz w:val="24"/>
                <w:szCs w:val="24"/>
              </w:rPr>
              <w:t>4</w:t>
            </w:r>
          </w:p>
        </w:tc>
      </w:tr>
    </w:tbl>
    <w:p w14:paraId="61DA0CCE">
      <w:pPr>
        <w:rPr>
          <w:rFonts w:hint="eastAsia"/>
        </w:rPr>
      </w:pPr>
    </w:p>
    <w:p w14:paraId="6DD1FF3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 1.评分细则中要求提供的证明文件及资料等在响应文件中提供复印件，并加盖供应商公章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要求“原件或公证件核查”的须在响应截止前将相关原件或公证件随同响应文件一并提交以供</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小组核查，过时不予接收。</w:t>
      </w:r>
    </w:p>
    <w:p w14:paraId="5FC7093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2.评审时，未能按以上要求提供相应证明（复印件和原件、公证件）的，不作为评审依据，不得分。</w:t>
      </w:r>
    </w:p>
    <w:p w14:paraId="72CB5F8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3.为便于评审，请供应商按评分表样式，逐条列出证明材料所在页码，格式自定。</w:t>
      </w:r>
    </w:p>
    <w:p w14:paraId="6575F419">
      <w:pPr>
        <w:rPr>
          <w:rFonts w:hint="eastAsia"/>
        </w:rPr>
      </w:pPr>
    </w:p>
    <w:p w14:paraId="4E3CB109">
      <w:pPr>
        <w:rPr>
          <w:rFonts w:hint="eastAsia"/>
        </w:rPr>
      </w:pPr>
    </w:p>
    <w:p w14:paraId="7C637B6C">
      <w:pPr>
        <w:rPr>
          <w:rFonts w:hint="eastAsia" w:ascii="仿宋_GB2312" w:hAnsi="仿宋_GB2312" w:eastAsia="仿宋_GB2312" w:cs="仿宋_GB2312"/>
          <w:sz w:val="32"/>
          <w:szCs w:val="32"/>
        </w:rPr>
      </w:pPr>
    </w:p>
    <w:p w14:paraId="3EF7C79D">
      <w:pPr>
        <w:pStyle w:val="2"/>
        <w:rPr>
          <w:rFonts w:hint="eastAsia" w:ascii="仿宋_GB2312" w:hAnsi="仿宋_GB2312" w:eastAsia="仿宋_GB2312" w:cs="仿宋_GB2312"/>
          <w:sz w:val="32"/>
          <w:szCs w:val="32"/>
        </w:rPr>
      </w:pPr>
    </w:p>
    <w:p w14:paraId="7AE9B87A">
      <w:pPr>
        <w:pStyle w:val="2"/>
        <w:rPr>
          <w:rFonts w:hint="eastAsia" w:ascii="仿宋_GB2312" w:hAnsi="仿宋_GB2312" w:eastAsia="仿宋_GB2312" w:cs="仿宋_GB2312"/>
          <w:sz w:val="32"/>
          <w:szCs w:val="32"/>
        </w:rPr>
      </w:pPr>
    </w:p>
    <w:p w14:paraId="1A7D265C">
      <w:pPr>
        <w:pStyle w:val="2"/>
        <w:rPr>
          <w:rFonts w:hint="eastAsia" w:ascii="仿宋_GB2312" w:hAnsi="仿宋_GB2312" w:eastAsia="仿宋_GB2312" w:cs="仿宋_GB2312"/>
          <w:sz w:val="32"/>
          <w:szCs w:val="32"/>
        </w:rPr>
      </w:pPr>
    </w:p>
    <w:p w14:paraId="1F1DFE32">
      <w:pPr>
        <w:snapToGrid/>
        <w:spacing w:before="200" w:beforeAutospacing="0" w:after="100" w:afterAutospacing="0" w:line="240" w:lineRule="auto"/>
        <w:ind w:left="0" w:leftChars="0" w:right="0" w:rightChars="0" w:firstLine="0" w:firstLineChars="0"/>
        <w:jc w:val="center"/>
        <w:outlineLvl w:val="1"/>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友情提醒</w:t>
      </w:r>
    </w:p>
    <w:p w14:paraId="51E5545D">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各供应商：</w:t>
      </w:r>
    </w:p>
    <w:p w14:paraId="11A0A2A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你好</w:t>
      </w:r>
      <w:r>
        <w:rPr>
          <w:rFonts w:hint="eastAsia" w:ascii="仿宋_GB2312" w:hAnsi="仿宋_GB2312" w:eastAsia="仿宋_GB2312" w:cs="仿宋_GB2312"/>
          <w:sz w:val="32"/>
          <w:szCs w:val="32"/>
          <w:lang w:eastAsia="zh-CN"/>
        </w:rPr>
        <w:t>！</w:t>
      </w:r>
    </w:p>
    <w:p w14:paraId="7461F3B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为了提高贵公司的标书有效性，减少不必要的废标，特友情提醒注意以下几点</w:t>
      </w:r>
      <w:r>
        <w:rPr>
          <w:rFonts w:hint="eastAsia" w:ascii="仿宋_GB2312" w:hAnsi="仿宋_GB2312" w:eastAsia="仿宋_GB2312" w:cs="仿宋_GB2312"/>
          <w:sz w:val="32"/>
          <w:szCs w:val="32"/>
          <w:lang w:eastAsia="zh-CN"/>
        </w:rPr>
        <w:t>：</w:t>
      </w:r>
    </w:p>
    <w:p w14:paraId="16A323C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1.请谨记采购文件上表述的各项事宜时间节点，特别是</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时间和地点，涉及到本项目的所有原件均需在</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截止时间前到达</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现场。</w:t>
      </w:r>
    </w:p>
    <w:p w14:paraId="2D5C3BE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2.响应文件正副本密封并在封袋骑缝处加盖供应商公章。资格证明材料提供复印件的一定要加盖公章，有要求提供原件的必须提供原件。</w:t>
      </w:r>
    </w:p>
    <w:p w14:paraId="44B017E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3.需要提供样品的，请严格按采购文件要求的规格、时间提供。同时注意密封、隐蔽标签的相关要求。</w:t>
      </w:r>
    </w:p>
    <w:p w14:paraId="7F1FB3F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4.因采购文件文字表述有限，鼓励您现场踏勘，可以在</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rPr>
        <w:t>前充分了解现场环境、工程进度和质量要求等信息，为您有针对性</w:t>
      </w:r>
      <w:r>
        <w:rPr>
          <w:rFonts w:hint="eastAsia" w:ascii="仿宋_GB2312" w:hAnsi="仿宋_GB2312" w:eastAsia="仿宋_GB2312" w:cs="仿宋_GB2312"/>
          <w:sz w:val="32"/>
          <w:szCs w:val="32"/>
          <w:lang w:eastAsia="zh-CN"/>
        </w:rPr>
        <w:t>地</w:t>
      </w:r>
      <w:r>
        <w:rPr>
          <w:rFonts w:hint="eastAsia" w:ascii="仿宋_GB2312" w:hAnsi="仿宋_GB2312" w:eastAsia="仿宋_GB2312" w:cs="仿宋_GB2312"/>
          <w:sz w:val="32"/>
          <w:szCs w:val="32"/>
        </w:rPr>
        <w:t>制作响应文件积累充分的原始资料。</w:t>
      </w:r>
    </w:p>
    <w:p w14:paraId="46FCD44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5.设定最高限价的，超过限价一律废标。</w:t>
      </w:r>
    </w:p>
    <w:p w14:paraId="48EF20B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6.请精心仔细审阅采购文件，特别是黑体字。如有疑问，请按采购文件要求进行询疑。</w:t>
      </w:r>
    </w:p>
    <w:p w14:paraId="3C40CDD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我们也欢迎您对我们的采购组织工作提出宝贵意见。电话</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FF0000"/>
          <w:sz w:val="32"/>
          <w:szCs w:val="32"/>
        </w:rPr>
        <w:t>0519-89853339</w:t>
      </w:r>
    </w:p>
    <w:p w14:paraId="29B9245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最后祝您投标成功！</w:t>
      </w:r>
    </w:p>
    <w:p w14:paraId="07778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p>
    <w:p w14:paraId="35D16D9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本采购文件的最终解释权归</w:t>
      </w:r>
      <w:r>
        <w:rPr>
          <w:rFonts w:hint="eastAsia" w:ascii="仿宋_GB2312" w:hAnsi="仿宋_GB2312" w:eastAsia="仿宋_GB2312" w:cs="仿宋_GB2312"/>
          <w:sz w:val="32"/>
          <w:szCs w:val="32"/>
          <w:lang w:val="en-US" w:eastAsia="zh-CN"/>
        </w:rPr>
        <w:t>常州市城市管理综合行政执法监督局</w:t>
      </w:r>
      <w:r>
        <w:rPr>
          <w:rFonts w:hint="eastAsia" w:ascii="仿宋_GB2312" w:hAnsi="仿宋_GB2312" w:eastAsia="仿宋_GB2312" w:cs="仿宋_GB2312"/>
          <w:sz w:val="32"/>
          <w:szCs w:val="32"/>
        </w:rPr>
        <w:t>所有</w:t>
      </w:r>
    </w:p>
    <w:p w14:paraId="1419397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（全文完）</w:t>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C821BB-2EE4-4E5F-A08E-76CE6B7DC80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1AE42B5-4772-4AC1-8C9A-5C7171F40030}"/>
  </w:font>
  <w:font w:name="方正小标宋简体">
    <w:panose1 w:val="03000509000000000000"/>
    <w:charset w:val="86"/>
    <w:family w:val="auto"/>
    <w:pitch w:val="default"/>
    <w:sig w:usb0="00000001" w:usb1="080E0000" w:usb2="00000000" w:usb3="00000000" w:csb0="00040000" w:csb1="00000000"/>
    <w:embedRegular r:id="rId3" w:fontKey="{31707346-AD71-4FE0-A315-2DEA3686338C}"/>
  </w:font>
  <w:font w:name="仿宋_GB2312">
    <w:panose1 w:val="02010609030101010101"/>
    <w:charset w:val="86"/>
    <w:family w:val="auto"/>
    <w:pitch w:val="default"/>
    <w:sig w:usb0="00000001" w:usb1="080E0000" w:usb2="00000000" w:usb3="00000000" w:csb0="00040000" w:csb1="00000000"/>
    <w:embedRegular r:id="rId4" w:fontKey="{AA3DCFE7-D1E7-4793-A166-193CDE75F0E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8EEB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BCA30">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AB620E">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01AB620E">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F680A4"/>
    <w:multiLevelType w:val="singleLevel"/>
    <w:tmpl w:val="33F680A4"/>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B24C65"/>
    <w:rsid w:val="06040801"/>
    <w:rsid w:val="13AB6DD5"/>
    <w:rsid w:val="15520505"/>
    <w:rsid w:val="192166BD"/>
    <w:rsid w:val="1A3E5551"/>
    <w:rsid w:val="31BB220F"/>
    <w:rsid w:val="32595206"/>
    <w:rsid w:val="50047320"/>
    <w:rsid w:val="50205AB2"/>
    <w:rsid w:val="51E504F4"/>
    <w:rsid w:val="64056924"/>
    <w:rsid w:val="660E7921"/>
    <w:rsid w:val="669E05BD"/>
    <w:rsid w:val="74CE3C3F"/>
    <w:rsid w:val="77C12ABF"/>
    <w:rsid w:val="BD7F3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99"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99"/>
    <w:pPr>
      <w:spacing w:after="120"/>
      <w:ind w:left="1440" w:leftChars="700" w:right="1440" w:rightChars="70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unhideWhenUsed/>
    <w:qFormat/>
    <w:uiPriority w:val="39"/>
    <w:pPr>
      <w:spacing w:before="120" w:after="120"/>
      <w:jc w:val="left"/>
    </w:pPr>
    <w:rPr>
      <w:rFonts w:eastAsiaTheme="minorHAnsi"/>
      <w:b/>
      <w:bCs/>
      <w:caps/>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Other|1"/>
    <w:basedOn w:val="1"/>
    <w:qFormat/>
    <w:uiPriority w:val="0"/>
    <w:pPr>
      <w:spacing w:line="434" w:lineRule="auto"/>
      <w:ind w:firstLine="400"/>
    </w:pPr>
    <w:rPr>
      <w:rFonts w:ascii="宋体" w:hAnsi="宋体" w:eastAsia="宋体" w:cs="宋体"/>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10922</Words>
  <Characters>11162</Characters>
  <Lines>0</Lines>
  <Paragraphs>0</Paragraphs>
  <TotalTime>17</TotalTime>
  <ScaleCrop>false</ScaleCrop>
  <LinksUpToDate>false</LinksUpToDate>
  <CharactersWithSpaces>11472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2025-08-27T16:50:00Z</dcterms:created>
  <dc:creator>XDD</dc:creator>
  <cp:lastModifiedBy>瀚霖</cp:lastModifiedBy>
  <dcterms:modified xsi:type="dcterms:W3CDTF">2025-10-16T01:00:20Z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eyJoZGlkIjoiOTk0MTE1YmYwMTJiZGE1ZjI4YTAwMmEyZThjNzU1ZWIiLCJ1c2VySWQiOiIzNTIyOTA0NjgifQ==</vt:lpwstr>
  </property>
  <property fmtid="{D5CDD505-2E9C-101B-9397-08002B2CF9AE}" pid="4" name="ICV">
    <vt:lpwstr>77DDD098E9DE469389039E7093A5F1E6_13</vt:lpwstr>
  </property>
</Properties>
</file>