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rPr>
        <w:t>5</w:t>
      </w:r>
      <w:r>
        <w:rPr>
          <w:rFonts w:hint="eastAsia" w:ascii="方正小标宋简体" w:hAnsi="方正小标宋简体" w:eastAsia="方正小标宋简体" w:cs="方正小标宋简体"/>
          <w:sz w:val="44"/>
          <w:szCs w:val="44"/>
        </w:rPr>
        <w:t>年常州市食品接触材料塑料制品</w:t>
      </w: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产品质量监督抽查实施细则</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rPr>
        <w:t xml:space="preserve"> 范围</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eastAsia="仿宋_GB2312"/>
          <w:sz w:val="32"/>
          <w:szCs w:val="32"/>
        </w:rPr>
      </w:pPr>
      <w:r>
        <w:rPr>
          <w:rFonts w:hint="eastAsia" w:eastAsia="仿宋_GB2312"/>
          <w:sz w:val="32"/>
          <w:szCs w:val="32"/>
        </w:rPr>
        <w:t>本细则适用于常州市市场监督管理局组织的食品接触材料塑料制品产品质量市级监督抽查。本细则规定了此产品的抽样方法、检验依据、检验项目、检验方法、判定原则、异议处理及复检。</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eastAsia="仿宋_GB2312"/>
          <w:sz w:val="32"/>
          <w:szCs w:val="32"/>
        </w:rPr>
      </w:pPr>
      <w:r>
        <w:rPr>
          <w:rFonts w:hint="eastAsia" w:eastAsia="仿宋_GB2312"/>
          <w:sz w:val="32"/>
          <w:szCs w:val="32"/>
        </w:rPr>
        <w:t>生产企业抽样：</w:t>
      </w:r>
      <w:r>
        <w:rPr>
          <w:rFonts w:hint="eastAsia" w:eastAsia="仿宋_GB2312"/>
          <w:color w:val="000000"/>
          <w:sz w:val="32"/>
          <w:szCs w:val="32"/>
        </w:rPr>
        <w:t>受检企业的成品仓库内或者其确认场所，随机抽取同类别、同型号规格、同批次、有产品质量检验合格证明或者以其他形式表明合格的产品</w:t>
      </w:r>
      <w:r>
        <w:rPr>
          <w:rFonts w:hint="eastAsia" w:eastAsia="仿宋_GB2312"/>
          <w:sz w:val="32"/>
          <w:szCs w:val="32"/>
        </w:rPr>
        <w:t>，优先抽取近6个月生产的产品。抽样时从同一批次样品堆的不同部位选取3个或3个以上包装箱，分别取出相应的样品数量。随机选取的包装箱可使用随机数表、随机骰子或扑克牌等方法确定。所抽取产品的保质期应当能充分满足检验工作的进行。抽取样品应当为同一规格型号、同一批次的产品。</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eastAsia="仿宋_GB2312"/>
          <w:sz w:val="32"/>
          <w:szCs w:val="32"/>
        </w:rPr>
      </w:pPr>
      <w:r>
        <w:rPr>
          <w:rFonts w:hint="eastAsia" w:eastAsia="仿宋_GB2312"/>
          <w:sz w:val="32"/>
          <w:szCs w:val="32"/>
        </w:rPr>
        <w:t>市场实体店抽样：购买合格待销产品，索取发票等购样凭据留证。检样和备样由承检机构购买并封存后保存在承检机构。抽样数量和抽样基数见表1、表2。</w:t>
      </w:r>
    </w:p>
    <w:p>
      <w:pPr>
        <w:keepNext w:val="0"/>
        <w:keepLines w:val="0"/>
        <w:pageBreakBefore w:val="0"/>
        <w:widowControl/>
        <w:shd w:val="clear" w:color="auto" w:fill="FFFFFF"/>
        <w:kinsoku/>
        <w:wordWrap/>
        <w:overflowPunct/>
        <w:topLinePunct w:val="0"/>
        <w:autoSpaceDE/>
        <w:autoSpaceDN/>
        <w:bidi w:val="0"/>
        <w:adjustRightInd/>
        <w:snapToGrid/>
        <w:spacing w:line="570" w:lineRule="exact"/>
        <w:jc w:val="both"/>
        <w:textAlignment w:val="auto"/>
        <w:rPr>
          <w:rFonts w:ascii="仿宋_GB2312" w:hAnsi="仿宋" w:eastAsia="仿宋_GB2312"/>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70" w:lineRule="exact"/>
        <w:jc w:val="both"/>
        <w:textAlignment w:val="auto"/>
        <w:rPr>
          <w:rFonts w:ascii="仿宋_GB2312" w:hAnsi="仿宋" w:eastAsia="仿宋_GB2312"/>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70" w:lineRule="exact"/>
        <w:jc w:val="both"/>
        <w:textAlignment w:val="auto"/>
        <w:rPr>
          <w:rFonts w:ascii="仿宋_GB2312" w:hAnsi="仿宋" w:eastAsia="仿宋_GB2312"/>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70" w:lineRule="exact"/>
        <w:jc w:val="both"/>
        <w:textAlignment w:val="auto"/>
        <w:rPr>
          <w:rFonts w:ascii="仿宋_GB2312" w:hAnsi="仿宋" w:eastAsia="仿宋_GB2312"/>
          <w:color w:val="000000"/>
          <w:kern w:val="0"/>
          <w:sz w:val="32"/>
          <w:szCs w:val="32"/>
        </w:rPr>
      </w:pPr>
    </w:p>
    <w:p>
      <w:pPr>
        <w:keepNext/>
        <w:keepLines w:val="0"/>
        <w:pageBreakBefore w:val="0"/>
        <w:widowControl/>
        <w:shd w:val="clear" w:color="auto" w:fill="FFFFFF"/>
        <w:kinsoku/>
        <w:wordWrap/>
        <w:overflowPunct/>
        <w:topLinePunct w:val="0"/>
        <w:autoSpaceDE/>
        <w:autoSpaceDN/>
        <w:bidi w:val="0"/>
        <w:adjustRightInd/>
        <w:snapToGrid/>
        <w:spacing w:line="570" w:lineRule="exact"/>
        <w:jc w:val="center"/>
        <w:textAlignment w:val="auto"/>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表</w:t>
      </w:r>
      <w:r>
        <w:rPr>
          <w:rFonts w:hint="eastAsia" w:eastAsia="仿宋_GB2312"/>
          <w:sz w:val="32"/>
          <w:szCs w:val="32"/>
        </w:rPr>
        <w:t>1</w:t>
      </w:r>
      <w:r>
        <w:rPr>
          <w:rFonts w:hint="eastAsia" w:ascii="仿宋_GB2312" w:hAnsi="仿宋" w:eastAsia="仿宋_GB2312"/>
          <w:color w:val="000000"/>
          <w:kern w:val="0"/>
          <w:sz w:val="32"/>
          <w:szCs w:val="32"/>
        </w:rPr>
        <w:t xml:space="preserve"> 生产企业抽样基数和数量</w:t>
      </w:r>
    </w:p>
    <w:tbl>
      <w:tblPr>
        <w:tblStyle w:val="6"/>
        <w:tblW w:w="506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68"/>
        <w:gridCol w:w="2550"/>
        <w:gridCol w:w="2113"/>
        <w:gridCol w:w="3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7" w:hRule="atLeast"/>
          <w:tblHeader/>
          <w:jc w:val="center"/>
        </w:trPr>
        <w:tc>
          <w:tcPr>
            <w:tcW w:w="337"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序号</w:t>
            </w:r>
          </w:p>
        </w:tc>
        <w:tc>
          <w:tcPr>
            <w:tcW w:w="1512"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产品品种</w:t>
            </w:r>
          </w:p>
        </w:tc>
        <w:tc>
          <w:tcPr>
            <w:tcW w:w="1253"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抽样基数</w:t>
            </w:r>
          </w:p>
        </w:tc>
        <w:tc>
          <w:tcPr>
            <w:tcW w:w="1897"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抽样数量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w:t>
            </w:r>
          </w:p>
        </w:tc>
        <w:tc>
          <w:tcPr>
            <w:tcW w:w="1512"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卷膜类</w:t>
            </w:r>
          </w:p>
        </w:tc>
        <w:tc>
          <w:tcPr>
            <w:tcW w:w="1253"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不少于3卷，或 5000米或150千克（以米或千克计时，不应少于3卷）</w:t>
            </w:r>
          </w:p>
        </w:tc>
        <w:tc>
          <w:tcPr>
            <w:tcW w:w="1897"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3卷（每卷膜外层除去至少2 m，膜卷宽度应在200mm以上）</w:t>
            </w:r>
            <w:r>
              <w:rPr>
                <w:rFonts w:hint="eastAsia" w:ascii="Times New Roman" w:hAnsi="Times New Roman" w:eastAsia="仿宋_GB2312"/>
                <w:color w:val="000000"/>
                <w:szCs w:val="24"/>
                <w:lang w:eastAsia="zh-CN"/>
              </w:rPr>
              <w:t>，</w:t>
            </w:r>
            <w:r>
              <w:rPr>
                <w:rFonts w:hint="default" w:ascii="Times New Roman" w:hAnsi="Times New Roman" w:eastAsia="仿宋_GB2312"/>
                <w:color w:val="000000"/>
                <w:szCs w:val="24"/>
              </w:rPr>
              <w:t>每卷取2.5m</w:t>
            </w:r>
            <w:r>
              <w:rPr>
                <w:rFonts w:hint="default" w:ascii="Times New Roman" w:hAnsi="Times New Roman" w:eastAsia="仿宋_GB2312"/>
                <w:color w:val="000000"/>
                <w:szCs w:val="24"/>
                <w:vertAlign w:val="superscript"/>
              </w:rPr>
              <w:t>2</w:t>
            </w:r>
            <w:r>
              <w:rPr>
                <w:rFonts w:hint="default" w:ascii="Times New Roman" w:hAnsi="Times New Roman" w:eastAsia="仿宋_GB2312"/>
                <w:color w:val="000000"/>
                <w:szCs w:val="24"/>
              </w:rPr>
              <w:t>，其中2 卷作为检样，1卷作为备样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2</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袋类</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不少于500个</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100个，其中70个作为检样，30个作为备样，若包装袋长或宽不足150mm的，则需提供未裁切的包装薄膜（宽度200mm以上）2.5m</w:t>
            </w:r>
            <w:r>
              <w:rPr>
                <w:rFonts w:hint="default" w:ascii="Times New Roman" w:hAnsi="Times New Roman" w:eastAsia="仿宋_GB2312"/>
                <w:color w:val="000000"/>
                <w:szCs w:val="24"/>
                <w:vertAlign w:val="superscript"/>
              </w:rPr>
              <w:t>2</w:t>
            </w:r>
            <w:r>
              <w:rPr>
                <w:rFonts w:hint="default" w:ascii="Times New Roman" w:hAnsi="Times New Roman" w:eastAsia="仿宋_GB2312"/>
                <w:color w:val="000000"/>
                <w:szCs w:val="24"/>
              </w:rPr>
              <w:t>，并以管芯卷轴小心卷好后封样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3</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片材类</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p>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不少于3卷，5000 米或150kg（以米或千克计时，不应少于3卷）</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3卷，宽度应在200mm以上，每卷去掉2层后取两份 2.5m</w:t>
            </w:r>
            <w:r>
              <w:rPr>
                <w:rFonts w:hint="default" w:ascii="Times New Roman" w:hAnsi="Times New Roman" w:eastAsia="仿宋_GB2312"/>
                <w:color w:val="000000"/>
                <w:szCs w:val="24"/>
                <w:vertAlign w:val="superscript"/>
              </w:rPr>
              <w:t>2</w:t>
            </w:r>
            <w:r>
              <w:rPr>
                <w:rFonts w:hint="default" w:ascii="Times New Roman" w:hAnsi="Times New Roman" w:eastAsia="仿宋_GB2312"/>
                <w:color w:val="000000"/>
                <w:szCs w:val="24"/>
              </w:rPr>
              <w:t>，并平分为两份，其中1 份作为检样，1份作为备样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4</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编织袋</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不少于500条</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15条，其中10条作为检样，5条作为备样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5</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聚烯烃注塑包装桶、软塑折叠包装容器、聚碳酸酯（PC）饮用水罐</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不少于100个</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14个，其中10个作为检样，4个作为备样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6</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聚酯（PET）无汽饮料瓶、双层口杯、塑料饮水口杯、塑料奶瓶、塑料保鲜盒、塑料瓶、塑料瓶坯</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不少于200个</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40个，其中30个作为检样，10个作为备样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7</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塑料防盗瓶盖、组合式防伪瓶盖、特定塑料瓶盖</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不少于500个</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80个，其中60个作为检样，20个作为备样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8</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塑料菜板</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不少于200块</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rPr>
              <w:t>20块，其中15块作为检样，5块</w:t>
            </w:r>
            <w:r>
              <w:rPr>
                <w:rFonts w:hint="default" w:ascii="Times New Roman" w:hAnsi="Times New Roman" w:eastAsia="仿宋_GB2312"/>
                <w:color w:val="000000"/>
                <w:szCs w:val="24"/>
                <w:lang w:eastAsia="en-US"/>
              </w:rPr>
              <w:t>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9</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塑料一次性餐饮具、饮用吸管、特定工具及塑料件</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不少于1000个</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100个，其中60个作为检样，40个作为备样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3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10</w:t>
            </w:r>
          </w:p>
        </w:tc>
        <w:tc>
          <w:tcPr>
            <w:tcW w:w="151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可重复使用塑料餐饮具</w:t>
            </w:r>
          </w:p>
        </w:tc>
        <w:tc>
          <w:tcPr>
            <w:tcW w:w="1253"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不少于200个</w:t>
            </w:r>
          </w:p>
        </w:tc>
        <w:tc>
          <w:tcPr>
            <w:tcW w:w="1897"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rPr>
              <w:t>40个，其中30个作为检样，10</w:t>
            </w:r>
            <w:r>
              <w:rPr>
                <w:rFonts w:hint="default" w:ascii="Times New Roman" w:hAnsi="Times New Roman" w:eastAsia="仿宋_GB2312"/>
                <w:color w:val="000000"/>
                <w:szCs w:val="24"/>
                <w:lang w:eastAsia="en-US"/>
              </w:rPr>
              <w:t>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5000" w:type="pct"/>
            <w:gridSpan w:val="4"/>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rPr>
            </w:pPr>
            <w:r>
              <w:rPr>
                <w:rFonts w:hint="default" w:ascii="Times New Roman" w:hAnsi="Times New Roman" w:eastAsia="仿宋_GB2312"/>
                <w:color w:val="000000"/>
                <w:szCs w:val="24"/>
              </w:rPr>
              <w:t>注：产品抽样数量可根据样品的实际大小，在满足检验的条件下做适当调整。</w:t>
            </w:r>
          </w:p>
        </w:tc>
      </w:tr>
    </w:tbl>
    <w:p>
      <w:pPr>
        <w:keepNext/>
        <w:keepLines w:val="0"/>
        <w:pageBreakBefore w:val="0"/>
        <w:widowControl/>
        <w:shd w:val="clear" w:color="auto" w:fill="FFFFFF"/>
        <w:kinsoku/>
        <w:wordWrap/>
        <w:overflowPunct/>
        <w:topLinePunct w:val="0"/>
        <w:autoSpaceDE/>
        <w:autoSpaceDN/>
        <w:bidi w:val="0"/>
        <w:adjustRightInd/>
        <w:snapToGrid/>
        <w:spacing w:line="570" w:lineRule="exact"/>
        <w:jc w:val="center"/>
        <w:textAlignment w:val="auto"/>
        <w:rPr>
          <w:rFonts w:hint="eastAsia" w:ascii="仿宋_GB2312" w:hAnsi="仿宋" w:eastAsia="仿宋_GB2312"/>
          <w:color w:val="000000"/>
          <w:kern w:val="0"/>
          <w:sz w:val="32"/>
          <w:szCs w:val="32"/>
        </w:rPr>
      </w:pPr>
      <w:r>
        <w:rPr>
          <w:rFonts w:hint="eastAsia" w:ascii="仿宋_GB2312" w:hAnsi="仿宋" w:eastAsia="仿宋_GB2312"/>
          <w:color w:val="000000"/>
          <w:kern w:val="0"/>
          <w:sz w:val="32"/>
          <w:szCs w:val="32"/>
        </w:rPr>
        <w:t>表</w:t>
      </w:r>
      <w:r>
        <w:rPr>
          <w:rFonts w:hint="eastAsia" w:eastAsia="仿宋_GB2312"/>
          <w:sz w:val="32"/>
          <w:szCs w:val="32"/>
        </w:rPr>
        <w:t>2</w:t>
      </w:r>
      <w:r>
        <w:rPr>
          <w:rFonts w:hint="eastAsia" w:ascii="仿宋_GB2312" w:hAnsi="仿宋" w:eastAsia="仿宋_GB2312"/>
          <w:color w:val="000000"/>
          <w:kern w:val="0"/>
          <w:sz w:val="32"/>
          <w:szCs w:val="32"/>
        </w:rPr>
        <w:t xml:space="preserve"> 实体店抽样基数和数量</w:t>
      </w:r>
    </w:p>
    <w:tbl>
      <w:tblPr>
        <w:tblStyle w:val="6"/>
        <w:tblW w:w="506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09"/>
        <w:gridCol w:w="2566"/>
        <w:gridCol w:w="2276"/>
        <w:gridCol w:w="30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序号</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产品品种</w:t>
            </w:r>
          </w:p>
        </w:tc>
        <w:tc>
          <w:tcPr>
            <w:tcW w:w="1352"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抽样基数</w:t>
            </w:r>
          </w:p>
        </w:tc>
        <w:tc>
          <w:tcPr>
            <w:tcW w:w="1820"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抽样数量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聚乙烯自粘保鲜膜</w:t>
            </w:r>
          </w:p>
        </w:tc>
        <w:tc>
          <w:tcPr>
            <w:tcW w:w="1352" w:type="pct"/>
            <w:vMerge w:val="restar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center"/>
              <w:textAlignment w:val="auto"/>
              <w:rPr>
                <w:rFonts w:hint="default" w:ascii="Times New Roman" w:hAnsi="Times New Roman" w:eastAsia="仿宋_GB2312"/>
                <w:color w:val="000000"/>
                <w:szCs w:val="24"/>
                <w:lang w:eastAsia="en-US"/>
              </w:rPr>
            </w:pPr>
            <w:r>
              <w:rPr>
                <w:rFonts w:ascii="Times New Roman" w:hAnsi="Times New Roman" w:eastAsia="仿宋_GB2312"/>
                <w:color w:val="000000"/>
                <w:szCs w:val="24"/>
                <w:lang w:eastAsia="en-US"/>
              </w:rPr>
              <w:t>满足</w:t>
            </w:r>
            <w:r>
              <w:rPr>
                <w:rFonts w:hint="default" w:ascii="Times New Roman" w:hAnsi="Times New Roman" w:eastAsia="仿宋_GB2312"/>
                <w:color w:val="000000"/>
                <w:szCs w:val="24"/>
                <w:lang w:eastAsia="en-US"/>
              </w:rPr>
              <w:t>抽样</w:t>
            </w:r>
            <w:r>
              <w:rPr>
                <w:rFonts w:ascii="Times New Roman" w:hAnsi="Times New Roman" w:eastAsia="仿宋_GB2312"/>
                <w:color w:val="000000"/>
                <w:szCs w:val="24"/>
              </w:rPr>
              <w:t>数量</w:t>
            </w:r>
            <w:r>
              <w:rPr>
                <w:rFonts w:hint="default" w:ascii="Times New Roman" w:hAnsi="Times New Roman" w:eastAsia="仿宋_GB2312"/>
                <w:color w:val="000000"/>
                <w:szCs w:val="24"/>
                <w:lang w:eastAsia="en-US"/>
              </w:rPr>
              <w:t>即可</w:t>
            </w: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3</w:t>
            </w:r>
            <w:r>
              <w:rPr>
                <w:rFonts w:ascii="Times New Roman" w:hAnsi="Times New Roman" w:eastAsia="仿宋_GB2312"/>
                <w:color w:val="000000"/>
                <w:szCs w:val="24"/>
                <w:lang w:eastAsia="en-US"/>
              </w:rPr>
              <w:t>卷</w:t>
            </w:r>
            <w:r>
              <w:rPr>
                <w:rFonts w:hint="default" w:ascii="Times New Roman" w:hAnsi="Times New Roman" w:eastAsia="仿宋_GB2312"/>
                <w:color w:val="000000"/>
                <w:szCs w:val="24"/>
                <w:lang w:eastAsia="en-US"/>
              </w:rPr>
              <w:t>，其中2</w:t>
            </w:r>
            <w:r>
              <w:rPr>
                <w:rFonts w:ascii="Times New Roman" w:hAnsi="Times New Roman" w:eastAsia="仿宋_GB2312"/>
                <w:color w:val="000000"/>
                <w:szCs w:val="24"/>
                <w:lang w:eastAsia="en-US"/>
              </w:rPr>
              <w:t>卷</w:t>
            </w:r>
            <w:r>
              <w:rPr>
                <w:rFonts w:hint="default" w:ascii="Times New Roman" w:hAnsi="Times New Roman" w:eastAsia="仿宋_GB2312"/>
                <w:color w:val="000000"/>
                <w:szCs w:val="24"/>
                <w:lang w:eastAsia="en-US"/>
              </w:rPr>
              <w:t xml:space="preserve">作为检样，1 </w:t>
            </w:r>
            <w:r>
              <w:rPr>
                <w:rFonts w:ascii="Times New Roman" w:hAnsi="Times New Roman" w:eastAsia="仿宋_GB2312"/>
                <w:color w:val="000000"/>
                <w:szCs w:val="24"/>
                <w:lang w:eastAsia="en-US"/>
              </w:rPr>
              <w:t>卷</w:t>
            </w:r>
            <w:r>
              <w:rPr>
                <w:rFonts w:hint="default" w:ascii="Times New Roman" w:hAnsi="Times New Roman" w:eastAsia="仿宋_GB2312"/>
                <w:color w:val="000000"/>
                <w:szCs w:val="24"/>
                <w:lang w:eastAsia="en-US"/>
              </w:rPr>
              <w:t>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2</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保鲜袋</w:t>
            </w:r>
          </w:p>
        </w:tc>
        <w:tc>
          <w:tcPr>
            <w:tcW w:w="1352" w:type="pct"/>
            <w:vMerge w:val="continue"/>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3</w:t>
            </w:r>
            <w:r>
              <w:rPr>
                <w:rFonts w:ascii="Times New Roman" w:hAnsi="Times New Roman" w:eastAsia="仿宋_GB2312"/>
                <w:color w:val="000000"/>
                <w:szCs w:val="24"/>
                <w:lang w:eastAsia="en-US"/>
              </w:rPr>
              <w:t>卷</w:t>
            </w:r>
            <w:r>
              <w:rPr>
                <w:rFonts w:hint="default" w:ascii="Times New Roman" w:hAnsi="Times New Roman" w:eastAsia="仿宋_GB2312"/>
                <w:color w:val="000000"/>
                <w:szCs w:val="24"/>
                <w:lang w:eastAsia="en-US"/>
              </w:rPr>
              <w:t>，其中2</w:t>
            </w:r>
            <w:r>
              <w:rPr>
                <w:rFonts w:ascii="Times New Roman" w:hAnsi="Times New Roman" w:eastAsia="仿宋_GB2312"/>
                <w:color w:val="000000"/>
                <w:szCs w:val="24"/>
                <w:lang w:eastAsia="en-US"/>
              </w:rPr>
              <w:t>卷</w:t>
            </w:r>
            <w:r>
              <w:rPr>
                <w:rFonts w:hint="default" w:ascii="Times New Roman" w:hAnsi="Times New Roman" w:eastAsia="仿宋_GB2312"/>
                <w:color w:val="000000"/>
                <w:szCs w:val="24"/>
                <w:lang w:eastAsia="en-US"/>
              </w:rPr>
              <w:t xml:space="preserve">作为检样，1 </w:t>
            </w:r>
            <w:r>
              <w:rPr>
                <w:rFonts w:ascii="Times New Roman" w:hAnsi="Times New Roman" w:eastAsia="仿宋_GB2312"/>
                <w:color w:val="000000"/>
                <w:szCs w:val="24"/>
                <w:lang w:eastAsia="en-US"/>
              </w:rPr>
              <w:t>卷</w:t>
            </w:r>
            <w:r>
              <w:rPr>
                <w:rFonts w:hint="default" w:ascii="Times New Roman" w:hAnsi="Times New Roman" w:eastAsia="仿宋_GB2312"/>
                <w:color w:val="000000"/>
                <w:szCs w:val="24"/>
                <w:lang w:eastAsia="en-US"/>
              </w:rPr>
              <w:t>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3</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塑料水杯</w:t>
            </w:r>
          </w:p>
        </w:tc>
        <w:tc>
          <w:tcPr>
            <w:tcW w:w="1352" w:type="pct"/>
            <w:vMerge w:val="continue"/>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12个，其中8个作为检样，4个作为备样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4</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塑料保鲜盒</w:t>
            </w:r>
          </w:p>
        </w:tc>
        <w:tc>
          <w:tcPr>
            <w:tcW w:w="1352" w:type="pct"/>
            <w:vMerge w:val="continue"/>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12个，其中8个作为检样，4个作为备样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5</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婴幼儿用塑料奶瓶</w:t>
            </w:r>
          </w:p>
        </w:tc>
        <w:tc>
          <w:tcPr>
            <w:tcW w:w="1352" w:type="pct"/>
            <w:vMerge w:val="continue"/>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12个，其中8个作为检样，4个作为备样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6</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塑料一次性餐饮具（盒）</w:t>
            </w:r>
          </w:p>
        </w:tc>
        <w:tc>
          <w:tcPr>
            <w:tcW w:w="1352" w:type="pct"/>
            <w:vMerge w:val="continue"/>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100个，其中60个作为检样，40个作为备样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7</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塑料一次性餐饮具（杯）</w:t>
            </w:r>
          </w:p>
        </w:tc>
        <w:tc>
          <w:tcPr>
            <w:tcW w:w="1352" w:type="pct"/>
            <w:vMerge w:val="continue"/>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100个，其中60个作为检样，40个作为备样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4" w:hRule="atLeast"/>
          <w:jc w:val="center"/>
        </w:trPr>
        <w:tc>
          <w:tcPr>
            <w:tcW w:w="302"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8</w:t>
            </w:r>
          </w:p>
        </w:tc>
        <w:tc>
          <w:tcPr>
            <w:tcW w:w="1524" w:type="pct"/>
            <w:vAlign w:val="center"/>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饮用吸管</w:t>
            </w:r>
          </w:p>
        </w:tc>
        <w:tc>
          <w:tcPr>
            <w:tcW w:w="1352" w:type="pct"/>
            <w:vMerge w:val="continue"/>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p>
        </w:tc>
        <w:tc>
          <w:tcPr>
            <w:tcW w:w="1820" w:type="pct"/>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100个，其中60个作为检样，40个作为备样</w:t>
            </w:r>
          </w:p>
        </w:tc>
      </w:tr>
    </w:tbl>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3. 检验依据</w:t>
      </w:r>
    </w:p>
    <w:p>
      <w:pPr>
        <w:keepNext w:val="0"/>
        <w:keepLines w:val="0"/>
        <w:pageBreakBefore w:val="0"/>
        <w:widowControl/>
        <w:shd w:val="clear" w:color="auto" w:fill="FFFFFF"/>
        <w:kinsoku/>
        <w:wordWrap/>
        <w:overflowPunct/>
        <w:topLinePunct w:val="0"/>
        <w:autoSpaceDE/>
        <w:autoSpaceDN/>
        <w:bidi w:val="0"/>
        <w:adjustRightInd/>
        <w:snapToGrid/>
        <w:spacing w:line="570" w:lineRule="exact"/>
        <w:jc w:val="center"/>
        <w:textAlignment w:val="auto"/>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表</w:t>
      </w:r>
      <w:r>
        <w:rPr>
          <w:rFonts w:hint="eastAsia" w:eastAsia="仿宋_GB2312"/>
          <w:sz w:val="32"/>
          <w:szCs w:val="32"/>
        </w:rPr>
        <w:t>3</w:t>
      </w:r>
      <w:r>
        <w:rPr>
          <w:rFonts w:hint="eastAsia" w:ascii="仿宋_GB2312" w:hAnsi="仿宋" w:eastAsia="仿宋_GB2312"/>
          <w:color w:val="000000"/>
          <w:kern w:val="0"/>
          <w:sz w:val="32"/>
          <w:szCs w:val="32"/>
        </w:rPr>
        <w:t xml:space="preserve"> 检验检测项目（食品接触材料塑料制品）</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557"/>
        <w:gridCol w:w="2173"/>
        <w:gridCol w:w="2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序号</w:t>
            </w:r>
          </w:p>
        </w:tc>
        <w:tc>
          <w:tcPr>
            <w:tcW w:w="255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检测项目</w:t>
            </w:r>
          </w:p>
        </w:tc>
        <w:tc>
          <w:tcPr>
            <w:tcW w:w="2173"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检验依据</w:t>
            </w:r>
          </w:p>
        </w:tc>
        <w:tc>
          <w:tcPr>
            <w:tcW w:w="2921"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1</w:t>
            </w:r>
          </w:p>
        </w:tc>
        <w:tc>
          <w:tcPr>
            <w:tcW w:w="255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感官指标</w:t>
            </w:r>
          </w:p>
        </w:tc>
        <w:tc>
          <w:tcPr>
            <w:tcW w:w="2173"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4806.7-2023</w:t>
            </w:r>
          </w:p>
        </w:tc>
        <w:tc>
          <w:tcPr>
            <w:tcW w:w="2921"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4806.7-2023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2</w:t>
            </w:r>
          </w:p>
        </w:tc>
        <w:tc>
          <w:tcPr>
            <w:tcW w:w="255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总迁移量</w:t>
            </w:r>
          </w:p>
        </w:tc>
        <w:tc>
          <w:tcPr>
            <w:tcW w:w="2173"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4806.7-2023</w:t>
            </w:r>
          </w:p>
        </w:tc>
        <w:tc>
          <w:tcPr>
            <w:tcW w:w="2921"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31604.8-2016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3</w:t>
            </w:r>
          </w:p>
        </w:tc>
        <w:tc>
          <w:tcPr>
            <w:tcW w:w="255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高锰酸钾消耗量</w:t>
            </w:r>
          </w:p>
        </w:tc>
        <w:tc>
          <w:tcPr>
            <w:tcW w:w="2173"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4806.7-2023</w:t>
            </w:r>
          </w:p>
        </w:tc>
        <w:tc>
          <w:tcPr>
            <w:tcW w:w="2921"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31604.2-2016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4</w:t>
            </w:r>
          </w:p>
        </w:tc>
        <w:tc>
          <w:tcPr>
            <w:tcW w:w="255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重金属（以Pb计）</w:t>
            </w:r>
          </w:p>
        </w:tc>
        <w:tc>
          <w:tcPr>
            <w:tcW w:w="2173"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4806.7-2023</w:t>
            </w:r>
          </w:p>
        </w:tc>
        <w:tc>
          <w:tcPr>
            <w:tcW w:w="2921"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31604.9-2016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5</w:t>
            </w:r>
          </w:p>
        </w:tc>
        <w:tc>
          <w:tcPr>
            <w:tcW w:w="255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芳香族伯胺迁移总量</w:t>
            </w:r>
          </w:p>
        </w:tc>
        <w:tc>
          <w:tcPr>
            <w:tcW w:w="2173"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4806.7-2023</w:t>
            </w:r>
          </w:p>
        </w:tc>
        <w:tc>
          <w:tcPr>
            <w:tcW w:w="2921"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31604.52-2016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6</w:t>
            </w:r>
          </w:p>
        </w:tc>
        <w:tc>
          <w:tcPr>
            <w:tcW w:w="2557" w:type="dxa"/>
          </w:tcPr>
          <w:p>
            <w:pPr>
              <w:pStyle w:val="5"/>
              <w:keepNext/>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脱色试验</w:t>
            </w:r>
          </w:p>
        </w:tc>
        <w:tc>
          <w:tcPr>
            <w:tcW w:w="2173"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4806.7-2023</w:t>
            </w:r>
          </w:p>
        </w:tc>
        <w:tc>
          <w:tcPr>
            <w:tcW w:w="2921" w:type="dxa"/>
            <w:vAlign w:val="center"/>
          </w:tcPr>
          <w:p>
            <w:pPr>
              <w:pStyle w:val="5"/>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olor w:val="000000"/>
                <w:szCs w:val="24"/>
                <w:lang w:eastAsia="en-US"/>
              </w:rPr>
            </w:pPr>
            <w:r>
              <w:rPr>
                <w:rFonts w:hint="default" w:ascii="Times New Roman" w:hAnsi="Times New Roman" w:eastAsia="仿宋_GB2312"/>
                <w:color w:val="000000"/>
                <w:szCs w:val="24"/>
                <w:lang w:eastAsia="en-US"/>
              </w:rPr>
              <w:t>GB 31604.7-2016</w:t>
            </w:r>
          </w:p>
        </w:tc>
      </w:tr>
    </w:tbl>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eastAsia="仿宋_GB2312"/>
          <w:sz w:val="32"/>
          <w:szCs w:val="32"/>
        </w:rPr>
      </w:pPr>
      <w:r>
        <w:rPr>
          <w:rFonts w:hint="eastAsia" w:eastAsia="仿宋_GB2312"/>
          <w:sz w:val="32"/>
          <w:szCs w:val="32"/>
        </w:rPr>
        <w:t>检验方法包括相关产品标准及试验方法标准。</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eastAsia="仿宋_GB2312"/>
          <w:sz w:val="32"/>
          <w:szCs w:val="32"/>
        </w:rPr>
      </w:pPr>
      <w:r>
        <w:rPr>
          <w:rFonts w:hint="eastAsia" w:eastAsia="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4. 判定规则</w:t>
      </w:r>
    </w:p>
    <w:p>
      <w:pPr>
        <w:keepNext w:val="0"/>
        <w:keepLines w:val="0"/>
        <w:pageBreakBefore w:val="0"/>
        <w:kinsoku/>
        <w:wordWrap/>
        <w:overflowPunct/>
        <w:topLinePunct w:val="0"/>
        <w:autoSpaceDE/>
        <w:autoSpaceDN/>
        <w:bidi w:val="0"/>
        <w:adjustRightInd/>
        <w:snapToGrid/>
        <w:spacing w:line="570" w:lineRule="exact"/>
        <w:ind w:firstLine="642" w:firstLineChars="200"/>
        <w:jc w:val="both"/>
        <w:textAlignment w:val="auto"/>
        <w:rPr>
          <w:rFonts w:eastAsia="楷体_GB2312"/>
          <w:b/>
          <w:sz w:val="32"/>
          <w:szCs w:val="32"/>
        </w:rPr>
      </w:pPr>
      <w:r>
        <w:rPr>
          <w:rFonts w:hint="eastAsia" w:ascii="楷体_GB2312" w:hAnsi="楷体_GB2312" w:eastAsia="楷体_GB2312"/>
          <w:b/>
          <w:sz w:val="32"/>
          <w:szCs w:val="32"/>
        </w:rPr>
        <w:t>4.1</w:t>
      </w:r>
      <w:r>
        <w:rPr>
          <w:rFonts w:hint="eastAsia" w:eastAsia="楷体_GB2312"/>
          <w:b/>
          <w:sz w:val="32"/>
          <w:szCs w:val="32"/>
        </w:rPr>
        <w:t>依据标准</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rPr>
        <w:t>GB 4806.7-2023《食品安全国家标准 食品接触用塑料材料及制品》</w:t>
      </w:r>
      <w:r>
        <w:rPr>
          <w:rFonts w:hint="eastAsia" w:ascii="仿宋_GB2312" w:hAns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eastAsia="仿宋_GB2312"/>
          <w:sz w:val="32"/>
          <w:szCs w:val="32"/>
          <w:lang w:eastAsia="zh-CN"/>
        </w:rPr>
      </w:pPr>
      <w:r>
        <w:rPr>
          <w:rFonts w:hint="eastAsia" w:eastAsia="仿宋_GB2312"/>
          <w:sz w:val="32"/>
          <w:szCs w:val="32"/>
        </w:rPr>
        <w:t>经备案现行有效的企业标准及产品明示质量要求</w:t>
      </w:r>
      <w:r>
        <w:rPr>
          <w:rFonts w:hint="eastAsia"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eastAsia="仿宋_GB2312"/>
          <w:sz w:val="32"/>
          <w:szCs w:val="32"/>
          <w:lang w:eastAsia="zh-CN"/>
        </w:rPr>
      </w:pPr>
      <w:r>
        <w:rPr>
          <w:rFonts w:hint="eastAsia" w:eastAsia="仿宋_GB2312"/>
          <w:sz w:val="32"/>
          <w:szCs w:val="32"/>
        </w:rPr>
        <w:t>相关法律法规、部门规章和规范</w:t>
      </w:r>
      <w:r>
        <w:rPr>
          <w:rFonts w:hint="eastAsia"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70" w:lineRule="exact"/>
        <w:ind w:firstLine="642" w:firstLineChars="200"/>
        <w:jc w:val="both"/>
        <w:textAlignment w:val="auto"/>
        <w:rPr>
          <w:rFonts w:hint="eastAsia" w:ascii="楷体_GB2312" w:eastAsia="楷体_GB2312"/>
          <w:b/>
          <w:sz w:val="32"/>
          <w:szCs w:val="32"/>
        </w:rPr>
      </w:pPr>
      <w:r>
        <w:rPr>
          <w:rFonts w:ascii="楷体_GB2312" w:eastAsia="楷体_GB2312"/>
          <w:b/>
          <w:sz w:val="32"/>
          <w:szCs w:val="32"/>
        </w:rPr>
        <w:t>4</w:t>
      </w:r>
      <w:r>
        <w:rPr>
          <w:rFonts w:hint="eastAsia" w:ascii="楷体_GB2312" w:eastAsia="楷体_GB2312"/>
          <w:b/>
          <w:sz w:val="32"/>
          <w:szCs w:val="32"/>
        </w:rPr>
        <w:t>.</w:t>
      </w:r>
      <w:r>
        <w:rPr>
          <w:rFonts w:ascii="楷体_GB2312" w:eastAsia="楷体_GB2312"/>
          <w:b/>
          <w:sz w:val="32"/>
          <w:szCs w:val="32"/>
        </w:rPr>
        <w:t>2</w:t>
      </w:r>
      <w:r>
        <w:rPr>
          <w:rFonts w:hint="eastAsia" w:ascii="楷体_GB2312" w:eastAsia="楷体_GB2312"/>
          <w:b/>
          <w:sz w:val="32"/>
          <w:szCs w:val="32"/>
        </w:rPr>
        <w:t>判定原则</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黑体" w:hAnsi="黑体" w:eastAsia="黑体"/>
          <w:sz w:val="32"/>
          <w:szCs w:val="32"/>
        </w:rPr>
      </w:pPr>
      <w:r>
        <w:rPr>
          <w:rFonts w:hint="eastAsia" w:ascii="黑体" w:hAnsi="黑体" w:eastAsia="黑体"/>
          <w:sz w:val="32"/>
          <w:szCs w:val="32"/>
        </w:rPr>
        <w:t>5.异议处理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eastAsia="仿宋_GB2312"/>
          <w:bCs/>
          <w:color w:val="000000"/>
          <w:sz w:val="32"/>
          <w:szCs w:val="32"/>
        </w:rPr>
      </w:pPr>
      <w:r>
        <w:rPr>
          <w:rFonts w:hint="eastAsia" w:eastAsia="方正仿宋_GBK"/>
          <w:sz w:val="32"/>
          <w:szCs w:val="32"/>
        </w:rPr>
        <w:t>5.1</w:t>
      </w:r>
      <w:r>
        <w:rPr>
          <w:rFonts w:hint="eastAsia" w:ascii="仿宋_GB2312" w:eastAsia="仿宋_GB2312"/>
          <w:bCs/>
          <w:color w:val="000000"/>
          <w:sz w:val="32"/>
          <w:szCs w:val="32"/>
        </w:rPr>
        <w:t>对监督抽查程序有异议的，由任务下达部门核查相关证据后维持或者撤销原检验结果。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eastAsia="仿宋_GB2312"/>
          <w:bCs/>
          <w:color w:val="000000"/>
          <w:sz w:val="32"/>
          <w:szCs w:val="32"/>
        </w:rPr>
      </w:pPr>
      <w:r>
        <w:rPr>
          <w:rFonts w:hint="eastAsia" w:eastAsia="方正仿宋_GBK"/>
          <w:sz w:val="32"/>
          <w:szCs w:val="32"/>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eastAsia="仿宋_GB2312"/>
          <w:color w:val="000000"/>
          <w:sz w:val="32"/>
          <w:szCs w:val="32"/>
        </w:rPr>
      </w:pPr>
      <w:r>
        <w:rPr>
          <w:rFonts w:hint="eastAsia" w:eastAsia="方正仿宋_GBK"/>
          <w:sz w:val="32"/>
          <w:szCs w:val="32"/>
        </w:rPr>
        <w:t>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p>
      <w:pPr>
        <w:spacing w:line="570" w:lineRule="exact"/>
        <w:ind w:firstLine="420" w:firstLineChars="20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 w:name="汉仪中等线B5">
    <w:panose1 w:val="0101010401010101010B"/>
    <w:charset w:val="86"/>
    <w:family w:val="auto"/>
    <w:pitch w:val="default"/>
    <w:sig w:usb0="800000A3" w:usb1="00497878" w:usb2="00000000" w:usb3="00000000" w:csb0="00040001" w:csb1="00000000"/>
  </w:font>
  <w:font w:name="楷体_GB2312">
    <w:altName w:val="方正楷体_GBK"/>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F1CE6"/>
    <w:rsid w:val="0009333A"/>
    <w:rsid w:val="00230F38"/>
    <w:rsid w:val="00233AF6"/>
    <w:rsid w:val="002C35BE"/>
    <w:rsid w:val="00333811"/>
    <w:rsid w:val="003761CB"/>
    <w:rsid w:val="00377A7A"/>
    <w:rsid w:val="00450D01"/>
    <w:rsid w:val="0046054B"/>
    <w:rsid w:val="004D192B"/>
    <w:rsid w:val="005A3202"/>
    <w:rsid w:val="005D1F79"/>
    <w:rsid w:val="005E5A16"/>
    <w:rsid w:val="006256FD"/>
    <w:rsid w:val="00687F2E"/>
    <w:rsid w:val="008E671C"/>
    <w:rsid w:val="00A026E1"/>
    <w:rsid w:val="00A66742"/>
    <w:rsid w:val="00BB6079"/>
    <w:rsid w:val="00C63C3D"/>
    <w:rsid w:val="00CB38AB"/>
    <w:rsid w:val="00CF6255"/>
    <w:rsid w:val="00D94A20"/>
    <w:rsid w:val="00DB1A6F"/>
    <w:rsid w:val="00E12882"/>
    <w:rsid w:val="00E2260C"/>
    <w:rsid w:val="00E939BA"/>
    <w:rsid w:val="00EA5064"/>
    <w:rsid w:val="00EE3358"/>
    <w:rsid w:val="00EF1CE6"/>
    <w:rsid w:val="00FB633D"/>
    <w:rsid w:val="00FE128E"/>
    <w:rsid w:val="14176AC4"/>
    <w:rsid w:val="46276099"/>
    <w:rsid w:val="47705EBB"/>
    <w:rsid w:val="EDFBB6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jc w:val="left"/>
    </w:pPr>
    <w:rPr>
      <w:rFonts w:hint="eastAsia" w:ascii="宋体" w:hAnsi="宋体"/>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rFonts w:ascii="Times New Roman" w:hAnsi="Times New Roman" w:eastAsia="宋体" w:cs="Times New Roman"/>
      <w:kern w:val="2"/>
      <w:sz w:val="18"/>
      <w:szCs w:val="18"/>
    </w:rPr>
  </w:style>
  <w:style w:type="character" w:customStyle="1" w:styleId="10">
    <w:name w:val="页脚 Char"/>
    <w:basedOn w:val="8"/>
    <w:link w:val="3"/>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6</Pages>
  <Words>378</Words>
  <Characters>2160</Characters>
  <Lines>18</Lines>
  <Paragraphs>5</Paragraphs>
  <TotalTime>18</TotalTime>
  <ScaleCrop>false</ScaleCrop>
  <LinksUpToDate>false</LinksUpToDate>
  <CharactersWithSpaces>2533</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2025-11-24T08:40:00Z</dcterms:created>
  <dc:creator>hp</dc:creator>
  <cp:lastModifiedBy>kylin</cp:lastModifiedBy>
  <dcterms:modified xsi:type="dcterms:W3CDTF">2025-11-26T15:29:33Z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eyJoZGlkIjoiOGJmOWViYTUxOWZmNDgwYmJiNWJiNzhmYTNhNGI5NzUiLCJ1c2VySWQiOiI0NTU5NjMyNDIifQ==</vt:lpwstr>
  </property>
  <property fmtid="{D5CDD505-2E9C-101B-9397-08002B2CF9AE}" pid="3" name="KSOProductBuildVer">
    <vt:lpwstr>2052-11.8.2.11717</vt:lpwstr>
  </property>
  <property fmtid="{D5CDD505-2E9C-101B-9397-08002B2CF9AE}" pid="4" name="ICV">
    <vt:lpwstr>72A45483282047EF9DF4860AF3E2D6BE_12</vt:lpwstr>
  </property>
</Properties>
</file>