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2025年常州市涂料产品质量</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1.</w:t>
      </w:r>
      <w:r>
        <w:rPr>
          <w:rFonts w:hint="eastAsia" w:ascii="黑体" w:hAnsi="黑体" w:eastAsia="黑体"/>
          <w:sz w:val="32"/>
          <w:szCs w:val="32"/>
        </w:rPr>
        <w:t>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eastAsia="仿宋_GB2312"/>
          <w:color w:val="000000"/>
          <w:sz w:val="32"/>
          <w:szCs w:val="32"/>
        </w:rPr>
        <w:t>本细则适用于常州市市场监督管理局组织的涂料产品质量市级监督抽查。本细则规定了此产品的抽样方法、检验依据、检验项目、检验方法、判定原则、异议处理及复检。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2.1抽样方法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涂料产品在市场流通领域买样时常会遇见产品标准信息无法确认、市场上品牌数量有限等问题，导致无法抽样，实际抽样地区批次数分配根据抽样情况可做适当的调整。每个抽样地区原则上</w:t>
      </w:r>
      <w:bookmarkStart w:id="0" w:name="_GoBack"/>
      <w:bookmarkEnd w:id="0"/>
      <w:r>
        <w:rPr>
          <w:rFonts w:hint="eastAsia" w:ascii="仿宋_GB2312" w:hAnsi="仿宋_GB2312" w:eastAsia="仿宋_GB2312" w:cs="仿宋_GB2312"/>
          <w:sz w:val="32"/>
          <w:szCs w:val="32"/>
        </w:rPr>
        <w:t>应当覆盖涂料专卖店实体店，随机在受检实体店抽样，涂料产品销售主要在专卖店。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eastAsia="仿宋_GB2312"/>
          <w:color w:val="000000"/>
          <w:sz w:val="32"/>
          <w:szCs w:val="32"/>
        </w:rPr>
        <w:t>2</w:t>
      </w:r>
      <w:r>
        <w:rPr>
          <w:rFonts w:hint="eastAsia" w:ascii="仿宋_GB2312" w:hAnsi="仿宋_GB2312" w:eastAsia="仿宋_GB2312" w:cs="仿宋_GB2312"/>
          <w:sz w:val="32"/>
          <w:szCs w:val="32"/>
        </w:rPr>
        <w:t>名工作人员共同完成。采样过程均需拍照留证，一经采样，立即封样，任何人不得调换。</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2.2抽样基数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bCs/>
          <w:color w:val="000000"/>
          <w:sz w:val="32"/>
          <w:szCs w:val="32"/>
        </w:rPr>
      </w:pPr>
      <w:r>
        <w:rPr>
          <w:rFonts w:hint="eastAsia" w:ascii="仿宋_GB2312" w:hAnsi="仿宋_GB2312" w:eastAsia="仿宋_GB2312" w:cs="仿宋_GB2312"/>
          <w:sz w:val="32"/>
          <w:szCs w:val="32"/>
        </w:rPr>
        <w:t>在销售企业抽样样品应为同一型号规格、同一批次的产品，抽样基数应满足抽样数量。</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2.3抽样数量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同批次产品抽取</w:t>
      </w:r>
      <w:r>
        <w:rPr>
          <w:rFonts w:hint="eastAsia" w:eastAsia="仿宋_GB2312"/>
          <w:color w:val="000000"/>
          <w:sz w:val="32"/>
          <w:szCs w:val="32"/>
        </w:rPr>
        <w:t>2</w:t>
      </w:r>
      <w:r>
        <w:rPr>
          <w:rFonts w:hint="eastAsia" w:ascii="仿宋_GB2312" w:hAnsi="仿宋_GB2312" w:eastAsia="仿宋_GB2312" w:cs="仿宋_GB2312"/>
          <w:sz w:val="32"/>
          <w:szCs w:val="32"/>
        </w:rPr>
        <w:t>份样品，每份不少于</w:t>
      </w:r>
      <w:r>
        <w:rPr>
          <w:rFonts w:hint="eastAsia" w:eastAsia="仿宋_GB2312"/>
          <w:color w:val="000000"/>
          <w:sz w:val="32"/>
          <w:szCs w:val="32"/>
        </w:rPr>
        <w:t>3kg</w:t>
      </w:r>
      <w:r>
        <w:rPr>
          <w:rFonts w:hint="eastAsia" w:ascii="仿宋_GB2312" w:hAnsi="仿宋_GB2312" w:eastAsia="仿宋_GB2312" w:cs="仿宋_GB2312"/>
          <w:sz w:val="32"/>
          <w:szCs w:val="32"/>
        </w:rPr>
        <w:t>，一份为检验样品，一份为备用样品。应尽量整包装抽取，避免分装。如需配套底漆，抽取底漆</w:t>
      </w:r>
      <w:r>
        <w:rPr>
          <w:rFonts w:hint="eastAsia" w:eastAsia="仿宋_GB2312"/>
          <w:color w:val="000000"/>
          <w:sz w:val="32"/>
          <w:szCs w:val="32"/>
        </w:rPr>
        <w:t>2</w:t>
      </w:r>
      <w:r>
        <w:rPr>
          <w:rFonts w:hint="eastAsia" w:ascii="仿宋_GB2312" w:hAnsi="仿宋_GB2312" w:eastAsia="仿宋_GB2312" w:cs="仿宋_GB2312"/>
          <w:sz w:val="32"/>
          <w:szCs w:val="32"/>
        </w:rPr>
        <w:t>份，每份不少于</w:t>
      </w:r>
      <w:r>
        <w:rPr>
          <w:rFonts w:hint="eastAsia" w:eastAsia="仿宋_GB2312"/>
          <w:color w:val="000000"/>
          <w:sz w:val="32"/>
          <w:szCs w:val="32"/>
        </w:rPr>
        <w:t>0.5kg</w:t>
      </w:r>
      <w:r>
        <w:rPr>
          <w:rFonts w:hint="eastAsia" w:ascii="仿宋_GB2312" w:hAnsi="仿宋_GB2312" w:eastAsia="仿宋_GB2312" w:cs="仿宋_GB2312"/>
          <w:sz w:val="32"/>
          <w:szCs w:val="32"/>
        </w:rPr>
        <w:t>，一份为检验样品，一份为备用样品。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3.检验依据</w:t>
      </w:r>
    </w:p>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表</w:t>
      </w:r>
      <w:r>
        <w:rPr>
          <w:rFonts w:hint="eastAsia" w:ascii="Times New Roman" w:hAnsi="Times New Roman" w:eastAsia="仿宋_GB2312" w:cs="Times New Roman"/>
          <w:color w:val="000000"/>
          <w:kern w:val="2"/>
          <w:sz w:val="32"/>
          <w:szCs w:val="32"/>
          <w:lang w:val="en-US" w:eastAsia="zh-CN" w:bidi="ar-SA"/>
        </w:rPr>
        <w:t>1</w:t>
      </w:r>
      <w:r>
        <w:rPr>
          <w:rFonts w:hint="eastAsia" w:ascii="仿宋_GB2312" w:hAnsi="仿宋_GB2312" w:eastAsia="仿宋_GB2312" w:cs="仿宋_GB2312"/>
          <w:color w:val="000000"/>
          <w:sz w:val="32"/>
          <w:szCs w:val="32"/>
        </w:rPr>
        <w:t xml:space="preserve"> 木器涂料检验检测项目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340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3405" w:type="dxa"/>
            <w:vMerge w:val="restart"/>
            <w:noWrap/>
            <w:vAlign w:val="center"/>
          </w:tcPr>
          <w:p>
            <w:pPr>
              <w:pStyle w:val="3"/>
              <w:keepNext w:val="0"/>
              <w:keepLines w:val="0"/>
              <w:pageBreakBefore w:val="0"/>
              <w:widowControl w:val="0"/>
              <w:tabs>
                <w:tab w:val="left" w:pos="1084"/>
                <w:tab w:val="center" w:pos="1654"/>
              </w:tabs>
              <w:kinsoku/>
              <w:wordWrap/>
              <w:overflowPunct/>
              <w:topLinePunct w:val="0"/>
              <w:autoSpaceDE/>
              <w:autoSpaceDN/>
              <w:bidi w:val="0"/>
              <w:adjustRightInd/>
              <w:snapToGrid/>
              <w:jc w:val="left"/>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ab/>
            </w:r>
            <w:r>
              <w:rPr>
                <w:rFonts w:hint="eastAsia" w:ascii="仿宋_GB2312" w:hAnsi="仿宋_GB2312" w:eastAsia="仿宋_GB2312" w:cs="仿宋_GB2312"/>
                <w:kern w:val="2"/>
                <w:sz w:val="24"/>
                <w:szCs w:val="24"/>
                <w:lang w:val="en-US" w:eastAsia="zh-CN" w:bidi="ar-SA"/>
              </w:rPr>
              <w:t>检</w:t>
            </w:r>
            <w:r>
              <w:rPr>
                <w:rFonts w:hint="eastAsia" w:ascii="仿宋_GB2312" w:hAnsi="仿宋_GB2312" w:eastAsia="仿宋_GB2312" w:cs="仿宋_GB2312"/>
                <w:kern w:val="2"/>
                <w:sz w:val="24"/>
                <w:szCs w:val="24"/>
                <w:lang w:val="en-US" w:eastAsia="zh-CN" w:bidi="ar-SA"/>
              </w:rPr>
              <w:tab/>
            </w:r>
            <w:r>
              <w:rPr>
                <w:rFonts w:hint="eastAsia" w:ascii="仿宋_GB2312" w:hAnsi="仿宋_GB2312" w:eastAsia="仿宋_GB2312" w:cs="仿宋_GB2312"/>
                <w:kern w:val="2"/>
                <w:sz w:val="24"/>
                <w:szCs w:val="24"/>
                <w:lang w:val="en-US" w:eastAsia="zh-CN" w:bidi="ar-SA"/>
              </w:rPr>
              <w:t>测项目</w:t>
            </w:r>
          </w:p>
        </w:tc>
        <w:tc>
          <w:tcPr>
            <w:tcW w:w="1995"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检验依据</w:t>
            </w:r>
          </w:p>
        </w:tc>
        <w:tc>
          <w:tcPr>
            <w:tcW w:w="2401"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3"/>
              <w:jc w:val="center"/>
              <w:rPr>
                <w:rFonts w:ascii="Times New Roman" w:hAnsi="Times New Roman" w:eastAsia="仿宋"/>
                <w:color w:val="000000"/>
                <w:sz w:val="24"/>
                <w:szCs w:val="24"/>
              </w:rPr>
            </w:pPr>
          </w:p>
        </w:tc>
        <w:tc>
          <w:tcPr>
            <w:tcW w:w="3405" w:type="dxa"/>
            <w:vMerge w:val="continue"/>
            <w:noWrap/>
            <w:vAlign w:val="center"/>
          </w:tcPr>
          <w:p>
            <w:pPr>
              <w:pStyle w:val="3"/>
              <w:jc w:val="center"/>
              <w:rPr>
                <w:rFonts w:ascii="Times New Roman" w:hAnsi="Times New Roman" w:eastAsia="仿宋"/>
                <w:color w:val="000000"/>
                <w:sz w:val="24"/>
                <w:szCs w:val="24"/>
              </w:rPr>
            </w:pP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vMerge w:val="continue"/>
            <w:noWrap/>
            <w:vAlign w:val="center"/>
          </w:tcPr>
          <w:p>
            <w:pPr>
              <w:pStyle w:val="3"/>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VOC</w:t>
            </w:r>
            <w:r>
              <w:rPr>
                <w:rFonts w:hint="eastAsia" w:ascii="仿宋_GB2312" w:hAnsi="仿宋_GB2312" w:eastAsia="仿宋_GB2312" w:cs="仿宋_GB2312"/>
                <w:kern w:val="2"/>
                <w:sz w:val="24"/>
                <w:szCs w:val="24"/>
                <w:lang w:val="en-US" w:eastAsia="zh-CN" w:bidi="ar-SA"/>
              </w:rPr>
              <w:t>含量</w:t>
            </w:r>
          </w:p>
        </w:tc>
        <w:tc>
          <w:tcPr>
            <w:tcW w:w="1995" w:type="dxa"/>
            <w:vMerge w:val="restart"/>
            <w:noWrap/>
            <w:vAlign w:val="center"/>
          </w:tcPr>
          <w:p>
            <w:pPr>
              <w:widowControl/>
              <w:jc w:val="center"/>
              <w:rPr>
                <w:rFonts w:eastAsia="仿宋"/>
                <w:color w:val="000000"/>
                <w:sz w:val="24"/>
                <w:szCs w:val="24"/>
              </w:rPr>
            </w:pPr>
            <w:r>
              <w:rPr>
                <w:rFonts w:hint="eastAsia" w:eastAsia="仿宋"/>
                <w:color w:val="000000"/>
                <w:sz w:val="24"/>
                <w:szCs w:val="24"/>
              </w:rPr>
              <w:t>GB 18581-2020</w:t>
            </w:r>
          </w:p>
        </w:tc>
        <w:tc>
          <w:tcPr>
            <w:tcW w:w="2401" w:type="dxa"/>
            <w:noWrap/>
            <w:vAlign w:val="center"/>
          </w:tcPr>
          <w:p>
            <w:pPr>
              <w:widowControl/>
              <w:jc w:val="center"/>
              <w:rPr>
                <w:rFonts w:eastAsia="仿宋"/>
                <w:color w:val="000000"/>
                <w:sz w:val="24"/>
                <w:szCs w:val="24"/>
              </w:rPr>
            </w:pPr>
            <w:r>
              <w:rPr>
                <w:rFonts w:eastAsia="仿宋"/>
                <w:color w:val="000000"/>
                <w:sz w:val="24"/>
                <w:szCs w:val="24"/>
              </w:rPr>
              <w:t>GB 18581-2020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405" w:type="dxa"/>
            <w:noWrap/>
            <w:vAlign w:val="center"/>
          </w:tcPr>
          <w:p>
            <w:pPr>
              <w:snapToGrid w:val="0"/>
              <w:spacing w:line="300" w:lineRule="exact"/>
              <w:jc w:val="center"/>
              <w:rPr>
                <w:rFonts w:eastAsia="仿宋"/>
                <w:color w:val="000000"/>
                <w:sz w:val="24"/>
                <w:szCs w:val="24"/>
              </w:rPr>
            </w:pPr>
            <w:r>
              <w:rPr>
                <w:rFonts w:hint="eastAsia" w:ascii="仿宋_GB2312" w:hAnsi="仿宋_GB2312" w:eastAsia="仿宋_GB2312" w:cs="仿宋_GB2312"/>
                <w:kern w:val="2"/>
                <w:sz w:val="24"/>
                <w:szCs w:val="24"/>
                <w:lang w:val="en-US" w:eastAsia="zh-CN" w:bidi="ar-SA"/>
              </w:rPr>
              <w:t>苯含量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405" w:type="dxa"/>
            <w:noWrap/>
            <w:vAlign w:val="center"/>
          </w:tcPr>
          <w:p>
            <w:pPr>
              <w:snapToGrid w:val="0"/>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甲苯与二甲苯（含乙苯）含量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4</w:t>
            </w:r>
          </w:p>
        </w:tc>
        <w:tc>
          <w:tcPr>
            <w:tcW w:w="3405" w:type="dxa"/>
            <w:noWrap/>
            <w:vAlign w:val="center"/>
          </w:tcPr>
          <w:p>
            <w:pPr>
              <w:snapToGrid w:val="0"/>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卤代烃总和含量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23992-2009</w:t>
            </w:r>
          </w:p>
        </w:tc>
      </w:tr>
    </w:tbl>
    <w:p>
      <w:pPr>
        <w:pStyle w:val="3"/>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表</w:t>
      </w:r>
      <w:r>
        <w:rPr>
          <w:rFonts w:hint="eastAsia" w:ascii="Times New Roman" w:hAnsi="Times New Roman" w:eastAsia="仿宋_GB2312" w:cs="Times New Roman"/>
          <w:color w:val="000000"/>
          <w:kern w:val="2"/>
          <w:sz w:val="32"/>
          <w:szCs w:val="32"/>
          <w:lang w:val="en-US" w:eastAsia="zh-CN" w:bidi="ar-SA"/>
        </w:rPr>
        <w:t>2</w:t>
      </w:r>
      <w:r>
        <w:rPr>
          <w:rFonts w:hint="eastAsia" w:ascii="仿宋_GB2312" w:hAnsi="仿宋_GB2312" w:eastAsia="仿宋_GB2312" w:cs="仿宋_GB2312"/>
          <w:color w:val="000000"/>
          <w:sz w:val="32"/>
          <w:szCs w:val="32"/>
        </w:rPr>
        <w:t xml:space="preserve"> 木器涂料检验检测项目</w:t>
      </w:r>
    </w:p>
    <w:tbl>
      <w:tblPr>
        <w:tblStyle w:val="7"/>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340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3405"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检测项目</w:t>
            </w:r>
          </w:p>
        </w:tc>
        <w:tc>
          <w:tcPr>
            <w:tcW w:w="1995"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检验依据</w:t>
            </w:r>
          </w:p>
        </w:tc>
        <w:tc>
          <w:tcPr>
            <w:tcW w:w="2401" w:type="dxa"/>
            <w:vMerge w:val="restart"/>
            <w:noWrap/>
            <w:vAlign w:val="center"/>
          </w:tcPr>
          <w:p>
            <w:pPr>
              <w:pStyle w:val="3"/>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81" w:type="dxa"/>
            <w:vMerge w:val="continue"/>
            <w:noWrap/>
            <w:vAlign w:val="center"/>
          </w:tcPr>
          <w:p>
            <w:pPr>
              <w:pStyle w:val="3"/>
              <w:jc w:val="center"/>
              <w:rPr>
                <w:rFonts w:ascii="Times New Roman" w:hAnsi="Times New Roman" w:eastAsia="仿宋"/>
                <w:color w:val="000000"/>
                <w:sz w:val="24"/>
                <w:szCs w:val="24"/>
              </w:rPr>
            </w:pPr>
          </w:p>
        </w:tc>
        <w:tc>
          <w:tcPr>
            <w:tcW w:w="3405" w:type="dxa"/>
            <w:vMerge w:val="continue"/>
            <w:noWrap/>
            <w:vAlign w:val="center"/>
          </w:tcPr>
          <w:p>
            <w:pPr>
              <w:pStyle w:val="3"/>
              <w:jc w:val="center"/>
              <w:rPr>
                <w:rFonts w:ascii="Times New Roman" w:hAnsi="Times New Roman" w:eastAsia="仿宋"/>
                <w:color w:val="000000"/>
                <w:sz w:val="24"/>
                <w:szCs w:val="24"/>
              </w:rPr>
            </w:pP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vMerge w:val="continue"/>
            <w:noWrap/>
            <w:vAlign w:val="center"/>
          </w:tcPr>
          <w:p>
            <w:pPr>
              <w:pStyle w:val="3"/>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405" w:type="dxa"/>
            <w:noWrap/>
            <w:vAlign w:val="center"/>
          </w:tcPr>
          <w:p>
            <w:pPr>
              <w:snapToGrid w:val="0"/>
              <w:spacing w:line="300" w:lineRule="exact"/>
              <w:jc w:val="center"/>
              <w:rPr>
                <w:rFonts w:eastAsia="仿宋"/>
                <w:color w:val="000000"/>
                <w:sz w:val="24"/>
                <w:szCs w:val="24"/>
              </w:rPr>
            </w:pPr>
            <w:r>
              <w:rPr>
                <w:rFonts w:eastAsia="仿宋"/>
                <w:color w:val="000000"/>
                <w:sz w:val="24"/>
                <w:szCs w:val="24"/>
              </w:rPr>
              <w:t>VOC</w:t>
            </w:r>
            <w:r>
              <w:rPr>
                <w:rFonts w:hint="eastAsia" w:ascii="仿宋_GB2312" w:hAnsi="仿宋_GB2312" w:eastAsia="仿宋_GB2312" w:cs="仿宋_GB2312"/>
                <w:kern w:val="2"/>
                <w:sz w:val="24"/>
                <w:szCs w:val="24"/>
                <w:lang w:val="en-US" w:eastAsia="zh-CN" w:bidi="ar-SA"/>
              </w:rPr>
              <w:t>含量</w:t>
            </w:r>
          </w:p>
        </w:tc>
        <w:tc>
          <w:tcPr>
            <w:tcW w:w="1995" w:type="dxa"/>
            <w:vMerge w:val="restart"/>
            <w:noWrap/>
            <w:vAlign w:val="center"/>
          </w:tcPr>
          <w:p>
            <w:pPr>
              <w:widowControl/>
              <w:jc w:val="center"/>
              <w:rPr>
                <w:rFonts w:eastAsia="仿宋"/>
                <w:color w:val="000000"/>
                <w:sz w:val="24"/>
                <w:szCs w:val="24"/>
              </w:rPr>
            </w:pPr>
            <w:r>
              <w:rPr>
                <w:rFonts w:hint="eastAsia" w:eastAsia="仿宋"/>
                <w:color w:val="000000"/>
                <w:sz w:val="24"/>
                <w:szCs w:val="24"/>
              </w:rPr>
              <w:t>GB 18582-2020</w:t>
            </w:r>
          </w:p>
        </w:tc>
        <w:tc>
          <w:tcPr>
            <w:tcW w:w="2401" w:type="dxa"/>
            <w:noWrap/>
            <w:vAlign w:val="center"/>
          </w:tcPr>
          <w:p>
            <w:pPr>
              <w:widowControl/>
              <w:jc w:val="center"/>
              <w:rPr>
                <w:rFonts w:eastAsia="仿宋"/>
                <w:color w:val="000000"/>
                <w:sz w:val="24"/>
                <w:szCs w:val="24"/>
              </w:rPr>
            </w:pPr>
            <w:r>
              <w:rPr>
                <w:rFonts w:eastAsia="仿宋"/>
                <w:color w:val="000000"/>
                <w:sz w:val="24"/>
                <w:szCs w:val="24"/>
              </w:rPr>
              <w:t>GB/T 23986-2009</w:t>
            </w:r>
          </w:p>
          <w:p>
            <w:pPr>
              <w:widowControl/>
              <w:jc w:val="center"/>
              <w:rPr>
                <w:rFonts w:eastAsia="仿宋"/>
                <w:color w:val="000000"/>
                <w:sz w:val="24"/>
                <w:szCs w:val="24"/>
              </w:rPr>
            </w:pPr>
            <w:r>
              <w:rPr>
                <w:rFonts w:eastAsia="仿宋"/>
                <w:color w:val="000000"/>
                <w:sz w:val="24"/>
                <w:szCs w:val="24"/>
              </w:rPr>
              <w:t>GB/T 23985-2009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405" w:type="dxa"/>
            <w:noWrap/>
            <w:vAlign w:val="center"/>
          </w:tcPr>
          <w:p>
            <w:pPr>
              <w:snapToGrid w:val="0"/>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甲醛含量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405" w:type="dxa"/>
            <w:noWrap/>
            <w:vAlign w:val="center"/>
          </w:tcPr>
          <w:p>
            <w:pPr>
              <w:snapToGrid w:val="0"/>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苯系物含量</w:t>
            </w:r>
          </w:p>
        </w:tc>
        <w:tc>
          <w:tcPr>
            <w:tcW w:w="1995" w:type="dxa"/>
            <w:vMerge w:val="continue"/>
            <w:noWrap/>
            <w:vAlign w:val="center"/>
          </w:tcPr>
          <w:p>
            <w:pPr>
              <w:pStyle w:val="3"/>
              <w:jc w:val="center"/>
              <w:rPr>
                <w:rFonts w:ascii="Times New Roman" w:hAnsi="Times New Roman" w:eastAsia="仿宋"/>
                <w:color w:val="000000"/>
                <w:sz w:val="24"/>
                <w:szCs w:val="24"/>
              </w:rPr>
            </w:pPr>
          </w:p>
        </w:tc>
        <w:tc>
          <w:tcPr>
            <w:tcW w:w="2401" w:type="dxa"/>
            <w:noWrap/>
            <w:vAlign w:val="center"/>
          </w:tcPr>
          <w:p>
            <w:pPr>
              <w:jc w:val="center"/>
              <w:rPr>
                <w:rFonts w:eastAsia="仿宋"/>
                <w:color w:val="000000"/>
                <w:sz w:val="24"/>
                <w:szCs w:val="24"/>
              </w:rPr>
            </w:pPr>
            <w:r>
              <w:rPr>
                <w:rFonts w:eastAsia="仿宋"/>
                <w:color w:val="000000"/>
                <w:sz w:val="24"/>
                <w:szCs w:val="24"/>
              </w:rPr>
              <w:t>GB/T 23990-2009</w:t>
            </w:r>
          </w:p>
        </w:tc>
      </w:tr>
    </w:tbl>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sz w:val="32"/>
          <w:szCs w:val="32"/>
        </w:rPr>
      </w:pPr>
      <w:r>
        <w:rPr>
          <w:rFonts w:hint="eastAsia" w:ascii="黑体" w:hAnsi="黑体" w:eastAsia="黑体"/>
          <w:sz w:val="32"/>
          <w:szCs w:val="32"/>
        </w:rPr>
        <w:t>4.判定规则</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4.1依据标准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 18581-2020《木器涂料中有害物质限量》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 18582-2020《室内装饰装修材料 内墙涂料中有害物质限量》</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eastAsia="仿宋_GB2312"/>
          <w:sz w:val="32"/>
          <w:szCs w:val="32"/>
        </w:rPr>
      </w:pPr>
      <w:r>
        <w:rPr>
          <w:rFonts w:eastAsia="仿宋_GB2312"/>
          <w:sz w:val="32"/>
          <w:szCs w:val="32"/>
        </w:rPr>
        <w:t>相关法律法规、部门规章和规范</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hAnsi="楷体" w:eastAsia="楷体_GB2312" w:cs="方正仿宋_GBK"/>
          <w:b/>
          <w:sz w:val="32"/>
          <w:szCs w:val="32"/>
        </w:rPr>
      </w:pPr>
      <w:r>
        <w:rPr>
          <w:rFonts w:hint="eastAsia" w:ascii="楷体_GB2312" w:hAnsi="楷体" w:eastAsia="楷体_GB2312" w:cs="方正仿宋_GBK"/>
          <w:b/>
          <w:sz w:val="32"/>
          <w:szCs w:val="32"/>
        </w:rPr>
        <w:t>4.2判定原则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5.异议处理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widowControl w:val="0"/>
        <w:kinsoku/>
        <w:wordWrap/>
        <w:overflowPunct/>
        <w:topLinePunct w:val="0"/>
        <w:autoSpaceDE/>
        <w:autoSpaceDN/>
        <w:bidi w:val="0"/>
        <w:adjustRightInd/>
        <w:snapToGrid/>
        <w:spacing w:line="570" w:lineRule="exact"/>
        <w:ind w:firstLine="560"/>
        <w:textAlignment w:val="auto"/>
        <w:rPr>
          <w:rFonts w:hint="eastAsia" w:ascii="仿宋_GB2312" w:eastAsia="仿宋_GB2312"/>
          <w:color w:val="000000"/>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8835278"/>
    </w:sdtPr>
    <w:sdtContent>
      <w:p>
        <w:pPr>
          <w:pStyle w:val="5"/>
          <w:jc w:val="center"/>
        </w:pPr>
        <w:r>
          <w:fldChar w:fldCharType="begin"/>
        </w:r>
        <w:r>
          <w:instrText xml:space="preserve">PAGE   \* MERGEFORMAT</w:instrText>
        </w:r>
        <w:r>
          <w:fldChar w:fldCharType="separate"/>
        </w:r>
        <w:r>
          <w:rPr>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4B35"/>
    <w:rsid w:val="000038B4"/>
    <w:rsid w:val="00121391"/>
    <w:rsid w:val="0044658B"/>
    <w:rsid w:val="00690C22"/>
    <w:rsid w:val="008B2A82"/>
    <w:rsid w:val="00AC7C28"/>
    <w:rsid w:val="00C84B35"/>
    <w:rsid w:val="00E47251"/>
    <w:rsid w:val="00EB5304"/>
    <w:rsid w:val="02F1381E"/>
    <w:rsid w:val="0658541F"/>
    <w:rsid w:val="26217406"/>
    <w:rsid w:val="2EF17782"/>
    <w:rsid w:val="3AAF0E20"/>
    <w:rsid w:val="607D2157"/>
    <w:rsid w:val="64202F75"/>
    <w:rsid w:val="6DF7B065"/>
    <w:rsid w:val="72A353BE"/>
    <w:rsid w:val="7BC875C2"/>
    <w:rsid w:val="B6BDCF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qFormat/>
    <w:uiPriority w:val="0"/>
    <w:rPr>
      <w:rFonts w:ascii="宋体" w:hAnsi="Courier New"/>
      <w:szCs w:val="21"/>
    </w:rPr>
  </w:style>
  <w:style w:type="paragraph" w:styleId="4">
    <w:name w:val="Balloon Text"/>
    <w:basedOn w:val="1"/>
    <w:link w:val="10"/>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0"/>
  </w:style>
  <w:style w:type="character" w:customStyle="1" w:styleId="10">
    <w:name w:val="批注框文本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223</Words>
  <Characters>1273</Characters>
  <Lines>10</Lines>
  <Paragraphs>2</Paragraphs>
  <TotalTime>2</TotalTime>
  <ScaleCrop>false</ScaleCrop>
  <LinksUpToDate>false</LinksUpToDate>
  <CharactersWithSpaces>1494</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2025-05-14T23:54:00Z</dcterms:created>
  <dc:creator>hp</dc:creator>
  <cp:lastModifiedBy>kylin</cp:lastModifiedBy>
  <dcterms:modified xsi:type="dcterms:W3CDTF">2025-12-01T16:45:45Z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