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C71" w:rsidRDefault="003C6C71">
      <w:pPr>
        <w:spacing w:line="570" w:lineRule="exact"/>
        <w:rPr>
          <w:rFonts w:eastAsia="仿宋_GB2312"/>
          <w:b/>
          <w:sz w:val="44"/>
          <w:szCs w:val="44"/>
        </w:rPr>
      </w:pPr>
    </w:p>
    <w:p w:rsidR="00E133F7" w:rsidRPr="0087598D" w:rsidRDefault="00E133F7" w:rsidP="00E133F7">
      <w:pPr>
        <w:pStyle w:val="aa"/>
        <w:adjustRightInd w:val="0"/>
        <w:snapToGrid w:val="0"/>
        <w:spacing w:before="80" w:line="570" w:lineRule="exact"/>
        <w:outlineLvl w:val="9"/>
        <w:rPr>
          <w:rFonts w:ascii="宋体" w:eastAsia="宋体" w:hAnsi="宋体" w:hint="eastAsia"/>
          <w:szCs w:val="44"/>
        </w:rPr>
      </w:pPr>
      <w:r w:rsidRPr="0087598D">
        <w:rPr>
          <w:rFonts w:ascii="宋体" w:eastAsia="宋体" w:hAnsi="宋体" w:hint="eastAsia"/>
          <w:szCs w:val="44"/>
        </w:rPr>
        <w:t>关于印发《常州市美丽乡村发展专项资金管理办法》的通知</w:t>
      </w:r>
    </w:p>
    <w:p w:rsidR="00E133F7" w:rsidRPr="00E133F7" w:rsidRDefault="00E133F7" w:rsidP="00E133F7">
      <w:pPr>
        <w:jc w:val="center"/>
        <w:rPr>
          <w:rFonts w:ascii="楷体_GB2312" w:eastAsia="楷体_GB2312" w:hint="eastAsia"/>
          <w:sz w:val="32"/>
          <w:szCs w:val="32"/>
        </w:rPr>
      </w:pPr>
      <w:r w:rsidRPr="00E133F7">
        <w:rPr>
          <w:rFonts w:ascii="楷体_GB2312" w:eastAsia="楷体_GB2312" w:hint="eastAsia"/>
          <w:sz w:val="32"/>
          <w:szCs w:val="32"/>
        </w:rPr>
        <w:t>常财规〔2021〕5号</w:t>
      </w:r>
    </w:p>
    <w:p w:rsidR="00E133F7" w:rsidRPr="00FE0E28" w:rsidRDefault="00E133F7" w:rsidP="00E133F7">
      <w:pPr>
        <w:adjustRightInd w:val="0"/>
        <w:snapToGrid w:val="0"/>
        <w:spacing w:line="570" w:lineRule="exact"/>
        <w:jc w:val="center"/>
        <w:rPr>
          <w:rFonts w:hint="eastAsia"/>
        </w:rPr>
      </w:pPr>
    </w:p>
    <w:p w:rsidR="00E133F7" w:rsidRPr="00CE3727" w:rsidRDefault="00E133F7" w:rsidP="00E133F7">
      <w:pPr>
        <w:overflowPunct w:val="0"/>
        <w:autoSpaceDE w:val="0"/>
        <w:autoSpaceDN w:val="0"/>
        <w:adjustRightInd w:val="0"/>
        <w:snapToGrid w:val="0"/>
        <w:spacing w:line="570" w:lineRule="exact"/>
        <w:rPr>
          <w:rFonts w:eastAsia="仿宋_GB2312"/>
          <w:sz w:val="32"/>
          <w:szCs w:val="32"/>
        </w:rPr>
      </w:pPr>
      <w:r w:rsidRPr="00CE3727">
        <w:rPr>
          <w:rFonts w:eastAsia="仿宋_GB2312"/>
          <w:sz w:val="32"/>
          <w:szCs w:val="32"/>
        </w:rPr>
        <w:t>各辖市（区）财政局、农业农村局、发改（经发）委（局）：</w:t>
      </w:r>
    </w:p>
    <w:p w:rsidR="00E133F7" w:rsidRPr="00CE3727" w:rsidRDefault="00E133F7" w:rsidP="00E133F7">
      <w:pPr>
        <w:overflowPunct w:val="0"/>
        <w:autoSpaceDE w:val="0"/>
        <w:autoSpaceDN w:val="0"/>
        <w:adjustRightInd w:val="0"/>
        <w:snapToGrid w:val="0"/>
        <w:spacing w:line="570" w:lineRule="exact"/>
        <w:ind w:firstLineChars="200" w:firstLine="640"/>
        <w:rPr>
          <w:rFonts w:eastAsia="仿宋_GB2312"/>
          <w:sz w:val="32"/>
          <w:szCs w:val="32"/>
        </w:rPr>
      </w:pPr>
      <w:r w:rsidRPr="00CE3727">
        <w:rPr>
          <w:rFonts w:eastAsia="仿宋_GB2312"/>
          <w:sz w:val="32"/>
          <w:szCs w:val="32"/>
        </w:rPr>
        <w:t>为加强和规范美丽乡村发展专项资金管理，提高财政资金使用效益，现将《常州市美丽乡村发展专项资金管理办法》印发给你们，请遵照执行。</w:t>
      </w:r>
    </w:p>
    <w:p w:rsidR="00E133F7" w:rsidRPr="00CE3727" w:rsidRDefault="00E133F7" w:rsidP="00E133F7">
      <w:pPr>
        <w:overflowPunct w:val="0"/>
        <w:autoSpaceDE w:val="0"/>
        <w:autoSpaceDN w:val="0"/>
        <w:adjustRightInd w:val="0"/>
        <w:snapToGrid w:val="0"/>
        <w:spacing w:line="570" w:lineRule="exact"/>
        <w:rPr>
          <w:rFonts w:eastAsia="仿宋_GB2312"/>
          <w:sz w:val="32"/>
          <w:szCs w:val="32"/>
        </w:rPr>
      </w:pPr>
    </w:p>
    <w:p w:rsidR="00E133F7" w:rsidRDefault="00E133F7" w:rsidP="00E133F7">
      <w:pPr>
        <w:pStyle w:val="ab"/>
        <w:overflowPunct w:val="0"/>
        <w:autoSpaceDE w:val="0"/>
        <w:autoSpaceDN w:val="0"/>
        <w:adjustRightInd w:val="0"/>
        <w:snapToGrid w:val="0"/>
        <w:ind w:rightChars="0" w:right="0" w:firstLine="800"/>
        <w:jc w:val="both"/>
        <w:rPr>
          <w:rFonts w:ascii="Times New Roman" w:hint="eastAsia"/>
          <w:szCs w:val="32"/>
        </w:rPr>
      </w:pPr>
      <w:r w:rsidRPr="00E20B5A">
        <w:rPr>
          <w:rFonts w:ascii="Times New Roman"/>
          <w:spacing w:val="40"/>
          <w:szCs w:val="32"/>
        </w:rPr>
        <w:t>常州市财政局</w:t>
      </w:r>
      <w:r w:rsidRPr="00CE3727">
        <w:rPr>
          <w:rFonts w:ascii="Times New Roman"/>
          <w:szCs w:val="32"/>
        </w:rPr>
        <w:t xml:space="preserve">            </w:t>
      </w:r>
      <w:r w:rsidRPr="00CE3727">
        <w:rPr>
          <w:rFonts w:ascii="Times New Roman"/>
          <w:szCs w:val="32"/>
        </w:rPr>
        <w:t>常州市农业农村局</w:t>
      </w:r>
    </w:p>
    <w:p w:rsidR="00E133F7" w:rsidRDefault="00E133F7" w:rsidP="00E133F7">
      <w:pPr>
        <w:pStyle w:val="ab"/>
        <w:overflowPunct w:val="0"/>
        <w:autoSpaceDE w:val="0"/>
        <w:autoSpaceDN w:val="0"/>
        <w:adjustRightInd w:val="0"/>
        <w:snapToGrid w:val="0"/>
        <w:ind w:rightChars="0" w:right="0" w:firstLineChars="0" w:firstLine="0"/>
        <w:jc w:val="both"/>
        <w:rPr>
          <w:rFonts w:ascii="Times New Roman" w:hint="eastAsia"/>
          <w:szCs w:val="32"/>
          <w:lang w:eastAsia="zh-CN"/>
        </w:rPr>
      </w:pPr>
    </w:p>
    <w:p w:rsidR="00E133F7" w:rsidRPr="00CE3727" w:rsidRDefault="00E133F7" w:rsidP="00E133F7">
      <w:pPr>
        <w:pStyle w:val="ab"/>
        <w:overflowPunct w:val="0"/>
        <w:autoSpaceDE w:val="0"/>
        <w:autoSpaceDN w:val="0"/>
        <w:adjustRightInd w:val="0"/>
        <w:snapToGrid w:val="0"/>
        <w:ind w:rightChars="0" w:right="0" w:firstLineChars="0" w:firstLine="0"/>
        <w:jc w:val="both"/>
        <w:rPr>
          <w:rFonts w:ascii="Times New Roman" w:hint="eastAsia"/>
          <w:szCs w:val="32"/>
          <w:lang w:eastAsia="zh-CN"/>
        </w:rPr>
      </w:pPr>
    </w:p>
    <w:p w:rsidR="00E133F7" w:rsidRPr="00CE3727" w:rsidRDefault="00E133F7" w:rsidP="00E133F7">
      <w:pPr>
        <w:pStyle w:val="ab"/>
        <w:overflowPunct w:val="0"/>
        <w:autoSpaceDE w:val="0"/>
        <w:autoSpaceDN w:val="0"/>
        <w:adjustRightInd w:val="0"/>
        <w:snapToGrid w:val="0"/>
        <w:ind w:rightChars="271" w:right="569" w:firstLine="640"/>
        <w:rPr>
          <w:rFonts w:ascii="Times New Roman"/>
          <w:szCs w:val="32"/>
        </w:rPr>
      </w:pPr>
      <w:r w:rsidRPr="00CE3727">
        <w:rPr>
          <w:rFonts w:ascii="Times New Roman"/>
          <w:szCs w:val="32"/>
        </w:rPr>
        <w:t>常州市发展和改革委员会</w:t>
      </w:r>
    </w:p>
    <w:p w:rsidR="00E133F7" w:rsidRPr="00CE3727" w:rsidRDefault="00E133F7" w:rsidP="00E133F7">
      <w:pPr>
        <w:pStyle w:val="ab"/>
        <w:overflowPunct w:val="0"/>
        <w:autoSpaceDE w:val="0"/>
        <w:autoSpaceDN w:val="0"/>
        <w:adjustRightInd w:val="0"/>
        <w:snapToGrid w:val="0"/>
        <w:ind w:rightChars="598" w:right="1256" w:firstLine="640"/>
        <w:rPr>
          <w:rFonts w:ascii="Times New Roman"/>
          <w:szCs w:val="32"/>
        </w:rPr>
      </w:pPr>
      <w:r w:rsidRPr="00CE3727">
        <w:rPr>
          <w:rFonts w:ascii="Times New Roman"/>
          <w:szCs w:val="32"/>
        </w:rPr>
        <w:t>2021</w:t>
      </w:r>
      <w:r w:rsidRPr="00CE3727">
        <w:rPr>
          <w:rFonts w:ascii="Times New Roman"/>
          <w:szCs w:val="32"/>
        </w:rPr>
        <w:t>年</w:t>
      </w:r>
      <w:r w:rsidRPr="00CE3727">
        <w:rPr>
          <w:rFonts w:ascii="Times New Roman"/>
          <w:szCs w:val="32"/>
        </w:rPr>
        <w:t>9</w:t>
      </w:r>
      <w:r w:rsidRPr="00CE3727">
        <w:rPr>
          <w:rFonts w:ascii="Times New Roman"/>
          <w:szCs w:val="32"/>
        </w:rPr>
        <w:t>月</w:t>
      </w:r>
      <w:r w:rsidRPr="00CE3727">
        <w:rPr>
          <w:rFonts w:ascii="Times New Roman"/>
          <w:szCs w:val="32"/>
          <w:lang w:val="en-US" w:eastAsia="zh-CN"/>
        </w:rPr>
        <w:t>27</w:t>
      </w:r>
      <w:r w:rsidRPr="00CE3727">
        <w:rPr>
          <w:rFonts w:ascii="Times New Roman"/>
          <w:szCs w:val="32"/>
        </w:rPr>
        <w:t>日</w:t>
      </w:r>
    </w:p>
    <w:p w:rsidR="00E133F7" w:rsidRDefault="00E133F7" w:rsidP="00E133F7">
      <w:pPr>
        <w:spacing w:line="560" w:lineRule="exact"/>
        <w:rPr>
          <w:rFonts w:ascii="黑体" w:eastAsia="黑体" w:hAnsi="黑体" w:hint="eastAsia"/>
          <w:sz w:val="32"/>
          <w:szCs w:val="32"/>
        </w:rPr>
      </w:pPr>
    </w:p>
    <w:p w:rsidR="00E133F7" w:rsidRDefault="00E133F7" w:rsidP="00E133F7">
      <w:pPr>
        <w:spacing w:line="560" w:lineRule="exact"/>
        <w:rPr>
          <w:rFonts w:ascii="黑体" w:eastAsia="黑体" w:hAnsi="黑体" w:hint="eastAsia"/>
          <w:sz w:val="32"/>
          <w:szCs w:val="32"/>
        </w:rPr>
      </w:pPr>
    </w:p>
    <w:p w:rsidR="00E133F7" w:rsidRDefault="00E133F7" w:rsidP="00E133F7">
      <w:pPr>
        <w:spacing w:line="560" w:lineRule="exact"/>
        <w:rPr>
          <w:rFonts w:ascii="黑体" w:eastAsia="黑体" w:hAnsi="黑体" w:hint="eastAsia"/>
          <w:sz w:val="32"/>
          <w:szCs w:val="32"/>
        </w:rPr>
      </w:pPr>
    </w:p>
    <w:p w:rsidR="00E133F7" w:rsidRDefault="00E133F7" w:rsidP="00E133F7">
      <w:pPr>
        <w:spacing w:line="560" w:lineRule="exact"/>
        <w:rPr>
          <w:rFonts w:ascii="黑体" w:eastAsia="黑体" w:hAnsi="黑体" w:hint="eastAsia"/>
          <w:sz w:val="32"/>
          <w:szCs w:val="32"/>
        </w:rPr>
      </w:pPr>
    </w:p>
    <w:p w:rsidR="00E133F7" w:rsidRDefault="00E133F7" w:rsidP="00E133F7">
      <w:pPr>
        <w:spacing w:line="560" w:lineRule="exact"/>
        <w:rPr>
          <w:rFonts w:ascii="黑体" w:eastAsia="黑体" w:hAnsi="黑体" w:hint="eastAsia"/>
          <w:sz w:val="32"/>
          <w:szCs w:val="32"/>
        </w:rPr>
      </w:pPr>
    </w:p>
    <w:p w:rsidR="00E133F7" w:rsidRDefault="00E133F7" w:rsidP="00E133F7">
      <w:pPr>
        <w:pStyle w:val="ac"/>
        <w:spacing w:line="590" w:lineRule="exact"/>
        <w:rPr>
          <w:rFonts w:hint="eastAsia"/>
          <w:snapToGrid w:val="0"/>
        </w:rPr>
      </w:pPr>
      <w:r>
        <w:rPr>
          <w:rFonts w:hint="eastAsia"/>
          <w:snapToGrid w:val="0"/>
        </w:rPr>
        <w:lastRenderedPageBreak/>
        <w:t>常州市美丽乡村发展专项资金管理办法</w:t>
      </w:r>
      <w:bookmarkStart w:id="0" w:name="_GoBack"/>
      <w:bookmarkEnd w:id="0"/>
    </w:p>
    <w:p w:rsidR="00E133F7" w:rsidRPr="000C6501" w:rsidRDefault="00E133F7" w:rsidP="00E133F7">
      <w:pPr>
        <w:adjustRightInd w:val="0"/>
        <w:snapToGrid w:val="0"/>
        <w:spacing w:after="240" w:line="590" w:lineRule="exact"/>
        <w:jc w:val="center"/>
        <w:rPr>
          <w:rFonts w:ascii="黑体" w:eastAsia="黑体" w:hAnsi="黑体" w:hint="eastAsia"/>
          <w:snapToGrid w:val="0"/>
          <w:color w:val="000000"/>
          <w:kern w:val="0"/>
          <w:sz w:val="32"/>
          <w:szCs w:val="32"/>
        </w:rPr>
      </w:pPr>
      <w:r w:rsidRPr="000C6501">
        <w:rPr>
          <w:rFonts w:ascii="黑体" w:eastAsia="黑体" w:hAnsi="黑体" w:hint="eastAsia"/>
          <w:snapToGrid w:val="0"/>
          <w:color w:val="000000"/>
          <w:kern w:val="0"/>
          <w:sz w:val="32"/>
          <w:szCs w:val="32"/>
        </w:rPr>
        <w:t>第一章  总  则</w:t>
      </w:r>
    </w:p>
    <w:p w:rsidR="00E133F7" w:rsidRPr="007269CE" w:rsidRDefault="00E133F7" w:rsidP="00E133F7">
      <w:pPr>
        <w:overflowPunct w:val="0"/>
        <w:autoSpaceDE w:val="0"/>
        <w:autoSpaceDN w:val="0"/>
        <w:adjustRightInd w:val="0"/>
        <w:snapToGrid w:val="0"/>
        <w:spacing w:line="59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第一条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为加强和规范美丽乡村发展专项资金管理，推进资金统筹使用，提高财政资金使用效益，根据《中华人民共和国预算法》、《市政府办公室关于进一步加强市级政府专项资金管理和改革的实施意见》（常政办发〔</w:t>
      </w:r>
      <w:r w:rsidRPr="007269CE">
        <w:rPr>
          <w:rFonts w:eastAsia="仿宋_GB2312"/>
          <w:snapToGrid w:val="0"/>
          <w:color w:val="000000"/>
          <w:kern w:val="0"/>
          <w:sz w:val="32"/>
          <w:szCs w:val="32"/>
        </w:rPr>
        <w:t>2020</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38</w:t>
      </w:r>
      <w:r w:rsidRPr="007269CE">
        <w:rPr>
          <w:rFonts w:eastAsia="仿宋_GB2312"/>
          <w:snapToGrid w:val="0"/>
          <w:color w:val="000000"/>
          <w:kern w:val="0"/>
          <w:sz w:val="32"/>
          <w:szCs w:val="32"/>
        </w:rPr>
        <w:t>号）以及中央和省市有关规定，制定本办法。</w:t>
      </w:r>
    </w:p>
    <w:p w:rsidR="00E133F7" w:rsidRPr="007269CE" w:rsidRDefault="00E133F7" w:rsidP="00E133F7">
      <w:pPr>
        <w:overflowPunct w:val="0"/>
        <w:autoSpaceDE w:val="0"/>
        <w:autoSpaceDN w:val="0"/>
        <w:adjustRightInd w:val="0"/>
        <w:snapToGrid w:val="0"/>
        <w:spacing w:line="59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第二条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市级美丽乡村发展专项资金（以下简称</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美丽乡村发展资金</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是指由市政府批准设立，纳入市级财政预算管理，用于促进美丽乡村示范建设、深化农村人居环境整治、推进城乡融合发展、扶持村集体经济发展的政府专项资金。在符合上级文件相关规定的前提下，可将省级以上（含省级）财政支持我市的相关资金与美丽乡村发展资金统筹使用。</w:t>
      </w:r>
    </w:p>
    <w:p w:rsidR="00E133F7" w:rsidRPr="007269CE" w:rsidRDefault="00E133F7" w:rsidP="00E133F7">
      <w:pPr>
        <w:overflowPunct w:val="0"/>
        <w:autoSpaceDE w:val="0"/>
        <w:autoSpaceDN w:val="0"/>
        <w:adjustRightInd w:val="0"/>
        <w:snapToGrid w:val="0"/>
        <w:spacing w:line="59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第三条</w:t>
      </w:r>
      <w:r w:rsidRPr="007269CE">
        <w:rPr>
          <w:rFonts w:eastAsia="仿宋_GB2312"/>
          <w:snapToGrid w:val="0"/>
          <w:color w:val="000000"/>
          <w:kern w:val="0"/>
          <w:sz w:val="32"/>
          <w:szCs w:val="32"/>
        </w:rPr>
        <w:t xml:space="preserve"> </w:t>
      </w:r>
      <w:r w:rsidRPr="007269CE">
        <w:rPr>
          <w:rFonts w:eastAsia="仿宋_GB2312"/>
          <w:snapToGrid w:val="0"/>
          <w:kern w:val="0"/>
          <w:sz w:val="32"/>
          <w:szCs w:val="32"/>
        </w:rPr>
        <w:t xml:space="preserve"> </w:t>
      </w:r>
      <w:r w:rsidRPr="007269CE">
        <w:rPr>
          <w:rFonts w:eastAsia="仿宋_GB2312"/>
          <w:snapToGrid w:val="0"/>
          <w:kern w:val="0"/>
          <w:sz w:val="32"/>
          <w:szCs w:val="32"/>
        </w:rPr>
        <w:t>美丽乡村发展资金由市财政局会同市农业农村局、市发改委（</w:t>
      </w:r>
      <w:r w:rsidRPr="007269CE">
        <w:rPr>
          <w:rFonts w:eastAsia="仿宋_GB2312"/>
          <w:snapToGrid w:val="0"/>
          <w:color w:val="000000"/>
          <w:kern w:val="0"/>
          <w:sz w:val="32"/>
          <w:szCs w:val="32"/>
        </w:rPr>
        <w:t>以下简称</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业务主管部门</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）按照</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政策目标明确、分配办法科学、支出方向协调、绩效结果导向</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的原则分配、使用和管理，实行</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大专项</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任务清单</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管理方式。</w:t>
      </w:r>
    </w:p>
    <w:p w:rsidR="00E133F7" w:rsidRPr="007269CE" w:rsidRDefault="00E133F7" w:rsidP="00E133F7">
      <w:pPr>
        <w:overflowPunct w:val="0"/>
        <w:autoSpaceDE w:val="0"/>
        <w:autoSpaceDN w:val="0"/>
        <w:adjustRightInd w:val="0"/>
        <w:snapToGrid w:val="0"/>
        <w:spacing w:before="240" w:after="240" w:line="590" w:lineRule="exact"/>
        <w:jc w:val="center"/>
        <w:rPr>
          <w:rFonts w:eastAsia="黑体"/>
          <w:snapToGrid w:val="0"/>
          <w:color w:val="000000"/>
          <w:kern w:val="0"/>
          <w:sz w:val="32"/>
          <w:szCs w:val="32"/>
        </w:rPr>
      </w:pPr>
      <w:r w:rsidRPr="007269CE">
        <w:rPr>
          <w:rFonts w:eastAsia="黑体" w:hAnsi="黑体"/>
          <w:snapToGrid w:val="0"/>
          <w:color w:val="000000"/>
          <w:kern w:val="0"/>
          <w:sz w:val="32"/>
          <w:szCs w:val="32"/>
        </w:rPr>
        <w:t>第二章</w:t>
      </w:r>
      <w:r w:rsidRPr="007269CE">
        <w:rPr>
          <w:rFonts w:eastAsia="黑体"/>
          <w:snapToGrid w:val="0"/>
          <w:color w:val="000000"/>
          <w:kern w:val="0"/>
          <w:sz w:val="32"/>
          <w:szCs w:val="32"/>
        </w:rPr>
        <w:t xml:space="preserve">  </w:t>
      </w:r>
      <w:r w:rsidRPr="007269CE">
        <w:rPr>
          <w:rFonts w:eastAsia="黑体" w:hAnsi="黑体"/>
          <w:snapToGrid w:val="0"/>
          <w:color w:val="000000"/>
          <w:kern w:val="0"/>
          <w:sz w:val="32"/>
          <w:szCs w:val="32"/>
        </w:rPr>
        <w:t>管理职责</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第四条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按照</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谁使用、谁管理、谁负责</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原则，市财政局、</w:t>
      </w:r>
      <w:r w:rsidRPr="007269CE">
        <w:rPr>
          <w:rFonts w:eastAsia="仿宋_GB2312"/>
          <w:snapToGrid w:val="0"/>
          <w:color w:val="000000"/>
          <w:kern w:val="0"/>
          <w:sz w:val="32"/>
          <w:szCs w:val="32"/>
        </w:rPr>
        <w:lastRenderedPageBreak/>
        <w:t>市业务主管部门按照各自职责分工各负其责，密切配合，协同做好美丽乡村发展资金的管理工作。</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一）市财政局职责：组织年度预算编制；会同市业务主管部门制定资金管理办法；配合市业务主管部门制定年度专项实施意见（申报指南）；审核资金分配建议方案；组织分配及下达资金；组织开展绩效管理；监督资金管理情况；依法依规公开相关信息。</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二）市业务主管部门职责：编报年度预算；制定项目管理办法；参与制定资金管理办法；会同市财政局制定年度专项实施意见（申报指南）；提出资金分配建议和任务清单方案；监督以工作落实为主的专项实施情况；按规定实施绩效管理；依法依规公开相关信息。</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第五条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辖市（区）财政部门、业务主管部门的职责，由各地依据本办法，结合实际工作需要，参照市财政局、市业务主管部门的分工，按照权责对等的原则，具体落实资金使用管理、项目实施管理、绩效管理等监督责任。</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第六条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美丽乡村发展资金使用单位负责项目具体实施，并承担以下责任和义务：</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（一）根据年度专项实施意见（申报指南）和相关规定申报项目、组织项目实施工作，对项目申报、实施的真实性、可行性、</w:t>
      </w:r>
      <w:r w:rsidRPr="007269CE">
        <w:rPr>
          <w:rFonts w:eastAsia="仿宋_GB2312"/>
          <w:snapToGrid w:val="0"/>
          <w:color w:val="000000"/>
          <w:kern w:val="0"/>
          <w:sz w:val="32"/>
          <w:szCs w:val="32"/>
        </w:rPr>
        <w:lastRenderedPageBreak/>
        <w:t>合规性和完整性负责，是项目实施和资金使用管理的责任主体；</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（二）根据相关项目管理规定，依法依规组织项目实施，负责项目日常管理；</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（三）按规定使用项目资金，负责项目资金的财务管理和会计核算；</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（四）主动接受和配合相关部门对项目实施绩效管理、验收考核、监督检查和审计等工作；</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（五）法律、法规、规章规定的其他职责。</w:t>
      </w:r>
    </w:p>
    <w:p w:rsidR="00E133F7" w:rsidRPr="007269CE" w:rsidRDefault="00E133F7" w:rsidP="00E133F7">
      <w:pPr>
        <w:overflowPunct w:val="0"/>
        <w:autoSpaceDE w:val="0"/>
        <w:autoSpaceDN w:val="0"/>
        <w:adjustRightInd w:val="0"/>
        <w:snapToGrid w:val="0"/>
        <w:spacing w:before="240" w:after="240" w:line="570" w:lineRule="exact"/>
        <w:jc w:val="center"/>
        <w:rPr>
          <w:rFonts w:eastAsia="黑体" w:hAnsi="黑体"/>
          <w:snapToGrid w:val="0"/>
          <w:color w:val="000000"/>
          <w:kern w:val="0"/>
          <w:sz w:val="32"/>
          <w:szCs w:val="32"/>
        </w:rPr>
      </w:pPr>
      <w:r w:rsidRPr="007269CE">
        <w:rPr>
          <w:rFonts w:eastAsia="黑体" w:hAnsi="黑体"/>
          <w:snapToGrid w:val="0"/>
          <w:color w:val="000000"/>
          <w:kern w:val="0"/>
          <w:sz w:val="32"/>
          <w:szCs w:val="32"/>
        </w:rPr>
        <w:t>第三章</w:t>
      </w:r>
      <w:r w:rsidRPr="007269CE">
        <w:rPr>
          <w:rFonts w:eastAsia="黑体" w:hAnsi="黑体"/>
          <w:snapToGrid w:val="0"/>
          <w:color w:val="000000"/>
          <w:kern w:val="0"/>
          <w:sz w:val="32"/>
          <w:szCs w:val="32"/>
        </w:rPr>
        <w:t xml:space="preserve">  </w:t>
      </w:r>
      <w:r w:rsidRPr="007269CE">
        <w:rPr>
          <w:rFonts w:eastAsia="黑体" w:hAnsi="黑体"/>
          <w:snapToGrid w:val="0"/>
          <w:color w:val="000000"/>
          <w:kern w:val="0"/>
          <w:sz w:val="32"/>
          <w:szCs w:val="32"/>
        </w:rPr>
        <w:t>资金支出范围</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spacing w:val="-5"/>
          <w:kern w:val="0"/>
          <w:sz w:val="32"/>
          <w:szCs w:val="32"/>
        </w:rPr>
      </w:pPr>
      <w:r w:rsidRPr="007269CE">
        <w:rPr>
          <w:rFonts w:eastAsia="楷体_GB2312"/>
          <w:b/>
          <w:snapToGrid w:val="0"/>
          <w:color w:val="000000"/>
          <w:kern w:val="0"/>
          <w:sz w:val="32"/>
          <w:szCs w:val="32"/>
        </w:rPr>
        <w:t>第七条</w:t>
      </w:r>
      <w:r w:rsidRPr="007269CE">
        <w:rPr>
          <w:rFonts w:eastAsia="仿宋_GB2312"/>
          <w:snapToGrid w:val="0"/>
          <w:color w:val="000000"/>
          <w:spacing w:val="-5"/>
          <w:kern w:val="0"/>
          <w:sz w:val="32"/>
          <w:szCs w:val="32"/>
        </w:rPr>
        <w:t xml:space="preserve">  </w:t>
      </w:r>
      <w:r w:rsidRPr="007269CE">
        <w:rPr>
          <w:rFonts w:eastAsia="仿宋_GB2312"/>
          <w:snapToGrid w:val="0"/>
          <w:color w:val="000000"/>
          <w:spacing w:val="-5"/>
          <w:kern w:val="0"/>
          <w:sz w:val="32"/>
          <w:szCs w:val="32"/>
        </w:rPr>
        <w:t>美丽乡村发展资金支出范围主要包括美丽乡村建设、扶持村集体经济发展（包括经济相对薄弱村）、推进城乡融合发展、农村人居环境整治等方面。</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（一）美丽乡村建设。主要用于规划编制、公共服务提升、乡村文化传承建设补助等。</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（二）扶持村集体经济发展（包括经济相对薄弱村）。主要用于壮大村集体经济发展的项目投入、支持农村体制机制改革创新、茅山老区乡村振兴提升等。</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（三）推进城乡融合发展。主要用于农村公共基础设施管护，开展公共基础设施城乡一体化管护体制改革试点；开展农村公共服务标准化、均等化建设工作试点等。</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u w:color="FFFFFF"/>
        </w:rPr>
      </w:pPr>
      <w:r w:rsidRPr="007269CE">
        <w:rPr>
          <w:rFonts w:eastAsia="仿宋_GB2312"/>
          <w:snapToGrid w:val="0"/>
          <w:color w:val="000000"/>
          <w:kern w:val="0"/>
          <w:sz w:val="32"/>
          <w:szCs w:val="32"/>
        </w:rPr>
        <w:lastRenderedPageBreak/>
        <w:t>（四）农村人居环境整治。主要用于推进实施农村人居环境整治提升五年行动</w:t>
      </w:r>
      <w:r w:rsidRPr="007269CE">
        <w:rPr>
          <w:rFonts w:eastAsia="仿宋_GB2312"/>
          <w:snapToGrid w:val="0"/>
          <w:color w:val="000000"/>
          <w:kern w:val="0"/>
          <w:sz w:val="32"/>
          <w:szCs w:val="32"/>
          <w:u w:color="FFFFFF"/>
        </w:rPr>
        <w:t>等。</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仿宋_GB2312"/>
          <w:snapToGrid w:val="0"/>
          <w:color w:val="000000"/>
          <w:kern w:val="0"/>
          <w:sz w:val="32"/>
          <w:szCs w:val="32"/>
        </w:rPr>
        <w:t>（五）其他与美丽乡村发展相关的任务与项目。</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第八条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美丽乡村发展资金实行</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大专项</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任务清单</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管理模式。任务清单分为约束性任务和指导性任务，实行差别化管理。约束性任务是指为贯彻落实党中央、国务院、省委、省政府和市委、市政府决策部署而组织实施的涉及国计民生的事项、重大规划任务、新设试点任务等；指导性任务是指约束性任务以外的其他任务。建立任务清单定期调整优化机制。</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第九条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美丽乡村发展资金不得用于兴建楼堂馆所、弥补部门预算支出缺口等与美丽乡村发展无关的支出。</w:t>
      </w:r>
    </w:p>
    <w:p w:rsidR="00E133F7" w:rsidRPr="007269CE" w:rsidRDefault="00E133F7" w:rsidP="00E133F7">
      <w:pPr>
        <w:overflowPunct w:val="0"/>
        <w:autoSpaceDE w:val="0"/>
        <w:autoSpaceDN w:val="0"/>
        <w:adjustRightInd w:val="0"/>
        <w:snapToGrid w:val="0"/>
        <w:spacing w:before="240" w:after="240" w:line="570" w:lineRule="exact"/>
        <w:jc w:val="center"/>
        <w:rPr>
          <w:rFonts w:eastAsia="黑体" w:hAnsi="黑体"/>
          <w:snapToGrid w:val="0"/>
          <w:color w:val="000000"/>
          <w:kern w:val="0"/>
          <w:sz w:val="32"/>
          <w:szCs w:val="32"/>
        </w:rPr>
      </w:pPr>
      <w:r w:rsidRPr="007269CE">
        <w:rPr>
          <w:rFonts w:eastAsia="黑体" w:hAnsi="黑体"/>
          <w:snapToGrid w:val="0"/>
          <w:color w:val="000000"/>
          <w:kern w:val="0"/>
          <w:sz w:val="32"/>
          <w:szCs w:val="32"/>
        </w:rPr>
        <w:t>第四章</w:t>
      </w:r>
      <w:r w:rsidRPr="007269CE">
        <w:rPr>
          <w:rFonts w:eastAsia="黑体" w:hAnsi="黑体"/>
          <w:snapToGrid w:val="0"/>
          <w:color w:val="000000"/>
          <w:kern w:val="0"/>
          <w:sz w:val="32"/>
          <w:szCs w:val="32"/>
        </w:rPr>
        <w:t xml:space="preserve">  </w:t>
      </w:r>
      <w:r w:rsidRPr="007269CE">
        <w:rPr>
          <w:rFonts w:eastAsia="黑体" w:hAnsi="黑体"/>
          <w:snapToGrid w:val="0"/>
          <w:color w:val="000000"/>
          <w:kern w:val="0"/>
          <w:sz w:val="32"/>
          <w:szCs w:val="32"/>
        </w:rPr>
        <w:t>资金分配和下达</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美丽乡村发展资金按因素法和项目法进行分配。</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spacing w:val="-5"/>
          <w:kern w:val="0"/>
          <w:sz w:val="32"/>
          <w:szCs w:val="32"/>
        </w:rPr>
      </w:pPr>
      <w:r w:rsidRPr="007269CE">
        <w:rPr>
          <w:rFonts w:eastAsia="仿宋_GB2312"/>
          <w:snapToGrid w:val="0"/>
          <w:color w:val="000000"/>
          <w:spacing w:val="-5"/>
          <w:kern w:val="0"/>
          <w:sz w:val="32"/>
          <w:szCs w:val="32"/>
        </w:rPr>
        <w:t>采用因素法分配的资金，分配因素一般包括综合性因素、绩效评价因素、个性化因素等。综合性因素以各地农业农村基础（如耕地面积、种养殖规模、乡村人口、集体经济组织规模等）为主要因素。个性化因素以农业农村现代化规划、当年工作目标任务、政策扶持导向等为主要因素。实施因素法分配的资金由市业务主管部门提出资金分配因素、权重及分配建议；采取项目法分配的资金，其中</w:t>
      </w:r>
      <w:r w:rsidRPr="007269CE">
        <w:rPr>
          <w:rFonts w:eastAsia="仿宋_GB2312"/>
          <w:snapToGrid w:val="0"/>
          <w:color w:val="000000"/>
          <w:spacing w:val="-5"/>
          <w:kern w:val="0"/>
          <w:sz w:val="32"/>
          <w:szCs w:val="32"/>
        </w:rPr>
        <w:t>“</w:t>
      </w:r>
      <w:r w:rsidRPr="007269CE">
        <w:rPr>
          <w:rFonts w:eastAsia="仿宋_GB2312"/>
          <w:snapToGrid w:val="0"/>
          <w:color w:val="000000"/>
          <w:spacing w:val="-5"/>
          <w:kern w:val="0"/>
          <w:sz w:val="32"/>
          <w:szCs w:val="32"/>
        </w:rPr>
        <w:t>先建后补</w:t>
      </w:r>
      <w:r w:rsidRPr="007269CE">
        <w:rPr>
          <w:rFonts w:eastAsia="仿宋_GB2312"/>
          <w:snapToGrid w:val="0"/>
          <w:color w:val="000000"/>
          <w:spacing w:val="-5"/>
          <w:kern w:val="0"/>
          <w:sz w:val="32"/>
          <w:szCs w:val="32"/>
        </w:rPr>
        <w:t>”</w:t>
      </w:r>
      <w:r w:rsidRPr="007269CE">
        <w:rPr>
          <w:rFonts w:eastAsia="仿宋_GB2312"/>
          <w:snapToGrid w:val="0"/>
          <w:color w:val="000000"/>
          <w:spacing w:val="-5"/>
          <w:kern w:val="0"/>
          <w:sz w:val="32"/>
          <w:szCs w:val="32"/>
        </w:rPr>
        <w:t>类项目通过常州市</w:t>
      </w:r>
      <w:r w:rsidRPr="007269CE">
        <w:rPr>
          <w:rFonts w:eastAsia="仿宋_GB2312"/>
          <w:snapToGrid w:val="0"/>
          <w:color w:val="000000"/>
          <w:spacing w:val="-5"/>
          <w:kern w:val="0"/>
          <w:sz w:val="32"/>
          <w:szCs w:val="32"/>
        </w:rPr>
        <w:t>“</w:t>
      </w:r>
      <w:r w:rsidRPr="007269CE">
        <w:rPr>
          <w:rFonts w:eastAsia="仿宋_GB2312"/>
          <w:snapToGrid w:val="0"/>
          <w:color w:val="000000"/>
          <w:spacing w:val="-5"/>
          <w:kern w:val="0"/>
          <w:sz w:val="32"/>
          <w:szCs w:val="32"/>
        </w:rPr>
        <w:t>三农</w:t>
      </w:r>
      <w:r w:rsidRPr="007269CE">
        <w:rPr>
          <w:rFonts w:eastAsia="仿宋_GB2312"/>
          <w:snapToGrid w:val="0"/>
          <w:color w:val="000000"/>
          <w:spacing w:val="-5"/>
          <w:kern w:val="0"/>
          <w:sz w:val="32"/>
          <w:szCs w:val="32"/>
        </w:rPr>
        <w:t>”</w:t>
      </w:r>
      <w:r w:rsidRPr="007269CE">
        <w:rPr>
          <w:rFonts w:eastAsia="仿宋_GB2312"/>
          <w:snapToGrid w:val="0"/>
          <w:color w:val="000000"/>
          <w:spacing w:val="-5"/>
          <w:kern w:val="0"/>
          <w:sz w:val="32"/>
          <w:szCs w:val="32"/>
        </w:rPr>
        <w:t>项目管理平台进行线上</w:t>
      </w:r>
      <w:r w:rsidRPr="007269CE">
        <w:rPr>
          <w:rFonts w:eastAsia="仿宋_GB2312"/>
          <w:snapToGrid w:val="0"/>
          <w:color w:val="000000"/>
          <w:spacing w:val="-5"/>
          <w:kern w:val="0"/>
          <w:sz w:val="32"/>
          <w:szCs w:val="32"/>
        </w:rPr>
        <w:lastRenderedPageBreak/>
        <w:t>线下同步管理。其他项目按程序规定由相应层级的业务主管部门组织立项评审，并及时将项目申报、评审、验收情况送同级</w:t>
      </w:r>
      <w:r w:rsidRPr="007269CE">
        <w:rPr>
          <w:rFonts w:eastAsia="仿宋_GB2312"/>
          <w:snapToGrid w:val="0"/>
          <w:spacing w:val="-5"/>
          <w:kern w:val="0"/>
          <w:sz w:val="32"/>
          <w:szCs w:val="32"/>
        </w:rPr>
        <w:t>财政部门</w:t>
      </w:r>
      <w:r w:rsidRPr="007269CE">
        <w:rPr>
          <w:rFonts w:eastAsia="仿宋_GB2312"/>
          <w:snapToGrid w:val="0"/>
          <w:color w:val="0000FF"/>
          <w:spacing w:val="-5"/>
          <w:kern w:val="0"/>
          <w:sz w:val="32"/>
          <w:szCs w:val="32"/>
        </w:rPr>
        <w:t>。</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第十一条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市业务主管部门在年度预算批准后，商市财政局制定专项实施意见（申报指南）。提出资金分配建议，报市财政局审核。市财政局根据年度预算安排和市业务主管部门提出的分配建议，审核下达各辖市（区）财政部门或项目实施单位。财政部门应强化专项资金监管，通过专项核查、实地调研等方式，了解项目实施、资金使用等情况，保障财政资金安全。</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第十二条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对辖市（区）的补助资金通过财政专项转移支付下达，由各辖市（区）按照具体项目管理要求和国库集中支付有关规定及时拨付给项目实施单位和补助对象；对市直管理单位的补助资金，按照市级国库集中支付的规定办理。</w:t>
      </w:r>
    </w:p>
    <w:p w:rsidR="00E133F7" w:rsidRPr="007269CE" w:rsidRDefault="00E133F7" w:rsidP="00E133F7">
      <w:pPr>
        <w:overflowPunct w:val="0"/>
        <w:autoSpaceDE w:val="0"/>
        <w:autoSpaceDN w:val="0"/>
        <w:adjustRightInd w:val="0"/>
        <w:snapToGrid w:val="0"/>
        <w:spacing w:before="240" w:after="240" w:line="570" w:lineRule="exact"/>
        <w:jc w:val="center"/>
        <w:rPr>
          <w:rFonts w:eastAsia="黑体" w:hAnsi="黑体"/>
          <w:snapToGrid w:val="0"/>
          <w:color w:val="000000"/>
          <w:kern w:val="0"/>
          <w:sz w:val="32"/>
          <w:szCs w:val="32"/>
        </w:rPr>
      </w:pPr>
      <w:r w:rsidRPr="007269CE">
        <w:rPr>
          <w:rFonts w:eastAsia="黑体" w:hAnsi="黑体"/>
          <w:snapToGrid w:val="0"/>
          <w:color w:val="000000"/>
          <w:kern w:val="0"/>
          <w:sz w:val="32"/>
          <w:szCs w:val="32"/>
        </w:rPr>
        <w:t>第五章</w:t>
      </w:r>
      <w:r w:rsidRPr="007269CE">
        <w:rPr>
          <w:rFonts w:eastAsia="黑体" w:hAnsi="黑体"/>
          <w:snapToGrid w:val="0"/>
          <w:color w:val="000000"/>
          <w:kern w:val="0"/>
          <w:sz w:val="32"/>
          <w:szCs w:val="32"/>
        </w:rPr>
        <w:t xml:space="preserve">  </w:t>
      </w:r>
      <w:r w:rsidRPr="007269CE">
        <w:rPr>
          <w:rFonts w:eastAsia="黑体" w:hAnsi="黑体"/>
          <w:snapToGrid w:val="0"/>
          <w:color w:val="000000"/>
          <w:kern w:val="0"/>
          <w:sz w:val="32"/>
          <w:szCs w:val="32"/>
        </w:rPr>
        <w:t>资金使用和管理</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第十三条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美丽乡村发展资金除用于约束性任务的资金不得统筹以外，其余资金可在本办法规定的支出范围内统筹使用。</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第十四条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美丽乡村发展资金可采取直接补助、以奖代补、政府购买服务、先建后补等支持方式。各辖市（区）财政部门根据项目类别，按市有关规定及时拨付资金。</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第十五条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各辖市（区）业务主管部门应会同财政部门根据实施意见、任务清单和绩效目标等，结合当地财政预算安排情况</w:t>
      </w:r>
      <w:r w:rsidRPr="007269CE">
        <w:rPr>
          <w:rFonts w:eastAsia="仿宋_GB2312"/>
          <w:snapToGrid w:val="0"/>
          <w:color w:val="000000"/>
          <w:kern w:val="0"/>
          <w:sz w:val="32"/>
          <w:szCs w:val="32"/>
        </w:rPr>
        <w:lastRenderedPageBreak/>
        <w:t>和本地实际，制定项目实施方案，并在规定时间内，报送市业务主管部门、市财政局。</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第十六条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各级业务主管部门应当组织核实资金支持对象的资格、条件，核查工作任务完成情况，为财政部门按规定拨付资金提供依据。各级财政部门根据业务主管部门提交的资金使用计划按规定拨付资金。</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第十七条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各级财政部门要按规定加快项目资金拨付进度，不得无故滞留、拖延资金拨付，提高资金使用效益。对直接补贴到企业、个人的资金，应当在规定时间内补助到企业和个人。</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第十八条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项目实施单位要加强资金核算和管理，严格按照规定用途使用资金。项目实施方案原则上不得变更，在项目执行期限内，因政策或规划调整、重大自然灾害等确需变更的，由实施单位提出项目实施方案变更申请，负责项目实施方案批复的单位审批。</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FF"/>
          <w:kern w:val="0"/>
          <w:sz w:val="32"/>
          <w:szCs w:val="32"/>
        </w:rPr>
      </w:pPr>
      <w:r w:rsidRPr="007269CE">
        <w:rPr>
          <w:rFonts w:eastAsia="楷体_GB2312"/>
          <w:b/>
          <w:snapToGrid w:val="0"/>
          <w:color w:val="000000"/>
          <w:kern w:val="0"/>
          <w:sz w:val="32"/>
          <w:szCs w:val="32"/>
        </w:rPr>
        <w:t>第十九条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专项资金应确保预算指标在当年</w:t>
      </w:r>
      <w:r w:rsidRPr="007269CE">
        <w:rPr>
          <w:rFonts w:eastAsia="仿宋_GB2312"/>
          <w:snapToGrid w:val="0"/>
          <w:color w:val="000000"/>
          <w:kern w:val="0"/>
          <w:sz w:val="32"/>
          <w:szCs w:val="32"/>
        </w:rPr>
        <w:t>6</w:t>
      </w:r>
      <w:r w:rsidRPr="007269CE">
        <w:rPr>
          <w:rFonts w:eastAsia="仿宋_GB2312"/>
          <w:snapToGrid w:val="0"/>
          <w:color w:val="000000"/>
          <w:kern w:val="0"/>
          <w:sz w:val="32"/>
          <w:szCs w:val="32"/>
        </w:rPr>
        <w:t>月</w:t>
      </w:r>
      <w:r w:rsidRPr="007269CE">
        <w:rPr>
          <w:rFonts w:eastAsia="仿宋_GB2312"/>
          <w:snapToGrid w:val="0"/>
          <w:color w:val="000000"/>
          <w:kern w:val="0"/>
          <w:sz w:val="32"/>
          <w:szCs w:val="32"/>
        </w:rPr>
        <w:t>30</w:t>
      </w:r>
      <w:r w:rsidRPr="007269CE">
        <w:rPr>
          <w:rFonts w:eastAsia="仿宋_GB2312"/>
          <w:snapToGrid w:val="0"/>
          <w:color w:val="000000"/>
          <w:kern w:val="0"/>
          <w:sz w:val="32"/>
          <w:szCs w:val="32"/>
        </w:rPr>
        <w:t>日前分解下达，超过</w:t>
      </w:r>
      <w:r w:rsidRPr="007269CE">
        <w:rPr>
          <w:rFonts w:eastAsia="仿宋_GB2312"/>
          <w:snapToGrid w:val="0"/>
          <w:color w:val="000000"/>
          <w:kern w:val="0"/>
          <w:sz w:val="32"/>
          <w:szCs w:val="32"/>
        </w:rPr>
        <w:t>9</w:t>
      </w:r>
      <w:r w:rsidRPr="007269CE">
        <w:rPr>
          <w:rFonts w:eastAsia="仿宋_GB2312"/>
          <w:snapToGrid w:val="0"/>
          <w:color w:val="000000"/>
          <w:kern w:val="0"/>
          <w:sz w:val="32"/>
          <w:szCs w:val="32"/>
        </w:rPr>
        <w:t>月</w:t>
      </w:r>
      <w:r w:rsidRPr="007269CE">
        <w:rPr>
          <w:rFonts w:eastAsia="仿宋_GB2312"/>
          <w:snapToGrid w:val="0"/>
          <w:color w:val="000000"/>
          <w:kern w:val="0"/>
          <w:sz w:val="32"/>
          <w:szCs w:val="32"/>
        </w:rPr>
        <w:t>30</w:t>
      </w:r>
      <w:r w:rsidRPr="007269CE">
        <w:rPr>
          <w:rFonts w:eastAsia="仿宋_GB2312"/>
          <w:snapToGrid w:val="0"/>
          <w:color w:val="000000"/>
          <w:kern w:val="0"/>
          <w:sz w:val="32"/>
          <w:szCs w:val="32"/>
        </w:rPr>
        <w:t>日仍未下达预算的项目，财政部门将按规定程序收回统筹使用</w:t>
      </w:r>
      <w:r w:rsidRPr="007269CE">
        <w:rPr>
          <w:rFonts w:eastAsia="仿宋_GB2312"/>
          <w:snapToGrid w:val="0"/>
          <w:kern w:val="0"/>
          <w:sz w:val="32"/>
          <w:szCs w:val="32"/>
        </w:rPr>
        <w:t>。项目资金出现结转或结余的，按结转结余资金有关规定执行。</w:t>
      </w:r>
    </w:p>
    <w:p w:rsidR="00E133F7" w:rsidRPr="007269CE" w:rsidRDefault="00E133F7" w:rsidP="00E133F7">
      <w:pPr>
        <w:overflowPunct w:val="0"/>
        <w:autoSpaceDE w:val="0"/>
        <w:autoSpaceDN w:val="0"/>
        <w:adjustRightInd w:val="0"/>
        <w:snapToGrid w:val="0"/>
        <w:spacing w:before="240" w:after="240" w:line="570" w:lineRule="exact"/>
        <w:jc w:val="center"/>
        <w:rPr>
          <w:rFonts w:eastAsia="黑体" w:hAnsi="黑体"/>
          <w:snapToGrid w:val="0"/>
          <w:color w:val="000000"/>
          <w:kern w:val="0"/>
          <w:sz w:val="32"/>
          <w:szCs w:val="32"/>
        </w:rPr>
      </w:pPr>
      <w:r w:rsidRPr="007269CE">
        <w:rPr>
          <w:rFonts w:eastAsia="黑体" w:hAnsi="黑体"/>
          <w:snapToGrid w:val="0"/>
          <w:color w:val="000000"/>
          <w:kern w:val="0"/>
          <w:sz w:val="32"/>
          <w:szCs w:val="32"/>
        </w:rPr>
        <w:t>第六章</w:t>
      </w:r>
      <w:r w:rsidRPr="007269CE">
        <w:rPr>
          <w:rFonts w:eastAsia="黑体" w:hAnsi="黑体"/>
          <w:snapToGrid w:val="0"/>
          <w:color w:val="000000"/>
          <w:kern w:val="0"/>
          <w:sz w:val="32"/>
          <w:szCs w:val="32"/>
        </w:rPr>
        <w:t xml:space="preserve">  </w:t>
      </w:r>
      <w:r w:rsidRPr="007269CE">
        <w:rPr>
          <w:rFonts w:eastAsia="黑体" w:hAnsi="黑体"/>
          <w:snapToGrid w:val="0"/>
          <w:color w:val="000000"/>
          <w:kern w:val="0"/>
          <w:sz w:val="32"/>
          <w:szCs w:val="32"/>
        </w:rPr>
        <w:t>绩效管理和财政监督</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第二十条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财政部门和业务主管部门要按照市全面深化预</w:t>
      </w:r>
      <w:r w:rsidRPr="007269CE">
        <w:rPr>
          <w:rFonts w:eastAsia="仿宋_GB2312"/>
          <w:snapToGrid w:val="0"/>
          <w:color w:val="000000"/>
          <w:kern w:val="0"/>
          <w:sz w:val="32"/>
          <w:szCs w:val="32"/>
        </w:rPr>
        <w:lastRenderedPageBreak/>
        <w:t>算绩效管理意见要求和项目预算绩效管理相关规定，对美丽乡村发展资金实施全过程绩效管理。按照</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谁使用、谁负责</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原则将项目预算绩效职责落实到资金使用终端。业务主管部门要研究建立完善绩效指标和标准体系，随预算同步组织绩效目标编报、审核。财政部门加强预算绩效目标评审，根据评审结果优化预算安排。业务主管部门要对绩效目标实现程度和预算执行进度实行</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双监控</w:t>
      </w:r>
      <w:r w:rsidRPr="007269CE">
        <w:rPr>
          <w:rFonts w:eastAsia="仿宋_GB2312"/>
          <w:snapToGrid w:val="0"/>
          <w:color w:val="000000"/>
          <w:kern w:val="0"/>
          <w:sz w:val="32"/>
          <w:szCs w:val="32"/>
        </w:rPr>
        <w:t>”</w:t>
      </w:r>
      <w:r w:rsidRPr="007269CE">
        <w:rPr>
          <w:rFonts w:eastAsia="仿宋_GB2312"/>
          <w:snapToGrid w:val="0"/>
          <w:color w:val="000000"/>
          <w:kern w:val="0"/>
          <w:sz w:val="32"/>
          <w:szCs w:val="32"/>
        </w:rPr>
        <w:t>，保证绩效目标如期保质保量实现。财政部门和业务主管部门要在各自职责范围内组织开展绩效评价工作，全面评价项目绩效目标实现情况，并加强对相关政策的评价。</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第二十一条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财政部门和业务主管部门要加强绩效评价结果应用和绩效信息公开。财政部门要将评价结果与预算安排和政策调整挂钩，着力提升财政资金配置效率和使用效益。业务主管部门要将评价结果作为完善政策和改进管理的重要依据，对评价中发现的问题及时整改，并根据相关规定公开项目预算绩效信息，接受社会监督。</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第二十二条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级财政部门、业务主管部门及其工作人员在美丽乡村发展资金管理工作中，存在违反规定分配资金、滥用职权、玩忽职守、徇私舞弊等违法违规行为的，按照《中华人民共和国预算法》《财政违法行为处罚处分条例》等有关规定追究相应责任；构成犯罪的，依法追究刑事责任。</w:t>
      </w:r>
      <w:r w:rsidRPr="007269CE">
        <w:rPr>
          <w:rFonts w:eastAsia="仿宋_GB2312"/>
          <w:snapToGrid w:val="0"/>
          <w:color w:val="000000"/>
          <w:kern w:val="0"/>
          <w:sz w:val="32"/>
          <w:szCs w:val="32"/>
        </w:rPr>
        <w:t xml:space="preserve"> </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lastRenderedPageBreak/>
        <w:t>第二十三条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资金使用单位和个人虚报冒领、骗取套取、挤占挪用美丽乡村发展资金，以及存在其他违反本办法规定行为的，按照《中华人民共和国预算法》《财政违法行为处罚处分条例》等有关规定追究相应责任。</w:t>
      </w:r>
      <w:r w:rsidRPr="007269CE">
        <w:rPr>
          <w:rFonts w:eastAsia="仿宋_GB2312"/>
          <w:snapToGrid w:val="0"/>
          <w:kern w:val="0"/>
          <w:sz w:val="32"/>
          <w:szCs w:val="32"/>
        </w:rPr>
        <w:t>对在专项资金使用领域存在违法违规失信行为的，依法依规强化信用约束。</w:t>
      </w:r>
    </w:p>
    <w:p w:rsidR="00E133F7" w:rsidRPr="007269CE" w:rsidRDefault="00E133F7" w:rsidP="00E133F7">
      <w:pPr>
        <w:overflowPunct w:val="0"/>
        <w:autoSpaceDE w:val="0"/>
        <w:autoSpaceDN w:val="0"/>
        <w:adjustRightInd w:val="0"/>
        <w:snapToGrid w:val="0"/>
        <w:spacing w:before="240" w:after="240" w:line="570" w:lineRule="exact"/>
        <w:jc w:val="center"/>
        <w:rPr>
          <w:rFonts w:eastAsia="黑体" w:hAnsi="黑体"/>
          <w:snapToGrid w:val="0"/>
          <w:color w:val="000000"/>
          <w:kern w:val="0"/>
          <w:sz w:val="32"/>
          <w:szCs w:val="32"/>
        </w:rPr>
      </w:pPr>
      <w:r w:rsidRPr="007269CE">
        <w:rPr>
          <w:rFonts w:eastAsia="黑体" w:hAnsi="黑体"/>
          <w:snapToGrid w:val="0"/>
          <w:color w:val="000000"/>
          <w:kern w:val="0"/>
          <w:sz w:val="32"/>
          <w:szCs w:val="32"/>
        </w:rPr>
        <w:t>第七章</w:t>
      </w:r>
      <w:r w:rsidRPr="007269CE">
        <w:rPr>
          <w:rFonts w:eastAsia="黑体" w:hAnsi="黑体"/>
          <w:snapToGrid w:val="0"/>
          <w:color w:val="000000"/>
          <w:kern w:val="0"/>
          <w:sz w:val="32"/>
          <w:szCs w:val="32"/>
        </w:rPr>
        <w:t xml:space="preserve">  </w:t>
      </w:r>
      <w:r w:rsidRPr="007269CE">
        <w:rPr>
          <w:rFonts w:eastAsia="黑体" w:hAnsi="黑体"/>
          <w:snapToGrid w:val="0"/>
          <w:color w:val="000000"/>
          <w:kern w:val="0"/>
          <w:sz w:val="32"/>
          <w:szCs w:val="32"/>
        </w:rPr>
        <w:t>附</w:t>
      </w:r>
      <w:r>
        <w:rPr>
          <w:rFonts w:eastAsia="黑体" w:hAnsi="黑体" w:hint="eastAsia"/>
          <w:snapToGrid w:val="0"/>
          <w:color w:val="000000"/>
          <w:kern w:val="0"/>
          <w:sz w:val="32"/>
          <w:szCs w:val="32"/>
        </w:rPr>
        <w:t xml:space="preserve">  </w:t>
      </w:r>
      <w:r w:rsidRPr="007269CE">
        <w:rPr>
          <w:rFonts w:eastAsia="黑体" w:hAnsi="黑体"/>
          <w:snapToGrid w:val="0"/>
          <w:color w:val="000000"/>
          <w:kern w:val="0"/>
          <w:sz w:val="32"/>
          <w:szCs w:val="32"/>
        </w:rPr>
        <w:t>则</w:t>
      </w:r>
    </w:p>
    <w:p w:rsidR="00E133F7" w:rsidRPr="007269CE" w:rsidRDefault="00E133F7" w:rsidP="00E133F7">
      <w:pPr>
        <w:overflowPunct w:val="0"/>
        <w:autoSpaceDE w:val="0"/>
        <w:autoSpaceDN w:val="0"/>
        <w:adjustRightInd w:val="0"/>
        <w:snapToGrid w:val="0"/>
        <w:spacing w:line="570" w:lineRule="exact"/>
        <w:ind w:firstLine="641"/>
        <w:rPr>
          <w:rFonts w:eastAsia="仿宋_GB2312"/>
          <w:snapToGrid w:val="0"/>
          <w:color w:val="000000"/>
          <w:kern w:val="0"/>
          <w:sz w:val="32"/>
          <w:szCs w:val="32"/>
        </w:rPr>
      </w:pPr>
      <w:r w:rsidRPr="007269CE">
        <w:rPr>
          <w:rFonts w:eastAsia="楷体_GB2312"/>
          <w:b/>
          <w:snapToGrid w:val="0"/>
          <w:color w:val="000000"/>
          <w:kern w:val="0"/>
          <w:sz w:val="32"/>
          <w:szCs w:val="32"/>
        </w:rPr>
        <w:t>第二十四条</w:t>
      </w:r>
      <w:r w:rsidRPr="007269CE">
        <w:rPr>
          <w:rFonts w:eastAsia="仿宋_GB2312"/>
          <w:snapToGrid w:val="0"/>
          <w:color w:val="000000"/>
          <w:kern w:val="0"/>
          <w:sz w:val="32"/>
          <w:szCs w:val="32"/>
        </w:rPr>
        <w:t xml:space="preserve">  </w:t>
      </w:r>
      <w:r w:rsidRPr="007269CE">
        <w:rPr>
          <w:rFonts w:eastAsia="仿宋_GB2312"/>
          <w:snapToGrid w:val="0"/>
          <w:color w:val="000000"/>
          <w:kern w:val="0"/>
          <w:sz w:val="32"/>
          <w:szCs w:val="32"/>
        </w:rPr>
        <w:t>各辖市（区）财政部门和业务主管部门，可参照本办法另行制定当地的专项资金管理办法。</w:t>
      </w:r>
    </w:p>
    <w:p w:rsidR="00E133F7" w:rsidRPr="00363DAF" w:rsidRDefault="00E133F7" w:rsidP="00E133F7">
      <w:pPr>
        <w:overflowPunct w:val="0"/>
        <w:autoSpaceDE w:val="0"/>
        <w:autoSpaceDN w:val="0"/>
        <w:adjustRightInd w:val="0"/>
        <w:snapToGrid w:val="0"/>
        <w:spacing w:line="570" w:lineRule="exact"/>
        <w:ind w:firstLine="641"/>
        <w:rPr>
          <w:rFonts w:eastAsia="仿宋_GB2312"/>
          <w:snapToGrid w:val="0"/>
          <w:color w:val="000000"/>
          <w:spacing w:val="-6"/>
          <w:kern w:val="0"/>
          <w:sz w:val="32"/>
          <w:szCs w:val="32"/>
        </w:rPr>
      </w:pPr>
      <w:r w:rsidRPr="00363DAF">
        <w:rPr>
          <w:rFonts w:eastAsia="楷体_GB2312"/>
          <w:b/>
          <w:snapToGrid w:val="0"/>
          <w:color w:val="000000"/>
          <w:spacing w:val="-6"/>
          <w:kern w:val="0"/>
          <w:sz w:val="32"/>
          <w:szCs w:val="32"/>
        </w:rPr>
        <w:t>第二十五条</w:t>
      </w:r>
      <w:r w:rsidRPr="00363DAF">
        <w:rPr>
          <w:rFonts w:eastAsia="仿宋_GB2312"/>
          <w:snapToGrid w:val="0"/>
          <w:color w:val="000000"/>
          <w:spacing w:val="-6"/>
          <w:kern w:val="0"/>
          <w:sz w:val="32"/>
          <w:szCs w:val="32"/>
        </w:rPr>
        <w:t xml:space="preserve"> </w:t>
      </w:r>
      <w:r w:rsidRPr="00363DAF">
        <w:rPr>
          <w:rFonts w:eastAsia="仿宋_GB2312"/>
          <w:snapToGrid w:val="0"/>
          <w:color w:val="000000"/>
          <w:spacing w:val="-6"/>
          <w:kern w:val="0"/>
          <w:sz w:val="32"/>
          <w:szCs w:val="32"/>
        </w:rPr>
        <w:t>本办法自</w:t>
      </w:r>
      <w:r w:rsidRPr="00363DAF">
        <w:rPr>
          <w:rFonts w:eastAsia="仿宋_GB2312"/>
          <w:snapToGrid w:val="0"/>
          <w:color w:val="000000"/>
          <w:spacing w:val="-6"/>
          <w:kern w:val="0"/>
          <w:sz w:val="32"/>
          <w:szCs w:val="32"/>
        </w:rPr>
        <w:t>2021</w:t>
      </w:r>
      <w:r w:rsidRPr="00363DAF">
        <w:rPr>
          <w:rFonts w:eastAsia="仿宋_GB2312"/>
          <w:snapToGrid w:val="0"/>
          <w:color w:val="000000"/>
          <w:spacing w:val="-6"/>
          <w:kern w:val="0"/>
          <w:sz w:val="32"/>
          <w:szCs w:val="32"/>
        </w:rPr>
        <w:t>年</w:t>
      </w:r>
      <w:r w:rsidRPr="00363DAF">
        <w:rPr>
          <w:rFonts w:eastAsia="仿宋_GB2312"/>
          <w:snapToGrid w:val="0"/>
          <w:color w:val="000000"/>
          <w:spacing w:val="-6"/>
          <w:kern w:val="0"/>
          <w:sz w:val="32"/>
          <w:szCs w:val="32"/>
        </w:rPr>
        <w:t>11</w:t>
      </w:r>
      <w:r w:rsidRPr="00363DAF">
        <w:rPr>
          <w:rFonts w:eastAsia="仿宋_GB2312"/>
          <w:snapToGrid w:val="0"/>
          <w:color w:val="000000"/>
          <w:spacing w:val="-6"/>
          <w:kern w:val="0"/>
          <w:sz w:val="32"/>
          <w:szCs w:val="32"/>
        </w:rPr>
        <w:t>月</w:t>
      </w:r>
      <w:r w:rsidRPr="00363DAF">
        <w:rPr>
          <w:rFonts w:eastAsia="仿宋_GB2312"/>
          <w:snapToGrid w:val="0"/>
          <w:color w:val="000000"/>
          <w:spacing w:val="-6"/>
          <w:kern w:val="0"/>
          <w:sz w:val="32"/>
          <w:szCs w:val="32"/>
        </w:rPr>
        <w:t>1</w:t>
      </w:r>
      <w:r w:rsidRPr="00363DAF">
        <w:rPr>
          <w:rFonts w:eastAsia="仿宋_GB2312"/>
          <w:snapToGrid w:val="0"/>
          <w:color w:val="000000"/>
          <w:spacing w:val="-6"/>
          <w:kern w:val="0"/>
          <w:sz w:val="32"/>
          <w:szCs w:val="32"/>
        </w:rPr>
        <w:t>日起施行，实施期限五年。</w:t>
      </w:r>
    </w:p>
    <w:p w:rsidR="00E133F7" w:rsidRPr="006C4E91" w:rsidRDefault="00E133F7" w:rsidP="00E133F7">
      <w:pPr>
        <w:overflowPunct w:val="0"/>
        <w:autoSpaceDE w:val="0"/>
        <w:autoSpaceDN w:val="0"/>
        <w:adjustRightInd w:val="0"/>
        <w:snapToGrid w:val="0"/>
        <w:spacing w:line="570" w:lineRule="exact"/>
        <w:ind w:firstLine="641"/>
        <w:rPr>
          <w:rFonts w:eastAsia="仿宋_GB2312" w:hint="eastAsia"/>
          <w:sz w:val="32"/>
          <w:szCs w:val="32"/>
        </w:rPr>
      </w:pPr>
    </w:p>
    <w:p w:rsidR="003C6C71" w:rsidRPr="00E133F7" w:rsidRDefault="003C6C71" w:rsidP="00E133F7">
      <w:pPr>
        <w:snapToGrid w:val="0"/>
        <w:spacing w:line="640" w:lineRule="exact"/>
        <w:jc w:val="center"/>
        <w:rPr>
          <w:rFonts w:ascii="仿宋" w:eastAsia="仿宋" w:hAnsi="仿宋"/>
          <w:szCs w:val="21"/>
        </w:rPr>
      </w:pPr>
    </w:p>
    <w:sectPr w:rsidR="003C6C71" w:rsidRPr="00E133F7">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598D" w:rsidRDefault="0087598D">
      <w:r>
        <w:separator/>
      </w:r>
    </w:p>
  </w:endnote>
  <w:endnote w:type="continuationSeparator" w:id="0">
    <w:p w:rsidR="0087598D" w:rsidRDefault="00875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C71" w:rsidRDefault="0087598D">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C71" w:rsidRDefault="0087598D">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E133F7">
      <w:rPr>
        <w:rStyle w:val="a8"/>
        <w:noProof/>
        <w:sz w:val="28"/>
        <w:szCs w:val="28"/>
      </w:rPr>
      <w:t>9</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3C6C71" w:rsidRDefault="0087598D">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Pr>
        <w:rFonts w:ascii="Calibri" w:eastAsia="仿宋" w:hAnsi="Calibri" w:hint="eastAsia"/>
        <w:color w:val="FAFAFA"/>
        <w:sz w:val="32"/>
        <w:szCs w:val="48"/>
      </w:rPr>
      <w:t>X</w:t>
    </w:r>
    <w:r w:rsidR="00E133F7">
      <w:rPr>
        <w:rFonts w:ascii="宋体" w:hAnsi="宋体" w:cs="宋体" w:hint="eastAsia"/>
        <w:b/>
        <w:bCs/>
        <w:color w:val="005192"/>
        <w:sz w:val="28"/>
        <w:szCs w:val="44"/>
      </w:rPr>
      <w:t>常州市财政局</w:t>
    </w:r>
    <w:r>
      <w:rPr>
        <w:rFonts w:ascii="宋体" w:hAnsi="宋体" w:cs="宋体" w:hint="eastAsia"/>
        <w:b/>
        <w:bCs/>
        <w:color w:val="005192"/>
        <w:sz w:val="28"/>
        <w:szCs w:val="44"/>
      </w:rPr>
      <w:t>发布</w:t>
    </w:r>
    <w:r>
      <w:rPr>
        <w:rFonts w:ascii="宋体" w:hAnsi="宋体" w:cs="宋体" w:hint="eastAsia"/>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598D" w:rsidRDefault="0087598D">
      <w:r>
        <w:separator/>
      </w:r>
    </w:p>
  </w:footnote>
  <w:footnote w:type="continuationSeparator" w:id="0">
    <w:p w:rsidR="0087598D" w:rsidRDefault="008759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C71" w:rsidRDefault="003C6C71">
    <w:pPr>
      <w:pStyle w:val="a6"/>
      <w:pBdr>
        <w:bottom w:val="none" w:sz="0" w:space="0" w:color="auto"/>
      </w:pBdr>
    </w:pPr>
  </w:p>
  <w:p w:rsidR="003C6C71" w:rsidRDefault="003C6C71">
    <w:pPr>
      <w:pStyle w:val="a6"/>
      <w:pBdr>
        <w:bottom w:val="none" w:sz="0" w:space="0" w:color="auto"/>
      </w:pBdr>
    </w:pPr>
  </w:p>
  <w:p w:rsidR="003C6C71" w:rsidRDefault="003C6C71">
    <w:pPr>
      <w:pStyle w:val="a6"/>
      <w:pBdr>
        <w:bottom w:val="none" w:sz="0" w:space="0" w:color="auto"/>
      </w:pBdr>
    </w:pPr>
  </w:p>
  <w:p w:rsidR="003C6C71" w:rsidRDefault="0087598D">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3C6C71" w:rsidRDefault="0087598D">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3C6C71" w:rsidRDefault="003C6C71">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21027D"/>
    <w:rsid w:val="002155BF"/>
    <w:rsid w:val="002503C3"/>
    <w:rsid w:val="00325B7F"/>
    <w:rsid w:val="003314E1"/>
    <w:rsid w:val="003C6C71"/>
    <w:rsid w:val="003D2A2E"/>
    <w:rsid w:val="00406E04"/>
    <w:rsid w:val="004421A2"/>
    <w:rsid w:val="00507029"/>
    <w:rsid w:val="005A2D79"/>
    <w:rsid w:val="005D7BE8"/>
    <w:rsid w:val="00673B8B"/>
    <w:rsid w:val="006F3269"/>
    <w:rsid w:val="006F756B"/>
    <w:rsid w:val="0087598D"/>
    <w:rsid w:val="009100BD"/>
    <w:rsid w:val="00977135"/>
    <w:rsid w:val="00A220D4"/>
    <w:rsid w:val="00A71703"/>
    <w:rsid w:val="00A74D12"/>
    <w:rsid w:val="00AF0792"/>
    <w:rsid w:val="00BE5224"/>
    <w:rsid w:val="00C3558A"/>
    <w:rsid w:val="00C9638D"/>
    <w:rsid w:val="00CA61D6"/>
    <w:rsid w:val="00CC5251"/>
    <w:rsid w:val="00D13838"/>
    <w:rsid w:val="00D3701B"/>
    <w:rsid w:val="00DF1DE9"/>
    <w:rsid w:val="00E133F7"/>
    <w:rsid w:val="00E663A3"/>
    <w:rsid w:val="00E73AC4"/>
    <w:rsid w:val="00EB36A1"/>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styleId="aa">
    <w:name w:val="Title"/>
    <w:basedOn w:val="a"/>
    <w:next w:val="a"/>
    <w:link w:val="Char3"/>
    <w:qFormat/>
    <w:rsid w:val="00E133F7"/>
    <w:pPr>
      <w:spacing w:line="700" w:lineRule="exact"/>
      <w:jc w:val="center"/>
      <w:outlineLvl w:val="0"/>
    </w:pPr>
    <w:rPr>
      <w:rFonts w:ascii="方正小标宋简体" w:eastAsia="方正小标宋简体" w:hAnsi="Cambria"/>
      <w:bCs/>
      <w:sz w:val="44"/>
      <w:szCs w:val="32"/>
    </w:rPr>
  </w:style>
  <w:style w:type="character" w:customStyle="1" w:styleId="Char3">
    <w:name w:val="标题 Char"/>
    <w:link w:val="aa"/>
    <w:rsid w:val="00E133F7"/>
    <w:rPr>
      <w:rFonts w:ascii="方正小标宋简体" w:eastAsia="方正小标宋简体" w:hAnsi="Cambria"/>
      <w:bCs/>
      <w:kern w:val="2"/>
      <w:sz w:val="44"/>
      <w:szCs w:val="32"/>
    </w:rPr>
  </w:style>
  <w:style w:type="paragraph" w:customStyle="1" w:styleId="ab">
    <w:name w:val="成文日期"/>
    <w:basedOn w:val="a"/>
    <w:link w:val="Char4"/>
    <w:qFormat/>
    <w:rsid w:val="00E133F7"/>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4">
    <w:name w:val="成文日期 Char"/>
    <w:link w:val="ab"/>
    <w:rsid w:val="00E133F7"/>
    <w:rPr>
      <w:rFonts w:ascii="仿宋_GB2312" w:eastAsia="仿宋_GB2312"/>
      <w:kern w:val="2"/>
      <w:sz w:val="32"/>
      <w:lang w:val="x-none" w:eastAsia="x-none"/>
    </w:rPr>
  </w:style>
  <w:style w:type="paragraph" w:customStyle="1" w:styleId="ac">
    <w:name w:val="材料标题"/>
    <w:qFormat/>
    <w:rsid w:val="00E133F7"/>
    <w:pPr>
      <w:widowControl w:val="0"/>
      <w:adjustRightInd w:val="0"/>
      <w:snapToGrid w:val="0"/>
      <w:spacing w:line="700" w:lineRule="exact"/>
      <w:jc w:val="center"/>
    </w:pPr>
    <w:rPr>
      <w:rFonts w:ascii="方正小标宋简体" w:eastAsia="方正小标宋简体"/>
      <w:color w:val="000000"/>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Pages>
  <Words>565</Words>
  <Characters>3221</Characters>
  <Application>Microsoft Office Word</Application>
  <DocSecurity>0</DocSecurity>
  <Lines>26</Lines>
  <Paragraphs>7</Paragraphs>
  <ScaleCrop>false</ScaleCrop>
  <Company>EPOINT</Company>
  <LinksUpToDate>false</LinksUpToDate>
  <CharactersWithSpaces>3779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12</cp:revision>
  <cp:lastPrinted>2022-06-01T07:11:00Z</cp:lastPrinted>
  <dcterms:created xsi:type="dcterms:W3CDTF">2023-10-25T08:58:00Z</dcterms:created>
  <dcterms:modified xsi:type="dcterms:W3CDTF">2023-11-13T03:16:00Z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