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eastAsia="方正黑体_GBK"/>
          <w:sz w:val="32"/>
          <w:szCs w:val="32"/>
        </w:rPr>
      </w:pPr>
      <w:r>
        <w:rPr>
          <w:rFonts w:eastAsia="方正黑体_GBK"/>
          <w:sz w:val="32"/>
          <w:szCs w:val="32"/>
        </w:rPr>
        <w:t>附件3</w:t>
      </w:r>
    </w:p>
    <w:p>
      <w:pPr>
        <w:spacing w:before="240" w:line="570" w:lineRule="exact"/>
        <w:jc w:val="center"/>
        <w:rPr>
          <w:rFonts w:hint="eastAsia" w:ascii="方正小标宋_GBK" w:eastAsia="方正小标宋_GBK"/>
          <w:sz w:val="44"/>
          <w:szCs w:val="44"/>
        </w:rPr>
      </w:pPr>
      <w:r>
        <w:rPr>
          <w:rFonts w:hint="eastAsia" w:ascii="方正小标宋_GBK" w:eastAsia="方正小标宋_GBK"/>
          <w:sz w:val="44"/>
          <w:szCs w:val="44"/>
        </w:rPr>
        <w:t>委托和下放管理层级的行政权力事项目录</w:t>
      </w:r>
    </w:p>
    <w:p>
      <w:pPr>
        <w:overflowPunct w:val="0"/>
        <w:autoSpaceDE w:val="0"/>
        <w:autoSpaceDN w:val="0"/>
        <w:adjustRightInd w:val="0"/>
        <w:snapToGrid w:val="0"/>
        <w:spacing w:before="120" w:after="240" w:line="570" w:lineRule="exact"/>
        <w:jc w:val="center"/>
        <w:rPr>
          <w:rFonts w:eastAsia="方正楷体_GBK"/>
          <w:sz w:val="28"/>
          <w:szCs w:val="32"/>
        </w:rPr>
      </w:pPr>
      <w:r>
        <w:rPr>
          <w:rFonts w:eastAsia="方正楷体_GBK"/>
          <w:sz w:val="32"/>
          <w:szCs w:val="32"/>
        </w:rPr>
        <w:t>（共22项）</w:t>
      </w:r>
    </w:p>
    <w:tbl>
      <w:tblPr>
        <w:tblStyle w:val="2"/>
        <w:tblW w:w="1417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662"/>
        <w:gridCol w:w="3065"/>
        <w:gridCol w:w="1435"/>
        <w:gridCol w:w="1993"/>
        <w:gridCol w:w="1571"/>
        <w:gridCol w:w="1712"/>
        <w:gridCol w:w="3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52" w:hRule="atLeast"/>
          <w:tblHeader/>
          <w:jc w:val="center"/>
        </w:trPr>
        <w:tc>
          <w:tcPr>
            <w:tcW w:w="234" w:type="pct"/>
            <w:noWrap w:val="0"/>
            <w:vAlign w:val="center"/>
          </w:tcPr>
          <w:p>
            <w:pPr>
              <w:spacing w:line="320" w:lineRule="exact"/>
              <w:ind w:left="-105" w:leftChars="-50" w:right="-105" w:rightChars="-50"/>
              <w:jc w:val="center"/>
              <w:rPr>
                <w:rFonts w:eastAsia="方正黑体_GBK"/>
                <w:sz w:val="24"/>
              </w:rPr>
            </w:pPr>
            <w:r>
              <w:rPr>
                <w:rFonts w:eastAsia="方正黑体_GBK"/>
                <w:sz w:val="24"/>
              </w:rPr>
              <w:t>序号</w:t>
            </w:r>
          </w:p>
        </w:tc>
        <w:tc>
          <w:tcPr>
            <w:tcW w:w="1081" w:type="pct"/>
            <w:noWrap w:val="0"/>
            <w:vAlign w:val="center"/>
          </w:tcPr>
          <w:p>
            <w:pPr>
              <w:spacing w:line="320" w:lineRule="exact"/>
              <w:jc w:val="center"/>
              <w:rPr>
                <w:rFonts w:eastAsia="方正黑体_GBK"/>
                <w:sz w:val="24"/>
              </w:rPr>
            </w:pPr>
            <w:r>
              <w:rPr>
                <w:rFonts w:eastAsia="方正黑体_GBK"/>
                <w:sz w:val="24"/>
              </w:rPr>
              <w:t>事项名称</w:t>
            </w:r>
          </w:p>
        </w:tc>
        <w:tc>
          <w:tcPr>
            <w:tcW w:w="506" w:type="pct"/>
            <w:noWrap w:val="0"/>
            <w:vAlign w:val="center"/>
          </w:tcPr>
          <w:p>
            <w:pPr>
              <w:spacing w:line="320" w:lineRule="exact"/>
              <w:jc w:val="center"/>
              <w:rPr>
                <w:rFonts w:eastAsia="方正黑体_GBK"/>
                <w:sz w:val="24"/>
              </w:rPr>
            </w:pPr>
            <w:r>
              <w:rPr>
                <w:rFonts w:eastAsia="方正黑体_GBK"/>
                <w:sz w:val="24"/>
              </w:rPr>
              <w:t>原主管部门</w:t>
            </w:r>
          </w:p>
        </w:tc>
        <w:tc>
          <w:tcPr>
            <w:tcW w:w="703" w:type="pct"/>
            <w:noWrap w:val="0"/>
            <w:vAlign w:val="center"/>
          </w:tcPr>
          <w:p>
            <w:pPr>
              <w:spacing w:line="320" w:lineRule="exact"/>
              <w:jc w:val="center"/>
              <w:rPr>
                <w:rFonts w:eastAsia="方正黑体_GBK"/>
                <w:sz w:val="24"/>
              </w:rPr>
            </w:pPr>
            <w:r>
              <w:rPr>
                <w:rFonts w:eastAsia="方正黑体_GBK"/>
                <w:sz w:val="24"/>
              </w:rPr>
              <w:t>设定依据</w:t>
            </w:r>
          </w:p>
        </w:tc>
        <w:tc>
          <w:tcPr>
            <w:tcW w:w="554" w:type="pct"/>
            <w:noWrap w:val="0"/>
            <w:vAlign w:val="center"/>
          </w:tcPr>
          <w:p>
            <w:pPr>
              <w:spacing w:line="320" w:lineRule="exact"/>
              <w:jc w:val="center"/>
              <w:rPr>
                <w:rFonts w:eastAsia="方正黑体_GBK"/>
                <w:sz w:val="24"/>
              </w:rPr>
            </w:pPr>
            <w:r>
              <w:rPr>
                <w:rFonts w:eastAsia="方正黑体_GBK"/>
                <w:sz w:val="24"/>
              </w:rPr>
              <w:t>下放（委托）后管理部门</w:t>
            </w:r>
          </w:p>
        </w:tc>
        <w:tc>
          <w:tcPr>
            <w:tcW w:w="604" w:type="pct"/>
            <w:noWrap w:val="0"/>
            <w:vAlign w:val="center"/>
          </w:tcPr>
          <w:p>
            <w:pPr>
              <w:spacing w:line="320" w:lineRule="exact"/>
              <w:jc w:val="center"/>
              <w:rPr>
                <w:rFonts w:hint="eastAsia" w:eastAsia="方正黑体_GBK"/>
                <w:sz w:val="24"/>
              </w:rPr>
            </w:pPr>
            <w:r>
              <w:rPr>
                <w:rFonts w:eastAsia="方正黑体_GBK"/>
                <w:sz w:val="24"/>
              </w:rPr>
              <w:t>赋权形式</w:t>
            </w:r>
          </w:p>
          <w:p>
            <w:pPr>
              <w:spacing w:line="320" w:lineRule="exact"/>
              <w:jc w:val="center"/>
              <w:rPr>
                <w:rFonts w:eastAsia="方正黑体_GBK"/>
                <w:sz w:val="24"/>
              </w:rPr>
            </w:pPr>
            <w:r>
              <w:rPr>
                <w:rFonts w:eastAsia="方正黑体_GBK"/>
                <w:sz w:val="24"/>
              </w:rPr>
              <w:t>（下放/委托）</w:t>
            </w:r>
          </w:p>
        </w:tc>
        <w:tc>
          <w:tcPr>
            <w:tcW w:w="1318" w:type="pct"/>
            <w:noWrap w:val="0"/>
            <w:vAlign w:val="center"/>
          </w:tcPr>
          <w:p>
            <w:pPr>
              <w:spacing w:line="320" w:lineRule="exact"/>
              <w:jc w:val="center"/>
              <w:rPr>
                <w:rFonts w:eastAsia="方正黑体_GBK"/>
                <w:sz w:val="24"/>
              </w:rPr>
            </w:pPr>
            <w:r>
              <w:rPr>
                <w:rFonts w:eastAsia="方正黑体_GBK"/>
                <w:sz w:val="24"/>
              </w:rPr>
              <w:t>加强事中事后监管措施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w:t>
            </w:r>
          </w:p>
        </w:tc>
        <w:tc>
          <w:tcPr>
            <w:tcW w:w="1081" w:type="pct"/>
            <w:noWrap w:val="0"/>
            <w:vAlign w:val="center"/>
          </w:tcPr>
          <w:p>
            <w:pPr>
              <w:spacing w:line="320" w:lineRule="exact"/>
              <w:jc w:val="left"/>
              <w:rPr>
                <w:rFonts w:eastAsia="方正仿宋_GBK"/>
                <w:sz w:val="24"/>
              </w:rPr>
            </w:pPr>
            <w:r>
              <w:rPr>
                <w:rFonts w:eastAsia="方正仿宋_GBK"/>
                <w:sz w:val="24"/>
              </w:rPr>
              <w:t>归侨、侨眷身份认定</w:t>
            </w:r>
          </w:p>
        </w:tc>
        <w:tc>
          <w:tcPr>
            <w:tcW w:w="506" w:type="pct"/>
            <w:noWrap w:val="0"/>
            <w:vAlign w:val="center"/>
          </w:tcPr>
          <w:p>
            <w:pPr>
              <w:spacing w:line="320" w:lineRule="exact"/>
              <w:jc w:val="center"/>
              <w:rPr>
                <w:rFonts w:hint="eastAsia" w:eastAsia="方正仿宋_GBK"/>
                <w:sz w:val="24"/>
              </w:rPr>
            </w:pPr>
            <w:r>
              <w:rPr>
                <w:rFonts w:eastAsia="方正仿宋_GBK"/>
                <w:sz w:val="24"/>
              </w:rPr>
              <w:t>市级侨办</w:t>
            </w:r>
          </w:p>
          <w:p>
            <w:pPr>
              <w:spacing w:line="320" w:lineRule="exact"/>
              <w:jc w:val="center"/>
              <w:rPr>
                <w:rFonts w:eastAsia="方正仿宋_GBK"/>
                <w:sz w:val="24"/>
              </w:rPr>
            </w:pPr>
            <w:r>
              <w:rPr>
                <w:rFonts w:eastAsia="方正仿宋_GBK"/>
                <w:sz w:val="24"/>
              </w:rPr>
              <w:t>部门</w:t>
            </w:r>
          </w:p>
        </w:tc>
        <w:tc>
          <w:tcPr>
            <w:tcW w:w="703" w:type="pct"/>
            <w:noWrap w:val="0"/>
            <w:vAlign w:val="center"/>
          </w:tcPr>
          <w:p>
            <w:pPr>
              <w:tabs>
                <w:tab w:val="left" w:pos="720"/>
              </w:tabs>
              <w:spacing w:line="320" w:lineRule="exact"/>
              <w:jc w:val="left"/>
              <w:rPr>
                <w:rFonts w:eastAsia="方正仿宋_GBK"/>
                <w:sz w:val="24"/>
              </w:rPr>
            </w:pPr>
            <w:r>
              <w:rPr>
                <w:rFonts w:eastAsia="方正仿宋_GBK"/>
                <w:sz w:val="24"/>
              </w:rPr>
              <w:t>《中华人民共和国归侨侨眷权益保护法实施办法》（国务院令第410号）</w:t>
            </w:r>
          </w:p>
        </w:tc>
        <w:tc>
          <w:tcPr>
            <w:tcW w:w="554" w:type="pct"/>
            <w:noWrap w:val="0"/>
            <w:vAlign w:val="center"/>
          </w:tcPr>
          <w:p>
            <w:pPr>
              <w:spacing w:line="320" w:lineRule="exact"/>
              <w:ind w:left="-105" w:leftChars="-50" w:right="-105" w:rightChars="-50"/>
              <w:jc w:val="center"/>
              <w:rPr>
                <w:rFonts w:eastAsia="方正仿宋_GBK"/>
                <w:sz w:val="24"/>
              </w:rPr>
            </w:pPr>
            <w:r>
              <w:rPr>
                <w:rFonts w:eastAsia="方正仿宋_GBK"/>
                <w:sz w:val="24"/>
              </w:rPr>
              <w:t>县级侨办部门</w:t>
            </w:r>
          </w:p>
        </w:tc>
        <w:tc>
          <w:tcPr>
            <w:tcW w:w="604" w:type="pct"/>
            <w:noWrap w:val="0"/>
            <w:vAlign w:val="center"/>
          </w:tcPr>
          <w:p>
            <w:pPr>
              <w:spacing w:line="320" w:lineRule="exact"/>
              <w:jc w:val="center"/>
              <w:rPr>
                <w:rFonts w:eastAsia="方正仿宋_GBK"/>
                <w:sz w:val="24"/>
              </w:rPr>
            </w:pPr>
            <w:r>
              <w:rPr>
                <w:rFonts w:eastAsia="方正仿宋_GBK"/>
                <w:sz w:val="24"/>
              </w:rPr>
              <w:t>下放</w:t>
            </w:r>
          </w:p>
        </w:tc>
        <w:tc>
          <w:tcPr>
            <w:tcW w:w="1318" w:type="pct"/>
            <w:noWrap w:val="0"/>
            <w:vAlign w:val="center"/>
          </w:tcPr>
          <w:p>
            <w:pPr>
              <w:spacing w:line="320" w:lineRule="exact"/>
              <w:jc w:val="left"/>
              <w:rPr>
                <w:rFonts w:eastAsia="方正仿宋_GBK"/>
                <w:sz w:val="24"/>
              </w:rPr>
            </w:pPr>
            <w:r>
              <w:rPr>
                <w:rFonts w:eastAsia="方正仿宋_GBK"/>
                <w:sz w:val="24"/>
              </w:rPr>
              <w:t>建立各司其职、各尽其责的联合监管机制。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2</w:t>
            </w:r>
          </w:p>
        </w:tc>
        <w:tc>
          <w:tcPr>
            <w:tcW w:w="1081" w:type="pct"/>
            <w:noWrap w:val="0"/>
            <w:vAlign w:val="center"/>
          </w:tcPr>
          <w:p>
            <w:pPr>
              <w:spacing w:line="320" w:lineRule="exact"/>
              <w:jc w:val="left"/>
              <w:rPr>
                <w:rFonts w:hint="eastAsia" w:eastAsia="方正仿宋_GBK"/>
                <w:sz w:val="24"/>
              </w:rPr>
            </w:pPr>
            <w:r>
              <w:rPr>
                <w:rFonts w:eastAsia="方正仿宋_GBK"/>
                <w:sz w:val="24"/>
              </w:rPr>
              <w:t>归侨、华侨子女、归侨子女考生身份确认（中考三侨生审核审批在辖市区侨办，</w:t>
            </w:r>
          </w:p>
          <w:p>
            <w:pPr>
              <w:spacing w:line="320" w:lineRule="exact"/>
              <w:jc w:val="left"/>
              <w:rPr>
                <w:rFonts w:eastAsia="方正仿宋_GBK"/>
                <w:sz w:val="24"/>
              </w:rPr>
            </w:pPr>
            <w:r>
              <w:rPr>
                <w:rFonts w:eastAsia="方正仿宋_GBK"/>
                <w:sz w:val="24"/>
              </w:rPr>
              <w:t>高考三侨生审核审批在市侨办）</w:t>
            </w:r>
          </w:p>
        </w:tc>
        <w:tc>
          <w:tcPr>
            <w:tcW w:w="506" w:type="pct"/>
            <w:noWrap w:val="0"/>
            <w:vAlign w:val="center"/>
          </w:tcPr>
          <w:p>
            <w:pPr>
              <w:spacing w:line="320" w:lineRule="exact"/>
              <w:jc w:val="center"/>
              <w:rPr>
                <w:rFonts w:hint="eastAsia" w:eastAsia="方正仿宋_GBK"/>
                <w:sz w:val="24"/>
              </w:rPr>
            </w:pPr>
            <w:r>
              <w:rPr>
                <w:rFonts w:eastAsia="方正仿宋_GBK"/>
                <w:sz w:val="24"/>
              </w:rPr>
              <w:t>市级侨办</w:t>
            </w:r>
          </w:p>
          <w:p>
            <w:pPr>
              <w:spacing w:line="320" w:lineRule="exact"/>
              <w:jc w:val="center"/>
              <w:rPr>
                <w:rFonts w:eastAsia="方正仿宋_GBK"/>
                <w:sz w:val="24"/>
              </w:rPr>
            </w:pPr>
            <w:r>
              <w:rPr>
                <w:rFonts w:eastAsia="方正仿宋_GBK"/>
                <w:sz w:val="24"/>
              </w:rPr>
              <w:t>部门</w:t>
            </w:r>
          </w:p>
        </w:tc>
        <w:tc>
          <w:tcPr>
            <w:tcW w:w="703" w:type="pct"/>
            <w:noWrap w:val="0"/>
            <w:vAlign w:val="center"/>
          </w:tcPr>
          <w:p>
            <w:pPr>
              <w:tabs>
                <w:tab w:val="left" w:pos="720"/>
              </w:tabs>
              <w:spacing w:line="320" w:lineRule="exact"/>
              <w:jc w:val="left"/>
              <w:rPr>
                <w:rFonts w:eastAsia="方正仿宋_GBK"/>
                <w:sz w:val="24"/>
              </w:rPr>
            </w:pPr>
            <w:r>
              <w:rPr>
                <w:rFonts w:eastAsia="方正仿宋_GBK"/>
                <w:sz w:val="24"/>
              </w:rPr>
              <w:t>《中华人民共和国归侨侨眷权益保护法》</w:t>
            </w:r>
          </w:p>
          <w:p>
            <w:pPr>
              <w:tabs>
                <w:tab w:val="left" w:pos="720"/>
              </w:tabs>
              <w:spacing w:line="320" w:lineRule="exact"/>
              <w:jc w:val="left"/>
              <w:rPr>
                <w:rFonts w:eastAsia="方正仿宋_GBK"/>
                <w:sz w:val="24"/>
              </w:rPr>
            </w:pPr>
            <w:r>
              <w:rPr>
                <w:rFonts w:eastAsia="方正仿宋_GBK"/>
                <w:sz w:val="24"/>
              </w:rPr>
              <w:t>《中华人民共和国归侨侨眷权益保护法实施办法》（国务院令第410号）</w:t>
            </w:r>
          </w:p>
        </w:tc>
        <w:tc>
          <w:tcPr>
            <w:tcW w:w="554" w:type="pct"/>
            <w:noWrap w:val="0"/>
            <w:vAlign w:val="center"/>
          </w:tcPr>
          <w:p>
            <w:pPr>
              <w:spacing w:line="320" w:lineRule="exact"/>
              <w:ind w:left="-105" w:leftChars="-50" w:right="-105" w:rightChars="-50"/>
              <w:jc w:val="center"/>
              <w:rPr>
                <w:rFonts w:eastAsia="方正仿宋_GBK"/>
                <w:sz w:val="24"/>
              </w:rPr>
            </w:pPr>
            <w:r>
              <w:rPr>
                <w:rFonts w:eastAsia="方正仿宋_GBK"/>
                <w:sz w:val="24"/>
              </w:rPr>
              <w:t>县级侨办部门</w:t>
            </w:r>
          </w:p>
        </w:tc>
        <w:tc>
          <w:tcPr>
            <w:tcW w:w="604" w:type="pct"/>
            <w:noWrap w:val="0"/>
            <w:vAlign w:val="center"/>
          </w:tcPr>
          <w:p>
            <w:pPr>
              <w:spacing w:line="320" w:lineRule="exact"/>
              <w:jc w:val="center"/>
              <w:rPr>
                <w:rFonts w:eastAsia="方正仿宋_GBK"/>
                <w:sz w:val="24"/>
              </w:rPr>
            </w:pPr>
            <w:r>
              <w:rPr>
                <w:rFonts w:eastAsia="方正仿宋_GBK"/>
                <w:sz w:val="24"/>
              </w:rPr>
              <w:t>下放</w:t>
            </w:r>
          </w:p>
        </w:tc>
        <w:tc>
          <w:tcPr>
            <w:tcW w:w="1318" w:type="pct"/>
            <w:noWrap w:val="0"/>
            <w:vAlign w:val="center"/>
          </w:tcPr>
          <w:p>
            <w:pPr>
              <w:spacing w:line="320" w:lineRule="exact"/>
              <w:jc w:val="left"/>
              <w:rPr>
                <w:rFonts w:eastAsia="方正仿宋_GBK"/>
                <w:sz w:val="24"/>
              </w:rPr>
            </w:pPr>
            <w:r>
              <w:rPr>
                <w:rFonts w:eastAsia="方正仿宋_GBK"/>
                <w:sz w:val="24"/>
              </w:rPr>
              <w:t>建立各司其职、各尽其责的联合监管机制。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3</w:t>
            </w:r>
          </w:p>
        </w:tc>
        <w:tc>
          <w:tcPr>
            <w:tcW w:w="1081" w:type="pct"/>
            <w:noWrap w:val="0"/>
            <w:vAlign w:val="center"/>
          </w:tcPr>
          <w:p>
            <w:pPr>
              <w:spacing w:line="320" w:lineRule="exact"/>
              <w:jc w:val="left"/>
              <w:rPr>
                <w:rFonts w:eastAsia="方正仿宋_GBK"/>
                <w:sz w:val="24"/>
              </w:rPr>
            </w:pPr>
            <w:r>
              <w:rPr>
                <w:rFonts w:eastAsia="方正仿宋_GBK"/>
                <w:sz w:val="24"/>
              </w:rPr>
              <w:t>华侨身份证明</w:t>
            </w:r>
          </w:p>
        </w:tc>
        <w:tc>
          <w:tcPr>
            <w:tcW w:w="506" w:type="pct"/>
            <w:noWrap w:val="0"/>
            <w:vAlign w:val="center"/>
          </w:tcPr>
          <w:p>
            <w:pPr>
              <w:spacing w:line="320" w:lineRule="exact"/>
              <w:jc w:val="center"/>
              <w:rPr>
                <w:rFonts w:hint="eastAsia" w:eastAsia="方正仿宋_GBK"/>
                <w:sz w:val="24"/>
              </w:rPr>
            </w:pPr>
            <w:r>
              <w:rPr>
                <w:rFonts w:eastAsia="方正仿宋_GBK"/>
                <w:sz w:val="24"/>
              </w:rPr>
              <w:t>市级侨办</w:t>
            </w:r>
          </w:p>
          <w:p>
            <w:pPr>
              <w:spacing w:line="320" w:lineRule="exact"/>
              <w:jc w:val="center"/>
              <w:rPr>
                <w:rFonts w:eastAsia="方正仿宋_GBK"/>
                <w:sz w:val="24"/>
              </w:rPr>
            </w:pPr>
            <w:r>
              <w:rPr>
                <w:rFonts w:eastAsia="方正仿宋_GBK"/>
                <w:sz w:val="24"/>
              </w:rPr>
              <w:t>部门</w:t>
            </w:r>
          </w:p>
        </w:tc>
        <w:tc>
          <w:tcPr>
            <w:tcW w:w="703" w:type="pct"/>
            <w:noWrap w:val="0"/>
            <w:vAlign w:val="center"/>
          </w:tcPr>
          <w:p>
            <w:pPr>
              <w:tabs>
                <w:tab w:val="left" w:pos="720"/>
              </w:tabs>
              <w:spacing w:line="320" w:lineRule="exact"/>
              <w:jc w:val="left"/>
              <w:rPr>
                <w:rFonts w:eastAsia="方正仿宋_GBK"/>
                <w:sz w:val="24"/>
              </w:rPr>
            </w:pPr>
            <w:r>
              <w:rPr>
                <w:rFonts w:eastAsia="方正仿宋_GBK"/>
                <w:sz w:val="24"/>
              </w:rPr>
              <w:t>《江苏省保护和促进华侨投资条例》</w:t>
            </w:r>
          </w:p>
        </w:tc>
        <w:tc>
          <w:tcPr>
            <w:tcW w:w="554" w:type="pct"/>
            <w:noWrap w:val="0"/>
            <w:vAlign w:val="center"/>
          </w:tcPr>
          <w:p>
            <w:pPr>
              <w:spacing w:line="320" w:lineRule="exact"/>
              <w:ind w:left="-105" w:leftChars="-50" w:right="-105" w:rightChars="-50"/>
              <w:jc w:val="center"/>
              <w:rPr>
                <w:rFonts w:eastAsia="方正仿宋_GBK"/>
                <w:sz w:val="24"/>
              </w:rPr>
            </w:pPr>
            <w:r>
              <w:rPr>
                <w:rFonts w:eastAsia="方正仿宋_GBK"/>
                <w:sz w:val="24"/>
              </w:rPr>
              <w:t>县级侨办部门</w:t>
            </w:r>
          </w:p>
        </w:tc>
        <w:tc>
          <w:tcPr>
            <w:tcW w:w="604" w:type="pct"/>
            <w:noWrap w:val="0"/>
            <w:vAlign w:val="center"/>
          </w:tcPr>
          <w:p>
            <w:pPr>
              <w:spacing w:line="320" w:lineRule="exact"/>
              <w:jc w:val="center"/>
              <w:rPr>
                <w:rFonts w:eastAsia="方正仿宋_GBK"/>
                <w:sz w:val="24"/>
              </w:rPr>
            </w:pPr>
            <w:r>
              <w:rPr>
                <w:rFonts w:eastAsia="方正仿宋_GBK"/>
                <w:sz w:val="24"/>
              </w:rPr>
              <w:t>下放</w:t>
            </w:r>
          </w:p>
        </w:tc>
        <w:tc>
          <w:tcPr>
            <w:tcW w:w="1318" w:type="pct"/>
            <w:noWrap w:val="0"/>
            <w:vAlign w:val="center"/>
          </w:tcPr>
          <w:p>
            <w:pPr>
              <w:spacing w:line="320" w:lineRule="exact"/>
              <w:jc w:val="left"/>
              <w:rPr>
                <w:rFonts w:eastAsia="方正仿宋_GBK"/>
                <w:sz w:val="24"/>
              </w:rPr>
            </w:pPr>
            <w:r>
              <w:rPr>
                <w:rFonts w:eastAsia="方正仿宋_GBK"/>
                <w:sz w:val="24"/>
              </w:rPr>
              <w:t>建立各司其职、各尽其责的联合监管机制。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280" w:lineRule="exact"/>
              <w:jc w:val="center"/>
              <w:rPr>
                <w:rFonts w:eastAsia="方正仿宋_GBK"/>
                <w:sz w:val="24"/>
              </w:rPr>
            </w:pPr>
            <w:r>
              <w:rPr>
                <w:rFonts w:eastAsia="方正仿宋_GBK"/>
                <w:sz w:val="24"/>
              </w:rPr>
              <w:t>4</w:t>
            </w:r>
          </w:p>
        </w:tc>
        <w:tc>
          <w:tcPr>
            <w:tcW w:w="1081" w:type="pct"/>
            <w:noWrap w:val="0"/>
            <w:vAlign w:val="center"/>
          </w:tcPr>
          <w:p>
            <w:pPr>
              <w:spacing w:line="280" w:lineRule="exact"/>
              <w:jc w:val="left"/>
              <w:rPr>
                <w:rFonts w:eastAsia="方正仿宋_GBK"/>
                <w:sz w:val="24"/>
              </w:rPr>
            </w:pPr>
            <w:r>
              <w:rPr>
                <w:rFonts w:eastAsia="方正仿宋_GBK"/>
                <w:sz w:val="24"/>
              </w:rPr>
              <w:t>鼓励和表彰在华侨捐赠工作中作出突出成绩的单位和个人</w:t>
            </w:r>
          </w:p>
        </w:tc>
        <w:tc>
          <w:tcPr>
            <w:tcW w:w="506" w:type="pct"/>
            <w:noWrap w:val="0"/>
            <w:vAlign w:val="center"/>
          </w:tcPr>
          <w:p>
            <w:pPr>
              <w:spacing w:line="280" w:lineRule="exact"/>
              <w:jc w:val="center"/>
              <w:rPr>
                <w:rFonts w:hint="eastAsia" w:eastAsia="方正仿宋_GBK"/>
                <w:sz w:val="24"/>
              </w:rPr>
            </w:pPr>
            <w:r>
              <w:rPr>
                <w:rFonts w:eastAsia="方正仿宋_GBK"/>
                <w:sz w:val="24"/>
              </w:rPr>
              <w:t>市级侨办</w:t>
            </w:r>
          </w:p>
          <w:p>
            <w:pPr>
              <w:spacing w:line="280" w:lineRule="exact"/>
              <w:jc w:val="center"/>
              <w:rPr>
                <w:rFonts w:eastAsia="方正仿宋_GBK"/>
                <w:sz w:val="24"/>
              </w:rPr>
            </w:pPr>
            <w:r>
              <w:rPr>
                <w:rFonts w:eastAsia="方正仿宋_GBK"/>
                <w:sz w:val="24"/>
              </w:rPr>
              <w:t>部门</w:t>
            </w:r>
          </w:p>
        </w:tc>
        <w:tc>
          <w:tcPr>
            <w:tcW w:w="703" w:type="pct"/>
            <w:noWrap w:val="0"/>
            <w:vAlign w:val="center"/>
          </w:tcPr>
          <w:p>
            <w:pPr>
              <w:tabs>
                <w:tab w:val="left" w:pos="720"/>
              </w:tabs>
              <w:spacing w:line="280" w:lineRule="exact"/>
              <w:jc w:val="left"/>
              <w:rPr>
                <w:rFonts w:eastAsia="方正仿宋_GBK"/>
                <w:sz w:val="24"/>
              </w:rPr>
            </w:pPr>
            <w:r>
              <w:rPr>
                <w:rFonts w:eastAsia="方正仿宋_GBK"/>
                <w:sz w:val="24"/>
              </w:rPr>
              <w:t>《江苏省华侨捐赠条例》</w:t>
            </w:r>
          </w:p>
        </w:tc>
        <w:tc>
          <w:tcPr>
            <w:tcW w:w="554" w:type="pct"/>
            <w:noWrap w:val="0"/>
            <w:vAlign w:val="center"/>
          </w:tcPr>
          <w:p>
            <w:pPr>
              <w:spacing w:line="280" w:lineRule="exact"/>
              <w:ind w:left="-105" w:leftChars="-50" w:right="-105" w:rightChars="-50"/>
              <w:jc w:val="center"/>
              <w:rPr>
                <w:rFonts w:eastAsia="方正仿宋_GBK"/>
                <w:sz w:val="24"/>
              </w:rPr>
            </w:pPr>
            <w:r>
              <w:rPr>
                <w:rFonts w:eastAsia="方正仿宋_GBK"/>
                <w:sz w:val="24"/>
              </w:rPr>
              <w:t>县级侨办部门</w:t>
            </w:r>
          </w:p>
        </w:tc>
        <w:tc>
          <w:tcPr>
            <w:tcW w:w="604" w:type="pct"/>
            <w:noWrap w:val="0"/>
            <w:vAlign w:val="center"/>
          </w:tcPr>
          <w:p>
            <w:pPr>
              <w:spacing w:line="280" w:lineRule="exact"/>
              <w:jc w:val="center"/>
              <w:rPr>
                <w:rFonts w:eastAsia="方正仿宋_GBK"/>
                <w:sz w:val="24"/>
              </w:rPr>
            </w:pPr>
            <w:r>
              <w:rPr>
                <w:rFonts w:eastAsia="方正仿宋_GBK"/>
                <w:sz w:val="24"/>
              </w:rPr>
              <w:t>下放</w:t>
            </w:r>
          </w:p>
        </w:tc>
        <w:tc>
          <w:tcPr>
            <w:tcW w:w="1318" w:type="pct"/>
            <w:noWrap w:val="0"/>
            <w:vAlign w:val="center"/>
          </w:tcPr>
          <w:p>
            <w:pPr>
              <w:spacing w:line="280" w:lineRule="exact"/>
              <w:jc w:val="left"/>
              <w:rPr>
                <w:rFonts w:eastAsia="方正仿宋_GBK"/>
                <w:sz w:val="24"/>
              </w:rPr>
            </w:pPr>
            <w:r>
              <w:rPr>
                <w:rFonts w:eastAsia="方正仿宋_GBK"/>
                <w:sz w:val="24"/>
              </w:rPr>
              <w:t>建立各司其职、各尽其责的联合监管机制。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280" w:lineRule="exact"/>
              <w:jc w:val="center"/>
              <w:rPr>
                <w:rFonts w:eastAsia="方正仿宋_GBK"/>
                <w:sz w:val="24"/>
              </w:rPr>
            </w:pPr>
            <w:r>
              <w:rPr>
                <w:rFonts w:eastAsia="方正仿宋_GBK"/>
                <w:sz w:val="24"/>
              </w:rPr>
              <w:t>5</w:t>
            </w:r>
          </w:p>
        </w:tc>
        <w:tc>
          <w:tcPr>
            <w:tcW w:w="1081" w:type="pct"/>
            <w:noWrap w:val="0"/>
            <w:vAlign w:val="center"/>
          </w:tcPr>
          <w:p>
            <w:pPr>
              <w:spacing w:line="280" w:lineRule="exact"/>
              <w:jc w:val="left"/>
              <w:rPr>
                <w:rFonts w:eastAsia="方正仿宋_GBK"/>
                <w:sz w:val="24"/>
              </w:rPr>
            </w:pPr>
            <w:r>
              <w:rPr>
                <w:rFonts w:eastAsia="方正仿宋_GBK"/>
                <w:sz w:val="24"/>
              </w:rPr>
              <w:t>华侨、港澳同胞、华人捐赠项目备案登记</w:t>
            </w:r>
          </w:p>
        </w:tc>
        <w:tc>
          <w:tcPr>
            <w:tcW w:w="506" w:type="pct"/>
            <w:noWrap w:val="0"/>
            <w:vAlign w:val="center"/>
          </w:tcPr>
          <w:p>
            <w:pPr>
              <w:spacing w:line="280" w:lineRule="exact"/>
              <w:jc w:val="center"/>
              <w:rPr>
                <w:rFonts w:hint="eastAsia" w:eastAsia="方正仿宋_GBK"/>
                <w:sz w:val="24"/>
              </w:rPr>
            </w:pPr>
            <w:r>
              <w:rPr>
                <w:rFonts w:eastAsia="方正仿宋_GBK"/>
                <w:sz w:val="24"/>
              </w:rPr>
              <w:t>市级侨办</w:t>
            </w:r>
          </w:p>
          <w:p>
            <w:pPr>
              <w:spacing w:line="280" w:lineRule="exact"/>
              <w:jc w:val="center"/>
              <w:rPr>
                <w:rFonts w:eastAsia="方正仿宋_GBK"/>
                <w:sz w:val="24"/>
              </w:rPr>
            </w:pPr>
            <w:r>
              <w:rPr>
                <w:rFonts w:eastAsia="方正仿宋_GBK"/>
                <w:sz w:val="24"/>
              </w:rPr>
              <w:t>部门</w:t>
            </w:r>
          </w:p>
        </w:tc>
        <w:tc>
          <w:tcPr>
            <w:tcW w:w="703" w:type="pct"/>
            <w:noWrap w:val="0"/>
            <w:vAlign w:val="center"/>
          </w:tcPr>
          <w:p>
            <w:pPr>
              <w:tabs>
                <w:tab w:val="left" w:pos="720"/>
              </w:tabs>
              <w:spacing w:line="280" w:lineRule="exact"/>
              <w:jc w:val="left"/>
              <w:rPr>
                <w:rFonts w:eastAsia="方正仿宋_GBK"/>
                <w:sz w:val="24"/>
              </w:rPr>
            </w:pPr>
            <w:r>
              <w:rPr>
                <w:rFonts w:eastAsia="方正仿宋_GBK"/>
                <w:sz w:val="24"/>
              </w:rPr>
              <w:t>《江苏省华侨捐赠条例》</w:t>
            </w:r>
          </w:p>
        </w:tc>
        <w:tc>
          <w:tcPr>
            <w:tcW w:w="554" w:type="pct"/>
            <w:noWrap w:val="0"/>
            <w:vAlign w:val="center"/>
          </w:tcPr>
          <w:p>
            <w:pPr>
              <w:spacing w:line="280" w:lineRule="exact"/>
              <w:ind w:left="-105" w:leftChars="-50" w:right="-105" w:rightChars="-50"/>
              <w:jc w:val="center"/>
              <w:rPr>
                <w:rFonts w:eastAsia="方正仿宋_GBK"/>
                <w:sz w:val="24"/>
              </w:rPr>
            </w:pPr>
            <w:r>
              <w:rPr>
                <w:rFonts w:eastAsia="方正仿宋_GBK"/>
                <w:sz w:val="24"/>
              </w:rPr>
              <w:t>县级侨办部门</w:t>
            </w:r>
          </w:p>
        </w:tc>
        <w:tc>
          <w:tcPr>
            <w:tcW w:w="604" w:type="pct"/>
            <w:noWrap w:val="0"/>
            <w:vAlign w:val="center"/>
          </w:tcPr>
          <w:p>
            <w:pPr>
              <w:spacing w:line="280" w:lineRule="exact"/>
              <w:jc w:val="center"/>
              <w:rPr>
                <w:rFonts w:eastAsia="方正仿宋_GBK"/>
                <w:sz w:val="24"/>
              </w:rPr>
            </w:pPr>
            <w:r>
              <w:rPr>
                <w:rFonts w:eastAsia="方正仿宋_GBK"/>
                <w:sz w:val="24"/>
              </w:rPr>
              <w:t>下放</w:t>
            </w:r>
          </w:p>
        </w:tc>
        <w:tc>
          <w:tcPr>
            <w:tcW w:w="1318" w:type="pct"/>
            <w:noWrap w:val="0"/>
            <w:vAlign w:val="center"/>
          </w:tcPr>
          <w:p>
            <w:pPr>
              <w:spacing w:line="280" w:lineRule="exact"/>
              <w:jc w:val="left"/>
              <w:rPr>
                <w:rFonts w:eastAsia="方正仿宋_GBK"/>
                <w:sz w:val="24"/>
              </w:rPr>
            </w:pPr>
            <w:r>
              <w:rPr>
                <w:rFonts w:eastAsia="方正仿宋_GBK"/>
                <w:sz w:val="24"/>
              </w:rPr>
              <w:t>建立各司其职、各尽其责的联合监管机制。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280" w:lineRule="exact"/>
              <w:jc w:val="center"/>
              <w:rPr>
                <w:rFonts w:eastAsia="方正仿宋_GBK"/>
                <w:sz w:val="24"/>
              </w:rPr>
            </w:pPr>
            <w:r>
              <w:rPr>
                <w:rFonts w:eastAsia="方正仿宋_GBK"/>
                <w:sz w:val="24"/>
              </w:rPr>
              <w:t>6</w:t>
            </w:r>
          </w:p>
        </w:tc>
        <w:tc>
          <w:tcPr>
            <w:tcW w:w="1081" w:type="pct"/>
            <w:noWrap w:val="0"/>
            <w:vAlign w:val="center"/>
          </w:tcPr>
          <w:p>
            <w:pPr>
              <w:spacing w:line="280" w:lineRule="exact"/>
              <w:jc w:val="left"/>
              <w:rPr>
                <w:rFonts w:eastAsia="方正仿宋_GBK"/>
                <w:sz w:val="24"/>
              </w:rPr>
            </w:pPr>
            <w:r>
              <w:rPr>
                <w:rFonts w:eastAsia="方正仿宋_GBK"/>
                <w:sz w:val="24"/>
              </w:rPr>
              <w:t>养老机构备案</w:t>
            </w:r>
          </w:p>
        </w:tc>
        <w:tc>
          <w:tcPr>
            <w:tcW w:w="506" w:type="pct"/>
            <w:noWrap w:val="0"/>
            <w:vAlign w:val="center"/>
          </w:tcPr>
          <w:p>
            <w:pPr>
              <w:spacing w:line="280" w:lineRule="exact"/>
              <w:jc w:val="center"/>
              <w:rPr>
                <w:rFonts w:hint="eastAsia" w:eastAsia="方正仿宋_GBK"/>
                <w:sz w:val="24"/>
              </w:rPr>
            </w:pPr>
            <w:r>
              <w:rPr>
                <w:rFonts w:eastAsia="方正仿宋_GBK"/>
                <w:sz w:val="24"/>
              </w:rPr>
              <w:t>市级民政</w:t>
            </w:r>
          </w:p>
          <w:p>
            <w:pPr>
              <w:spacing w:line="280" w:lineRule="exact"/>
              <w:jc w:val="center"/>
              <w:rPr>
                <w:rFonts w:eastAsia="方正仿宋_GBK"/>
                <w:sz w:val="24"/>
              </w:rPr>
            </w:pPr>
            <w:r>
              <w:rPr>
                <w:rFonts w:eastAsia="方正仿宋_GBK"/>
                <w:sz w:val="24"/>
              </w:rPr>
              <w:t>部门</w:t>
            </w:r>
          </w:p>
        </w:tc>
        <w:tc>
          <w:tcPr>
            <w:tcW w:w="703" w:type="pct"/>
            <w:noWrap w:val="0"/>
            <w:vAlign w:val="center"/>
          </w:tcPr>
          <w:p>
            <w:pPr>
              <w:spacing w:line="280" w:lineRule="exact"/>
              <w:jc w:val="left"/>
              <w:rPr>
                <w:rFonts w:eastAsia="方正仿宋_GBK"/>
                <w:spacing w:val="-6"/>
                <w:sz w:val="24"/>
              </w:rPr>
            </w:pPr>
            <w:r>
              <w:rPr>
                <w:rFonts w:eastAsia="方正仿宋_GBK"/>
                <w:spacing w:val="-6"/>
                <w:sz w:val="24"/>
              </w:rPr>
              <w:t>《中华人民共和国老年人权益保障法》第四十三条</w:t>
            </w:r>
          </w:p>
        </w:tc>
        <w:tc>
          <w:tcPr>
            <w:tcW w:w="554" w:type="pct"/>
            <w:noWrap w:val="0"/>
            <w:vAlign w:val="center"/>
          </w:tcPr>
          <w:p>
            <w:pPr>
              <w:spacing w:line="280" w:lineRule="exact"/>
              <w:ind w:left="-105" w:leftChars="-50" w:right="-105" w:rightChars="-50"/>
              <w:jc w:val="center"/>
              <w:rPr>
                <w:rFonts w:eastAsia="方正仿宋_GBK"/>
                <w:sz w:val="24"/>
              </w:rPr>
            </w:pPr>
            <w:r>
              <w:rPr>
                <w:rFonts w:eastAsia="方正仿宋_GBK"/>
                <w:sz w:val="24"/>
              </w:rPr>
              <w:t>县级民政部门</w:t>
            </w:r>
          </w:p>
        </w:tc>
        <w:tc>
          <w:tcPr>
            <w:tcW w:w="604" w:type="pct"/>
            <w:noWrap w:val="0"/>
            <w:vAlign w:val="center"/>
          </w:tcPr>
          <w:p>
            <w:pPr>
              <w:spacing w:line="280" w:lineRule="exact"/>
              <w:jc w:val="center"/>
              <w:rPr>
                <w:rFonts w:eastAsia="方正仿宋_GBK"/>
                <w:sz w:val="24"/>
              </w:rPr>
            </w:pPr>
            <w:r>
              <w:rPr>
                <w:rFonts w:eastAsia="方正仿宋_GBK"/>
                <w:sz w:val="24"/>
              </w:rPr>
              <w:t>下放</w:t>
            </w:r>
          </w:p>
        </w:tc>
        <w:tc>
          <w:tcPr>
            <w:tcW w:w="1318" w:type="pct"/>
            <w:noWrap w:val="0"/>
            <w:vAlign w:val="center"/>
          </w:tcPr>
          <w:p>
            <w:pPr>
              <w:spacing w:line="280" w:lineRule="exact"/>
              <w:jc w:val="left"/>
              <w:rPr>
                <w:rFonts w:eastAsia="方正仿宋_GBK"/>
                <w:sz w:val="24"/>
              </w:rPr>
            </w:pPr>
            <w:r>
              <w:rPr>
                <w:rFonts w:eastAsia="方正仿宋_GBK"/>
                <w:sz w:val="24"/>
              </w:rPr>
              <w:t>1</w:t>
            </w:r>
            <w:r>
              <w:rPr>
                <w:rFonts w:hint="eastAsia" w:eastAsia="方正仿宋_GBK"/>
                <w:sz w:val="24"/>
              </w:rPr>
              <w:t xml:space="preserve">. </w:t>
            </w:r>
            <w:r>
              <w:rPr>
                <w:rFonts w:eastAsia="方正仿宋_GBK"/>
                <w:sz w:val="24"/>
              </w:rPr>
              <w:t>建立各司其职、各尽其责的跨部门联合监管机制。</w:t>
            </w:r>
          </w:p>
          <w:p>
            <w:pPr>
              <w:spacing w:line="280" w:lineRule="exact"/>
              <w:jc w:val="left"/>
              <w:rPr>
                <w:rFonts w:eastAsia="方正仿宋_GBK"/>
                <w:sz w:val="24"/>
              </w:rPr>
            </w:pPr>
            <w:r>
              <w:rPr>
                <w:rFonts w:eastAsia="方正仿宋_GBK"/>
                <w:sz w:val="24"/>
              </w:rPr>
              <w:t>2</w:t>
            </w:r>
            <w:r>
              <w:rPr>
                <w:rFonts w:hint="eastAsia" w:eastAsia="方正仿宋_GBK"/>
                <w:sz w:val="24"/>
              </w:rPr>
              <w:t xml:space="preserve">. </w:t>
            </w:r>
            <w:r>
              <w:rPr>
                <w:rFonts w:eastAsia="方正仿宋_GBK"/>
                <w:sz w:val="24"/>
              </w:rPr>
              <w:t>建立健全养老服务失信联合惩戒机制和养老服务黑名单制度，对于失信被纳入黑名单的养老机构实行重点监管。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280" w:lineRule="exact"/>
              <w:jc w:val="center"/>
              <w:rPr>
                <w:rFonts w:eastAsia="方正仿宋_GBK"/>
                <w:sz w:val="24"/>
              </w:rPr>
            </w:pPr>
            <w:r>
              <w:rPr>
                <w:rFonts w:eastAsia="方正仿宋_GBK"/>
                <w:sz w:val="24"/>
              </w:rPr>
              <w:t>7</w:t>
            </w:r>
          </w:p>
        </w:tc>
        <w:tc>
          <w:tcPr>
            <w:tcW w:w="1081" w:type="pct"/>
            <w:noWrap w:val="0"/>
            <w:vAlign w:val="center"/>
          </w:tcPr>
          <w:p>
            <w:pPr>
              <w:spacing w:line="280" w:lineRule="exact"/>
              <w:jc w:val="left"/>
              <w:rPr>
                <w:rFonts w:eastAsia="方正仿宋_GBK"/>
                <w:sz w:val="24"/>
              </w:rPr>
            </w:pPr>
            <w:r>
              <w:rPr>
                <w:rFonts w:eastAsia="方正仿宋_GBK"/>
                <w:sz w:val="24"/>
              </w:rPr>
              <w:t>房屋租赁登记</w:t>
            </w:r>
          </w:p>
        </w:tc>
        <w:tc>
          <w:tcPr>
            <w:tcW w:w="506" w:type="pct"/>
            <w:noWrap w:val="0"/>
            <w:vAlign w:val="center"/>
          </w:tcPr>
          <w:p>
            <w:pPr>
              <w:pStyle w:val="4"/>
              <w:spacing w:line="280" w:lineRule="exact"/>
              <w:jc w:val="center"/>
              <w:rPr>
                <w:rFonts w:hint="eastAsia" w:ascii="Times New Roman" w:hAnsi="Times New Roman" w:eastAsia="方正仿宋_GBK" w:cs="Times New Roman"/>
                <w:color w:val="auto"/>
                <w:kern w:val="2"/>
              </w:rPr>
            </w:pPr>
            <w:r>
              <w:rPr>
                <w:rFonts w:ascii="Times New Roman" w:hAnsi="Times New Roman" w:eastAsia="方正仿宋_GBK" w:cs="Times New Roman"/>
                <w:color w:val="auto"/>
                <w:kern w:val="2"/>
              </w:rPr>
              <w:t>市级住建</w:t>
            </w:r>
          </w:p>
          <w:p>
            <w:pPr>
              <w:pStyle w:val="4"/>
              <w:spacing w:line="280" w:lineRule="exact"/>
              <w:jc w:val="center"/>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部门</w:t>
            </w:r>
          </w:p>
        </w:tc>
        <w:tc>
          <w:tcPr>
            <w:tcW w:w="703" w:type="pct"/>
            <w:noWrap w:val="0"/>
            <w:vAlign w:val="center"/>
          </w:tcPr>
          <w:p>
            <w:pPr>
              <w:pStyle w:val="4"/>
              <w:spacing w:line="280" w:lineRule="exact"/>
              <w:rPr>
                <w:rFonts w:ascii="Times New Roman" w:hAnsi="Times New Roman" w:eastAsia="方正仿宋_GBK" w:cs="Times New Roman"/>
                <w:color w:val="auto"/>
                <w:kern w:val="2"/>
              </w:rPr>
            </w:pPr>
            <w:r>
              <w:rPr>
                <w:rFonts w:ascii="Times New Roman" w:hAnsi="Times New Roman" w:eastAsia="方正仿宋_GBK" w:cs="Times New Roman"/>
              </w:rPr>
              <w:t>《中华人民共和国城市房地产管理法》第五十四条；《商品房屋租赁管理办法》（住房和城乡建设部令第6号）</w:t>
            </w:r>
          </w:p>
        </w:tc>
        <w:tc>
          <w:tcPr>
            <w:tcW w:w="554" w:type="pct"/>
            <w:noWrap w:val="0"/>
            <w:vAlign w:val="center"/>
          </w:tcPr>
          <w:p>
            <w:pPr>
              <w:spacing w:line="280" w:lineRule="exact"/>
              <w:ind w:left="-105" w:leftChars="-50" w:right="-105" w:rightChars="-50"/>
              <w:jc w:val="center"/>
              <w:rPr>
                <w:rFonts w:eastAsia="方正仿宋_GBK"/>
                <w:sz w:val="24"/>
              </w:rPr>
            </w:pPr>
            <w:r>
              <w:rPr>
                <w:rFonts w:eastAsia="方正仿宋_GBK"/>
                <w:sz w:val="24"/>
              </w:rPr>
              <w:t>县级住建部门</w:t>
            </w:r>
          </w:p>
        </w:tc>
        <w:tc>
          <w:tcPr>
            <w:tcW w:w="604" w:type="pct"/>
            <w:noWrap w:val="0"/>
            <w:vAlign w:val="center"/>
          </w:tcPr>
          <w:p>
            <w:pPr>
              <w:pStyle w:val="4"/>
              <w:spacing w:line="280" w:lineRule="exact"/>
              <w:jc w:val="center"/>
              <w:rPr>
                <w:rFonts w:ascii="Times New Roman" w:hAnsi="Times New Roman" w:eastAsia="方正仿宋_GBK" w:cs="Times New Roman"/>
              </w:rPr>
            </w:pPr>
            <w:r>
              <w:rPr>
                <w:rFonts w:ascii="Times New Roman" w:hAnsi="Times New Roman" w:eastAsia="方正仿宋_GBK" w:cs="Times New Roman"/>
              </w:rPr>
              <w:t>下放</w:t>
            </w:r>
          </w:p>
        </w:tc>
        <w:tc>
          <w:tcPr>
            <w:tcW w:w="1318" w:type="pct"/>
            <w:noWrap w:val="0"/>
            <w:vAlign w:val="center"/>
          </w:tcPr>
          <w:p>
            <w:pPr>
              <w:pStyle w:val="4"/>
              <w:spacing w:line="280" w:lineRule="exact"/>
              <w:rPr>
                <w:rFonts w:ascii="Times New Roman" w:hAnsi="Times New Roman" w:eastAsia="方正仿宋_GBK" w:cs="Times New Roman"/>
              </w:rPr>
            </w:pPr>
            <w:r>
              <w:rPr>
                <w:rFonts w:ascii="Times New Roman" w:hAnsi="Times New Roman" w:eastAsia="方正仿宋_GBK" w:cs="Times New Roman"/>
              </w:rPr>
              <w:t>1.</w:t>
            </w:r>
            <w:r>
              <w:rPr>
                <w:rFonts w:hint="eastAsia" w:ascii="Times New Roman" w:hAnsi="Times New Roman" w:eastAsia="方正仿宋_GBK" w:cs="Times New Roman"/>
              </w:rPr>
              <w:t xml:space="preserve"> </w:t>
            </w:r>
            <w:r>
              <w:rPr>
                <w:rFonts w:ascii="Times New Roman" w:hAnsi="Times New Roman" w:eastAsia="方正仿宋_GBK" w:cs="Times New Roman"/>
              </w:rPr>
              <w:t>市级住建部门加强对辖市（区）的业务指导和监督检查；2.</w:t>
            </w:r>
            <w:r>
              <w:rPr>
                <w:rFonts w:hint="eastAsia" w:ascii="Times New Roman" w:hAnsi="Times New Roman" w:eastAsia="方正仿宋_GBK" w:cs="Times New Roman"/>
              </w:rPr>
              <w:t xml:space="preserve"> </w:t>
            </w:r>
            <w:r>
              <w:rPr>
                <w:rFonts w:ascii="Times New Roman" w:hAnsi="Times New Roman" w:eastAsia="方正仿宋_GBK" w:cs="Times New Roman"/>
              </w:rPr>
              <w:t>利用“常州市房屋租赁服务监管平台”规范业务流程，加强事中事后监管。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280" w:lineRule="exact"/>
              <w:jc w:val="center"/>
              <w:rPr>
                <w:rFonts w:eastAsia="方正仿宋_GBK"/>
                <w:sz w:val="24"/>
              </w:rPr>
            </w:pPr>
            <w:r>
              <w:rPr>
                <w:rFonts w:eastAsia="方正仿宋_GBK"/>
                <w:sz w:val="24"/>
              </w:rPr>
              <w:t>8</w:t>
            </w:r>
          </w:p>
        </w:tc>
        <w:tc>
          <w:tcPr>
            <w:tcW w:w="1081" w:type="pct"/>
            <w:noWrap w:val="0"/>
            <w:vAlign w:val="center"/>
          </w:tcPr>
          <w:p>
            <w:pPr>
              <w:spacing w:line="280" w:lineRule="exact"/>
              <w:jc w:val="left"/>
              <w:rPr>
                <w:rFonts w:eastAsia="方正仿宋_GBK"/>
                <w:sz w:val="24"/>
              </w:rPr>
            </w:pPr>
            <w:r>
              <w:rPr>
                <w:rFonts w:eastAsia="方正仿宋_GBK"/>
                <w:sz w:val="24"/>
              </w:rPr>
              <w:t>从事艺术品经营活动的经营单位备案</w:t>
            </w:r>
          </w:p>
        </w:tc>
        <w:tc>
          <w:tcPr>
            <w:tcW w:w="506" w:type="pct"/>
            <w:noWrap w:val="0"/>
            <w:vAlign w:val="center"/>
          </w:tcPr>
          <w:p>
            <w:pPr>
              <w:spacing w:line="280" w:lineRule="exact"/>
              <w:jc w:val="center"/>
              <w:rPr>
                <w:rFonts w:eastAsia="方正仿宋_GBK"/>
                <w:sz w:val="24"/>
              </w:rPr>
            </w:pPr>
            <w:r>
              <w:rPr>
                <w:rFonts w:eastAsia="方正仿宋_GBK"/>
                <w:sz w:val="24"/>
              </w:rPr>
              <w:t>市级文化和旅游部门</w:t>
            </w:r>
          </w:p>
        </w:tc>
        <w:tc>
          <w:tcPr>
            <w:tcW w:w="703" w:type="pct"/>
            <w:noWrap w:val="0"/>
            <w:vAlign w:val="center"/>
          </w:tcPr>
          <w:p>
            <w:pPr>
              <w:spacing w:line="280" w:lineRule="exact"/>
              <w:jc w:val="left"/>
              <w:rPr>
                <w:rFonts w:eastAsia="方正仿宋_GBK"/>
                <w:sz w:val="24"/>
              </w:rPr>
            </w:pPr>
            <w:r>
              <w:rPr>
                <w:rFonts w:eastAsia="方正仿宋_GBK"/>
                <w:sz w:val="24"/>
              </w:rPr>
              <w:t>《艺术品经营管理办法》</w:t>
            </w:r>
          </w:p>
        </w:tc>
        <w:tc>
          <w:tcPr>
            <w:tcW w:w="554" w:type="pct"/>
            <w:noWrap w:val="0"/>
            <w:vAlign w:val="center"/>
          </w:tcPr>
          <w:p>
            <w:pPr>
              <w:spacing w:line="280" w:lineRule="exact"/>
              <w:jc w:val="center"/>
              <w:rPr>
                <w:rFonts w:eastAsia="方正仿宋_GBK"/>
                <w:sz w:val="24"/>
              </w:rPr>
            </w:pPr>
            <w:r>
              <w:rPr>
                <w:rFonts w:eastAsia="方正仿宋_GBK"/>
                <w:sz w:val="24"/>
              </w:rPr>
              <w:t>县级文化和旅游部门</w:t>
            </w:r>
          </w:p>
        </w:tc>
        <w:tc>
          <w:tcPr>
            <w:tcW w:w="604" w:type="pct"/>
            <w:noWrap w:val="0"/>
            <w:vAlign w:val="center"/>
          </w:tcPr>
          <w:p>
            <w:pPr>
              <w:spacing w:line="280" w:lineRule="exact"/>
              <w:jc w:val="center"/>
              <w:rPr>
                <w:rFonts w:eastAsia="方正仿宋_GBK"/>
                <w:sz w:val="24"/>
              </w:rPr>
            </w:pPr>
            <w:r>
              <w:rPr>
                <w:rFonts w:eastAsia="方正仿宋_GBK"/>
                <w:sz w:val="24"/>
              </w:rPr>
              <w:t>下放</w:t>
            </w:r>
          </w:p>
        </w:tc>
        <w:tc>
          <w:tcPr>
            <w:tcW w:w="1318" w:type="pct"/>
            <w:noWrap w:val="0"/>
            <w:vAlign w:val="center"/>
          </w:tcPr>
          <w:p>
            <w:pPr>
              <w:spacing w:line="280" w:lineRule="exact"/>
              <w:jc w:val="left"/>
              <w:rPr>
                <w:rFonts w:eastAsia="方正仿宋_GBK"/>
                <w:sz w:val="24"/>
              </w:rPr>
            </w:pPr>
            <w:r>
              <w:rPr>
                <w:rFonts w:eastAsia="方正仿宋_GBK"/>
                <w:sz w:val="24"/>
              </w:rPr>
              <w:t>通过以下措施加强监管：</w:t>
            </w:r>
          </w:p>
          <w:p>
            <w:pPr>
              <w:spacing w:line="280" w:lineRule="exact"/>
              <w:jc w:val="left"/>
              <w:rPr>
                <w:rFonts w:eastAsia="方正仿宋_GBK"/>
                <w:sz w:val="24"/>
              </w:rPr>
            </w:pPr>
            <w:r>
              <w:rPr>
                <w:rFonts w:eastAsia="方正仿宋_GBK"/>
                <w:sz w:val="24"/>
              </w:rPr>
              <w:t>1</w:t>
            </w:r>
            <w:r>
              <w:rPr>
                <w:rFonts w:hint="eastAsia" w:eastAsia="方正仿宋_GBK"/>
                <w:sz w:val="24"/>
              </w:rPr>
              <w:t xml:space="preserve">. </w:t>
            </w:r>
            <w:r>
              <w:rPr>
                <w:rFonts w:eastAsia="方正仿宋_GBK"/>
                <w:sz w:val="24"/>
              </w:rPr>
              <w:t>县级文化和旅游部门严格按照《艺术品经营管理办法》的规定开展审批业务。</w:t>
            </w:r>
          </w:p>
          <w:p>
            <w:pPr>
              <w:spacing w:line="280" w:lineRule="exact"/>
              <w:jc w:val="left"/>
              <w:rPr>
                <w:rFonts w:eastAsia="方正仿宋_GBK"/>
                <w:sz w:val="24"/>
              </w:rPr>
            </w:pPr>
            <w:r>
              <w:rPr>
                <w:rFonts w:eastAsia="方正仿宋_GBK"/>
                <w:sz w:val="24"/>
              </w:rPr>
              <w:t>2</w:t>
            </w:r>
            <w:r>
              <w:rPr>
                <w:rFonts w:hint="eastAsia" w:eastAsia="方正仿宋_GBK"/>
                <w:sz w:val="24"/>
              </w:rPr>
              <w:t xml:space="preserve">. </w:t>
            </w:r>
            <w:r>
              <w:rPr>
                <w:rFonts w:eastAsia="方正仿宋_GBK"/>
                <w:sz w:val="24"/>
              </w:rPr>
              <w:t>按照“双随机、一公开”要求，对艺术品经营企业实施日常检查、专项检查和监督抽查。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9</w:t>
            </w:r>
          </w:p>
        </w:tc>
        <w:tc>
          <w:tcPr>
            <w:tcW w:w="1081" w:type="pct"/>
            <w:noWrap w:val="0"/>
            <w:vAlign w:val="center"/>
          </w:tcPr>
          <w:p>
            <w:pPr>
              <w:spacing w:line="320" w:lineRule="exact"/>
              <w:jc w:val="left"/>
              <w:rPr>
                <w:rFonts w:eastAsia="方正仿宋_GBK"/>
                <w:sz w:val="24"/>
              </w:rPr>
            </w:pPr>
            <w:r>
              <w:rPr>
                <w:rFonts w:eastAsia="方正仿宋_GBK"/>
                <w:sz w:val="24"/>
              </w:rPr>
              <w:t>危险化学品经营许可</w:t>
            </w:r>
          </w:p>
        </w:tc>
        <w:tc>
          <w:tcPr>
            <w:tcW w:w="506" w:type="pct"/>
            <w:noWrap w:val="0"/>
            <w:vAlign w:val="center"/>
          </w:tcPr>
          <w:p>
            <w:pPr>
              <w:pStyle w:val="4"/>
              <w:spacing w:line="320" w:lineRule="exact"/>
              <w:jc w:val="center"/>
              <w:rPr>
                <w:rFonts w:hint="eastAsia" w:ascii="Times New Roman" w:hAnsi="Times New Roman" w:eastAsia="方正仿宋_GBK" w:cs="Times New Roman"/>
              </w:rPr>
            </w:pPr>
            <w:r>
              <w:rPr>
                <w:rFonts w:ascii="Times New Roman" w:hAnsi="Times New Roman" w:eastAsia="方正仿宋_GBK" w:cs="Times New Roman"/>
              </w:rPr>
              <w:t>市、县级</w:t>
            </w:r>
          </w:p>
          <w:p>
            <w:pPr>
              <w:pStyle w:val="4"/>
              <w:spacing w:line="320" w:lineRule="exact"/>
              <w:ind w:left="-105" w:leftChars="-50" w:right="-105" w:rightChars="-50"/>
              <w:jc w:val="center"/>
              <w:rPr>
                <w:rFonts w:ascii="Times New Roman" w:hAnsi="Times New Roman" w:eastAsia="方正仿宋_GBK" w:cs="Times New Roman"/>
                <w:color w:val="auto"/>
                <w:spacing w:val="-6"/>
                <w:kern w:val="2"/>
              </w:rPr>
            </w:pPr>
            <w:r>
              <w:rPr>
                <w:rFonts w:ascii="Times New Roman" w:hAnsi="Times New Roman" w:eastAsia="方正仿宋_GBK" w:cs="Times New Roman"/>
                <w:spacing w:val="-6"/>
              </w:rPr>
              <w:t>应急管理部门</w:t>
            </w:r>
          </w:p>
        </w:tc>
        <w:tc>
          <w:tcPr>
            <w:tcW w:w="703" w:type="pct"/>
            <w:noWrap w:val="0"/>
            <w:vAlign w:val="center"/>
          </w:tcPr>
          <w:p>
            <w:pPr>
              <w:spacing w:line="320" w:lineRule="exact"/>
              <w:jc w:val="left"/>
              <w:rPr>
                <w:rFonts w:eastAsia="方正仿宋_GBK"/>
                <w:sz w:val="24"/>
              </w:rPr>
            </w:pPr>
            <w:r>
              <w:rPr>
                <w:rFonts w:eastAsia="方正仿宋_GBK"/>
                <w:sz w:val="24"/>
              </w:rPr>
              <w:t>《危险化学品经营许可证管理办法》（原国家安监总局令第55号）</w:t>
            </w:r>
          </w:p>
        </w:tc>
        <w:tc>
          <w:tcPr>
            <w:tcW w:w="554" w:type="pct"/>
            <w:noWrap w:val="0"/>
            <w:vAlign w:val="center"/>
          </w:tcPr>
          <w:p>
            <w:pPr>
              <w:spacing w:line="320" w:lineRule="exact"/>
              <w:jc w:val="center"/>
              <w:rPr>
                <w:rFonts w:hint="eastAsia" w:eastAsia="方正仿宋_GBK"/>
                <w:sz w:val="24"/>
              </w:rPr>
            </w:pPr>
            <w:r>
              <w:rPr>
                <w:rFonts w:eastAsia="方正仿宋_GBK"/>
                <w:sz w:val="24"/>
              </w:rPr>
              <w:t>县级应急</w:t>
            </w:r>
          </w:p>
          <w:p>
            <w:pPr>
              <w:spacing w:line="320" w:lineRule="exact"/>
              <w:jc w:val="center"/>
              <w:rPr>
                <w:rFonts w:eastAsia="方正仿宋_GBK"/>
                <w:sz w:val="24"/>
              </w:rPr>
            </w:pPr>
            <w:r>
              <w:rPr>
                <w:rFonts w:eastAsia="方正仿宋_GBK"/>
                <w:sz w:val="24"/>
              </w:rPr>
              <w:t>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委托</w:t>
            </w:r>
          </w:p>
        </w:tc>
        <w:tc>
          <w:tcPr>
            <w:tcW w:w="1318" w:type="pct"/>
            <w:noWrap w:val="0"/>
            <w:vAlign w:val="center"/>
          </w:tcPr>
          <w:p>
            <w:pPr>
              <w:pStyle w:val="5"/>
              <w:spacing w:line="28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lang w:val="en-US"/>
              </w:rPr>
              <w:t>1</w:t>
            </w:r>
            <w:r>
              <w:rPr>
                <w:rFonts w:hint="eastAsia" w:ascii="Times New Roman" w:hAnsi="Times New Roman" w:eastAsia="方正仿宋_GBK" w:cs="Times New Roman"/>
                <w:sz w:val="24"/>
                <w:szCs w:val="24"/>
                <w:lang w:val="en-US"/>
              </w:rPr>
              <w:t xml:space="preserve">. </w:t>
            </w:r>
            <w:r>
              <w:rPr>
                <w:rFonts w:ascii="Times New Roman" w:hAnsi="Times New Roman" w:eastAsia="方正仿宋_GBK" w:cs="Times New Roman"/>
                <w:sz w:val="24"/>
                <w:szCs w:val="24"/>
                <w:lang w:val="en-US"/>
              </w:rPr>
              <w:t>按照《常州市应急管理局深化行政审批制度改革加强事中事后监管实施办法）》（常应急〔2020〕28号）加强事中、事后监管，及</w:t>
            </w:r>
            <w:r>
              <w:rPr>
                <w:rFonts w:ascii="Times New Roman" w:hAnsi="Times New Roman" w:eastAsia="方正仿宋_GBK" w:cs="Times New Roman"/>
                <w:spacing w:val="-8"/>
                <w:sz w:val="24"/>
                <w:szCs w:val="24"/>
                <w:lang w:val="en-US"/>
              </w:rPr>
              <w:t>时修订办事指南，完善监管计划，明确监管标准，优化监管措施，强化信用监管，确保各项措施落实到位</w:t>
            </w:r>
            <w:r>
              <w:rPr>
                <w:rFonts w:ascii="Times New Roman" w:hAnsi="Times New Roman" w:eastAsia="方正仿宋_GBK" w:cs="Times New Roman"/>
                <w:spacing w:val="-8"/>
                <w:sz w:val="24"/>
                <w:szCs w:val="24"/>
              </w:rPr>
              <w:t>。</w:t>
            </w:r>
          </w:p>
          <w:p>
            <w:pPr>
              <w:pStyle w:val="5"/>
              <w:spacing w:line="28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2</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z w:val="24"/>
                <w:szCs w:val="24"/>
              </w:rPr>
              <w:t>进一步减少审批程序，优化审批流程，</w:t>
            </w:r>
            <w:r>
              <w:rPr>
                <w:rFonts w:ascii="Times New Roman" w:hAnsi="Times New Roman" w:eastAsia="方正仿宋_GBK" w:cs="Times New Roman"/>
                <w:sz w:val="24"/>
                <w:szCs w:val="24"/>
                <w:lang w:val="en-US"/>
              </w:rPr>
              <w:t>严格审批标准，</w:t>
            </w:r>
            <w:r>
              <w:rPr>
                <w:rFonts w:ascii="Times New Roman" w:hAnsi="Times New Roman" w:eastAsia="方正仿宋_GBK" w:cs="Times New Roman"/>
                <w:sz w:val="24"/>
                <w:szCs w:val="24"/>
              </w:rPr>
              <w:t>严格落实审批时限，</w:t>
            </w:r>
            <w:r>
              <w:rPr>
                <w:rFonts w:ascii="Times New Roman" w:hAnsi="Times New Roman" w:eastAsia="方正仿宋_GBK" w:cs="Times New Roman"/>
                <w:spacing w:val="-1"/>
                <w:sz w:val="24"/>
                <w:szCs w:val="24"/>
              </w:rPr>
              <w:t>不断强化责任意识，提</w:t>
            </w:r>
            <w:r>
              <w:rPr>
                <w:rFonts w:ascii="Times New Roman" w:hAnsi="Times New Roman" w:eastAsia="方正仿宋_GBK" w:cs="Times New Roman"/>
                <w:sz w:val="24"/>
                <w:szCs w:val="24"/>
              </w:rPr>
              <w:t>高服务质量。</w:t>
            </w:r>
          </w:p>
          <w:p>
            <w:pPr>
              <w:pStyle w:val="5"/>
              <w:spacing w:line="28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3</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pacing w:val="-9"/>
                <w:sz w:val="24"/>
                <w:szCs w:val="24"/>
              </w:rPr>
              <w:t>建设专业队伍，提供坚实的人才保障。继续做好审批工作人员</w:t>
            </w:r>
            <w:r>
              <w:rPr>
                <w:rFonts w:ascii="Times New Roman" w:hAnsi="Times New Roman" w:eastAsia="方正仿宋_GBK" w:cs="Times New Roman"/>
                <w:spacing w:val="-10"/>
                <w:sz w:val="24"/>
                <w:szCs w:val="24"/>
              </w:rPr>
              <w:t>培训，打造专业规范的审批</w:t>
            </w:r>
            <w:r>
              <w:rPr>
                <w:rFonts w:ascii="Times New Roman" w:hAnsi="Times New Roman" w:eastAsia="方正仿宋_GBK" w:cs="Times New Roman"/>
                <w:sz w:val="24"/>
                <w:szCs w:val="24"/>
              </w:rPr>
              <w:t>队伍。县级应急管理部门、行政审批部门制定具体的工作方案和工作制度，保证本地区经营许可证审核、颁发管理相关工作的有序衔接。</w:t>
            </w:r>
          </w:p>
          <w:p>
            <w:pPr>
              <w:pStyle w:val="5"/>
              <w:spacing w:line="280" w:lineRule="exact"/>
              <w:jc w:val="left"/>
              <w:rPr>
                <w:rFonts w:ascii="Times New Roman" w:hAnsi="Times New Roman" w:eastAsia="方正仿宋_GBK" w:cs="Times New Roman"/>
                <w:spacing w:val="-9"/>
                <w:sz w:val="24"/>
                <w:szCs w:val="24"/>
              </w:rPr>
            </w:pPr>
            <w:r>
              <w:rPr>
                <w:rFonts w:ascii="Times New Roman" w:hAnsi="Times New Roman" w:eastAsia="方正仿宋_GBK" w:cs="Times New Roman"/>
                <w:sz w:val="24"/>
                <w:szCs w:val="24"/>
              </w:rPr>
              <w:t>4</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pacing w:val="-1"/>
                <w:sz w:val="24"/>
                <w:szCs w:val="24"/>
              </w:rPr>
              <w:t>加强信息化建设，进一步加强对审批发证信息的数据对接，各地区发证信息及时对接大数据中心及一体化平台</w:t>
            </w:r>
            <w:r>
              <w:rPr>
                <w:rFonts w:ascii="Times New Roman" w:hAnsi="Times New Roman" w:eastAsia="方正仿宋_GBK" w:cs="Times New Roman"/>
                <w:spacing w:val="-9"/>
                <w:sz w:val="24"/>
                <w:szCs w:val="24"/>
              </w:rPr>
              <w:t>，方便其他部门对审批发证信息的共享。</w:t>
            </w:r>
          </w:p>
          <w:p>
            <w:pPr>
              <w:pStyle w:val="5"/>
              <w:spacing w:line="280" w:lineRule="exact"/>
              <w:jc w:val="left"/>
              <w:rPr>
                <w:rFonts w:ascii="Times New Roman" w:hAnsi="Times New Roman" w:eastAsia="方正仿宋_GBK" w:cs="Times New Roman"/>
                <w:sz w:val="24"/>
                <w:szCs w:val="24"/>
              </w:rPr>
            </w:pPr>
            <w:r>
              <w:rPr>
                <w:rFonts w:ascii="Times New Roman" w:hAnsi="Times New Roman" w:eastAsia="方正仿宋_GBK" w:cs="Times New Roman"/>
                <w:spacing w:val="-9"/>
                <w:sz w:val="24"/>
                <w:szCs w:val="24"/>
              </w:rPr>
              <w:t>5</w:t>
            </w:r>
            <w:r>
              <w:rPr>
                <w:rFonts w:hint="eastAsia" w:ascii="Times New Roman" w:hAnsi="Times New Roman" w:eastAsia="方正仿宋_GBK" w:cs="Times New Roman"/>
                <w:spacing w:val="-9"/>
                <w:sz w:val="24"/>
                <w:szCs w:val="24"/>
              </w:rPr>
              <w:t xml:space="preserve">. </w:t>
            </w:r>
            <w:r>
              <w:rPr>
                <w:rFonts w:ascii="Times New Roman" w:hAnsi="Times New Roman" w:eastAsia="方正仿宋_GBK" w:cs="Times New Roman"/>
                <w:sz w:val="24"/>
                <w:szCs w:val="24"/>
              </w:rPr>
              <w:t>县级应急管理部门、行政审批部门</w:t>
            </w:r>
            <w:r>
              <w:rPr>
                <w:rFonts w:ascii="Times New Roman" w:hAnsi="Times New Roman" w:eastAsia="方正仿宋_GBK" w:cs="Times New Roman"/>
                <w:spacing w:val="-9"/>
                <w:sz w:val="24"/>
                <w:szCs w:val="24"/>
              </w:rPr>
              <w:t>要加强对经营许可证的监督管理，建立，健全经营许可证审批、颁发档案管理制度，定期向社会公布企业取得经营许可证及注销的情况</w:t>
            </w:r>
            <w:r>
              <w:rPr>
                <w:rFonts w:ascii="Times New Roman" w:hAnsi="Times New Roman" w:eastAsia="方正仿宋_GBK" w:cs="Times New Roman"/>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10</w:t>
            </w:r>
          </w:p>
        </w:tc>
        <w:tc>
          <w:tcPr>
            <w:tcW w:w="1081" w:type="pct"/>
            <w:noWrap w:val="0"/>
            <w:vAlign w:val="center"/>
          </w:tcPr>
          <w:p>
            <w:pPr>
              <w:spacing w:line="320" w:lineRule="exact"/>
              <w:jc w:val="left"/>
              <w:rPr>
                <w:rFonts w:eastAsia="方正仿宋_GBK"/>
                <w:sz w:val="24"/>
              </w:rPr>
            </w:pPr>
            <w:r>
              <w:rPr>
                <w:rFonts w:eastAsia="方正仿宋_GBK"/>
                <w:sz w:val="24"/>
              </w:rPr>
              <w:t>危险化学品生产、储存建设项目安全条件审查</w:t>
            </w:r>
          </w:p>
          <w:p>
            <w:pPr>
              <w:spacing w:line="320" w:lineRule="exact"/>
              <w:jc w:val="left"/>
              <w:rPr>
                <w:rFonts w:eastAsia="方正仿宋_GBK"/>
                <w:sz w:val="24"/>
              </w:rPr>
            </w:pPr>
            <w:r>
              <w:rPr>
                <w:rFonts w:eastAsia="方正仿宋_GBK"/>
                <w:sz w:val="24"/>
              </w:rPr>
              <w:t>（除下列建设项目以外1</w:t>
            </w:r>
            <w:r>
              <w:rPr>
                <w:rFonts w:hint="eastAsia" w:eastAsia="方正仿宋_GBK"/>
                <w:sz w:val="24"/>
              </w:rPr>
              <w:t xml:space="preserve">. </w:t>
            </w:r>
            <w:r>
              <w:rPr>
                <w:rFonts w:eastAsia="方正仿宋_GBK"/>
                <w:sz w:val="24"/>
              </w:rPr>
              <w:t>涉及重点监管危险化工工艺的；2</w:t>
            </w:r>
            <w:r>
              <w:rPr>
                <w:rFonts w:hint="eastAsia" w:eastAsia="方正仿宋_GBK"/>
                <w:sz w:val="24"/>
              </w:rPr>
              <w:t xml:space="preserve">. </w:t>
            </w:r>
            <w:r>
              <w:rPr>
                <w:rFonts w:eastAsia="方正仿宋_GBK"/>
                <w:sz w:val="24"/>
              </w:rPr>
              <w:t>涉及重点监管危险化学品中的有毒气体、液化气体、易燃液体、爆炸品且构成重大危险源的；3</w:t>
            </w:r>
            <w:r>
              <w:rPr>
                <w:rFonts w:hint="eastAsia" w:eastAsia="方正仿宋_GBK"/>
                <w:sz w:val="24"/>
              </w:rPr>
              <w:t xml:space="preserve">. </w:t>
            </w:r>
            <w:r>
              <w:rPr>
                <w:rFonts w:eastAsia="方正仿宋_GBK"/>
                <w:sz w:val="24"/>
              </w:rPr>
              <w:t>剧毒化学品储存建设项目；4</w:t>
            </w:r>
            <w:r>
              <w:rPr>
                <w:rFonts w:hint="eastAsia" w:eastAsia="方正仿宋_GBK"/>
                <w:sz w:val="24"/>
              </w:rPr>
              <w:t xml:space="preserve">. </w:t>
            </w:r>
            <w:r>
              <w:rPr>
                <w:rFonts w:eastAsia="方正仿宋_GBK"/>
                <w:sz w:val="24"/>
              </w:rPr>
              <w:t>市管企业的建设项目；5</w:t>
            </w:r>
            <w:r>
              <w:rPr>
                <w:rFonts w:hint="eastAsia" w:eastAsia="方正仿宋_GBK"/>
                <w:sz w:val="24"/>
              </w:rPr>
              <w:t xml:space="preserve">. </w:t>
            </w:r>
            <w:r>
              <w:rPr>
                <w:rFonts w:eastAsia="方正仿宋_GBK"/>
                <w:sz w:val="24"/>
              </w:rPr>
              <w:t>省应急管理厅委托实施的建设项目；6</w:t>
            </w:r>
            <w:r>
              <w:rPr>
                <w:rFonts w:hint="eastAsia" w:eastAsia="方正仿宋_GBK"/>
                <w:sz w:val="24"/>
              </w:rPr>
              <w:t xml:space="preserve">. </w:t>
            </w:r>
            <w:r>
              <w:rPr>
                <w:rFonts w:eastAsia="方正仿宋_GBK"/>
                <w:sz w:val="24"/>
              </w:rPr>
              <w:t>跨辖市、区的危险化学品长输管道建设项目）</w:t>
            </w:r>
          </w:p>
        </w:tc>
        <w:tc>
          <w:tcPr>
            <w:tcW w:w="506" w:type="pct"/>
            <w:noWrap w:val="0"/>
            <w:vAlign w:val="center"/>
          </w:tcPr>
          <w:p>
            <w:pPr>
              <w:pStyle w:val="4"/>
              <w:spacing w:line="320" w:lineRule="exact"/>
              <w:jc w:val="center"/>
              <w:rPr>
                <w:rFonts w:hint="eastAsia" w:ascii="Times New Roman" w:hAnsi="Times New Roman" w:eastAsia="方正仿宋_GBK" w:cs="Times New Roman"/>
              </w:rPr>
            </w:pPr>
            <w:r>
              <w:rPr>
                <w:rFonts w:ascii="Times New Roman" w:hAnsi="Times New Roman" w:eastAsia="方正仿宋_GBK" w:cs="Times New Roman"/>
              </w:rPr>
              <w:t>市级应急</w:t>
            </w:r>
          </w:p>
          <w:p>
            <w:pPr>
              <w:pStyle w:val="4"/>
              <w:spacing w:line="320" w:lineRule="exact"/>
              <w:jc w:val="center"/>
              <w:rPr>
                <w:rFonts w:ascii="Times New Roman" w:hAnsi="Times New Roman" w:eastAsia="方正仿宋_GBK" w:cs="Times New Roman"/>
                <w:color w:val="auto"/>
                <w:kern w:val="2"/>
              </w:rPr>
            </w:pPr>
            <w:r>
              <w:rPr>
                <w:rFonts w:ascii="Times New Roman" w:hAnsi="Times New Roman" w:eastAsia="方正仿宋_GBK" w:cs="Times New Roman"/>
              </w:rPr>
              <w:t>管理部门</w:t>
            </w:r>
          </w:p>
        </w:tc>
        <w:tc>
          <w:tcPr>
            <w:tcW w:w="703" w:type="pct"/>
            <w:noWrap w:val="0"/>
            <w:vAlign w:val="center"/>
          </w:tcPr>
          <w:p>
            <w:pPr>
              <w:spacing w:line="320" w:lineRule="exact"/>
              <w:jc w:val="left"/>
              <w:rPr>
                <w:rFonts w:eastAsia="方正仿宋_GBK"/>
                <w:sz w:val="24"/>
              </w:rPr>
            </w:pPr>
            <w:r>
              <w:rPr>
                <w:rFonts w:eastAsia="方正仿宋_GBK"/>
                <w:sz w:val="24"/>
              </w:rPr>
              <w:t>《危险化学品建设项目安全监督管理实施办法》（国家安全监管总局令第45号）；</w:t>
            </w:r>
          </w:p>
          <w:p>
            <w:pPr>
              <w:spacing w:line="320" w:lineRule="exact"/>
              <w:jc w:val="left"/>
              <w:rPr>
                <w:rFonts w:eastAsia="方正仿宋_GBK"/>
                <w:sz w:val="24"/>
              </w:rPr>
            </w:pPr>
            <w:r>
              <w:rPr>
                <w:rFonts w:eastAsia="方正仿宋_GBK"/>
                <w:sz w:val="24"/>
              </w:rPr>
              <w:t>《省安监局关于印发江苏省危险化学品建设项目安全监督管理实施细则的通知》（苏安监规〔2018〕1号）</w:t>
            </w:r>
          </w:p>
        </w:tc>
        <w:tc>
          <w:tcPr>
            <w:tcW w:w="554" w:type="pct"/>
            <w:noWrap w:val="0"/>
            <w:vAlign w:val="center"/>
          </w:tcPr>
          <w:p>
            <w:pPr>
              <w:spacing w:line="320" w:lineRule="exact"/>
              <w:jc w:val="center"/>
              <w:rPr>
                <w:rFonts w:hint="eastAsia" w:eastAsia="方正仿宋_GBK"/>
                <w:sz w:val="24"/>
              </w:rPr>
            </w:pPr>
            <w:r>
              <w:rPr>
                <w:rFonts w:eastAsia="方正仿宋_GBK"/>
                <w:sz w:val="24"/>
              </w:rPr>
              <w:t>县级应急</w:t>
            </w:r>
          </w:p>
          <w:p>
            <w:pPr>
              <w:spacing w:line="320" w:lineRule="exact"/>
              <w:jc w:val="center"/>
              <w:rPr>
                <w:rFonts w:eastAsia="方正仿宋_GBK"/>
                <w:sz w:val="24"/>
              </w:rPr>
            </w:pPr>
            <w:r>
              <w:rPr>
                <w:rFonts w:eastAsia="方正仿宋_GBK"/>
                <w:sz w:val="24"/>
              </w:rPr>
              <w:t>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委托</w:t>
            </w:r>
          </w:p>
        </w:tc>
        <w:tc>
          <w:tcPr>
            <w:tcW w:w="1318" w:type="pct"/>
            <w:noWrap w:val="0"/>
            <w:vAlign w:val="center"/>
          </w:tcPr>
          <w:p>
            <w:pPr>
              <w:pStyle w:val="5"/>
              <w:spacing w:line="2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lang w:val="en-US"/>
              </w:rPr>
              <w:t>1</w:t>
            </w:r>
            <w:r>
              <w:rPr>
                <w:rFonts w:hint="eastAsia" w:ascii="Times New Roman" w:hAnsi="Times New Roman" w:eastAsia="方正仿宋_GBK" w:cs="Times New Roman"/>
                <w:sz w:val="24"/>
                <w:szCs w:val="24"/>
                <w:lang w:val="en-US"/>
              </w:rPr>
              <w:t xml:space="preserve">. </w:t>
            </w:r>
            <w:r>
              <w:rPr>
                <w:rFonts w:ascii="Times New Roman" w:hAnsi="Times New Roman" w:eastAsia="方正仿宋_GBK" w:cs="Times New Roman"/>
                <w:sz w:val="24"/>
                <w:szCs w:val="24"/>
                <w:lang w:val="en-US"/>
              </w:rPr>
              <w:t>按照《常州市应急管理局深化行政审批制度改革加强事中事后监管实施办法）》（常应急〔2020〕28号）加强事中、事后监管，及</w:t>
            </w:r>
            <w:r>
              <w:rPr>
                <w:rFonts w:ascii="Times New Roman" w:hAnsi="Times New Roman" w:eastAsia="方正仿宋_GBK" w:cs="Times New Roman"/>
                <w:spacing w:val="-8"/>
                <w:sz w:val="24"/>
                <w:szCs w:val="24"/>
                <w:lang w:val="en-US"/>
              </w:rPr>
              <w:t>时修订办事指南，完善监管计划，明确监管标准，优化监管措施，强化信用监管，确保各项措施落实到位</w:t>
            </w:r>
            <w:r>
              <w:rPr>
                <w:rFonts w:ascii="Times New Roman" w:hAnsi="Times New Roman" w:eastAsia="方正仿宋_GBK" w:cs="Times New Roman"/>
                <w:spacing w:val="-8"/>
                <w:sz w:val="24"/>
                <w:szCs w:val="24"/>
              </w:rPr>
              <w:t>。</w:t>
            </w:r>
          </w:p>
          <w:p>
            <w:pPr>
              <w:pStyle w:val="5"/>
              <w:spacing w:line="2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2</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z w:val="24"/>
                <w:szCs w:val="24"/>
              </w:rPr>
              <w:t>进一步减少审批程序，优化审批流程，</w:t>
            </w:r>
            <w:r>
              <w:rPr>
                <w:rFonts w:ascii="Times New Roman" w:hAnsi="Times New Roman" w:eastAsia="方正仿宋_GBK" w:cs="Times New Roman"/>
                <w:sz w:val="24"/>
                <w:szCs w:val="24"/>
                <w:lang w:val="en-US"/>
              </w:rPr>
              <w:t>严格审批标准，</w:t>
            </w:r>
            <w:r>
              <w:rPr>
                <w:rFonts w:ascii="Times New Roman" w:hAnsi="Times New Roman" w:eastAsia="方正仿宋_GBK" w:cs="Times New Roman"/>
                <w:sz w:val="24"/>
                <w:szCs w:val="24"/>
              </w:rPr>
              <w:t>严格落实审批时限，</w:t>
            </w:r>
            <w:r>
              <w:rPr>
                <w:rFonts w:ascii="Times New Roman" w:hAnsi="Times New Roman" w:eastAsia="方正仿宋_GBK" w:cs="Times New Roman"/>
                <w:spacing w:val="-1"/>
                <w:sz w:val="24"/>
                <w:szCs w:val="24"/>
              </w:rPr>
              <w:t>不断强化责任意识，提</w:t>
            </w:r>
            <w:r>
              <w:rPr>
                <w:rFonts w:ascii="Times New Roman" w:hAnsi="Times New Roman" w:eastAsia="方正仿宋_GBK" w:cs="Times New Roman"/>
                <w:sz w:val="24"/>
                <w:szCs w:val="24"/>
              </w:rPr>
              <w:t>高服务质量。</w:t>
            </w:r>
          </w:p>
          <w:p>
            <w:pPr>
              <w:pStyle w:val="5"/>
              <w:spacing w:line="2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3</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pacing w:val="-9"/>
                <w:sz w:val="24"/>
                <w:szCs w:val="24"/>
              </w:rPr>
              <w:t>建设专业队伍，提供坚实的人才保障。继续做好审批工作人员</w:t>
            </w:r>
            <w:r>
              <w:rPr>
                <w:rFonts w:ascii="Times New Roman" w:hAnsi="Times New Roman" w:eastAsia="方正仿宋_GBK" w:cs="Times New Roman"/>
                <w:spacing w:val="-10"/>
                <w:sz w:val="24"/>
                <w:szCs w:val="24"/>
              </w:rPr>
              <w:t>培训，打造专业规范的审批</w:t>
            </w:r>
            <w:r>
              <w:rPr>
                <w:rFonts w:ascii="Times New Roman" w:hAnsi="Times New Roman" w:eastAsia="方正仿宋_GBK" w:cs="Times New Roman"/>
                <w:sz w:val="24"/>
                <w:szCs w:val="24"/>
              </w:rPr>
              <w:t>队伍。县级应急管理部门制定具体的工作方案和</w:t>
            </w:r>
            <w:r>
              <w:rPr>
                <w:rFonts w:ascii="Times New Roman" w:hAnsi="Times New Roman" w:eastAsia="方正仿宋_GBK" w:cs="Times New Roman"/>
                <w:spacing w:val="-6"/>
                <w:sz w:val="24"/>
                <w:szCs w:val="24"/>
              </w:rPr>
              <w:t>工作制度，保证本地区危险化学品生产、储存建设项目安全条件审查、决定管理相关工作的有序衔接。</w:t>
            </w:r>
          </w:p>
          <w:p>
            <w:pPr>
              <w:pStyle w:val="5"/>
              <w:spacing w:line="260" w:lineRule="exact"/>
              <w:jc w:val="left"/>
              <w:rPr>
                <w:rFonts w:ascii="Times New Roman" w:hAnsi="Times New Roman" w:eastAsia="方正仿宋_GBK" w:cs="Times New Roman"/>
                <w:spacing w:val="-9"/>
                <w:sz w:val="24"/>
                <w:szCs w:val="24"/>
              </w:rPr>
            </w:pPr>
            <w:r>
              <w:rPr>
                <w:rFonts w:ascii="Times New Roman" w:hAnsi="Times New Roman" w:eastAsia="方正仿宋_GBK" w:cs="Times New Roman"/>
                <w:sz w:val="24"/>
                <w:szCs w:val="24"/>
              </w:rPr>
              <w:t>4</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pacing w:val="-1"/>
                <w:sz w:val="24"/>
                <w:szCs w:val="24"/>
              </w:rPr>
              <w:t>加强信息化建设，进一步加强对审批发证信息的数据对接，各地区</w:t>
            </w:r>
            <w:r>
              <w:rPr>
                <w:rFonts w:ascii="Times New Roman" w:hAnsi="Times New Roman" w:eastAsia="方正仿宋_GBK" w:cs="Times New Roman"/>
                <w:spacing w:val="-9"/>
                <w:sz w:val="24"/>
                <w:szCs w:val="24"/>
              </w:rPr>
              <w:t>审批决定</w:t>
            </w:r>
            <w:r>
              <w:rPr>
                <w:rFonts w:ascii="Times New Roman" w:hAnsi="Times New Roman" w:eastAsia="方正仿宋_GBK" w:cs="Times New Roman"/>
                <w:spacing w:val="-1"/>
                <w:sz w:val="24"/>
                <w:szCs w:val="24"/>
              </w:rPr>
              <w:t>及时对接大数据中心及一体化平台</w:t>
            </w:r>
            <w:r>
              <w:rPr>
                <w:rFonts w:ascii="Times New Roman" w:hAnsi="Times New Roman" w:eastAsia="方正仿宋_GBK" w:cs="Times New Roman"/>
                <w:spacing w:val="-9"/>
                <w:sz w:val="24"/>
                <w:szCs w:val="24"/>
              </w:rPr>
              <w:t>，方便其他部门对审批决定信息的共享。</w:t>
            </w:r>
          </w:p>
          <w:p>
            <w:pPr>
              <w:pStyle w:val="5"/>
              <w:spacing w:line="260" w:lineRule="exact"/>
              <w:jc w:val="left"/>
              <w:rPr>
                <w:rFonts w:ascii="Times New Roman" w:hAnsi="Times New Roman" w:eastAsia="方正仿宋_GBK" w:cs="Times New Roman"/>
                <w:sz w:val="24"/>
                <w:szCs w:val="24"/>
              </w:rPr>
            </w:pPr>
            <w:r>
              <w:rPr>
                <w:rFonts w:ascii="Times New Roman" w:hAnsi="Times New Roman" w:eastAsia="方正仿宋_GBK" w:cs="Times New Roman"/>
                <w:spacing w:val="-9"/>
                <w:sz w:val="24"/>
                <w:szCs w:val="24"/>
              </w:rPr>
              <w:t>5</w:t>
            </w:r>
            <w:r>
              <w:rPr>
                <w:rFonts w:hint="eastAsia" w:ascii="Times New Roman" w:hAnsi="Times New Roman" w:eastAsia="方正仿宋_GBK" w:cs="Times New Roman"/>
                <w:spacing w:val="-9"/>
                <w:sz w:val="24"/>
                <w:szCs w:val="24"/>
              </w:rPr>
              <w:t xml:space="preserve">. </w:t>
            </w:r>
            <w:r>
              <w:rPr>
                <w:rFonts w:ascii="Times New Roman" w:hAnsi="Times New Roman" w:eastAsia="方正仿宋_GBK" w:cs="Times New Roman"/>
                <w:sz w:val="24"/>
                <w:szCs w:val="24"/>
              </w:rPr>
              <w:t>县级应急管理部门</w:t>
            </w:r>
            <w:r>
              <w:rPr>
                <w:rFonts w:ascii="Times New Roman" w:hAnsi="Times New Roman" w:eastAsia="方正仿宋_GBK" w:cs="Times New Roman"/>
                <w:spacing w:val="-9"/>
                <w:sz w:val="24"/>
                <w:szCs w:val="24"/>
              </w:rPr>
              <w:t>要加强对</w:t>
            </w:r>
            <w:r>
              <w:rPr>
                <w:rFonts w:ascii="Times New Roman" w:hAnsi="Times New Roman" w:eastAsia="方正仿宋_GBK" w:cs="Times New Roman"/>
                <w:sz w:val="24"/>
                <w:szCs w:val="24"/>
              </w:rPr>
              <w:t>危险化学品生产、储存建设项目安全条件审查</w:t>
            </w:r>
            <w:r>
              <w:rPr>
                <w:rFonts w:ascii="Times New Roman" w:hAnsi="Times New Roman" w:eastAsia="方正仿宋_GBK" w:cs="Times New Roman"/>
                <w:spacing w:val="-9"/>
                <w:sz w:val="24"/>
                <w:szCs w:val="24"/>
              </w:rPr>
              <w:t>的监督管理，建立，健全</w:t>
            </w:r>
            <w:r>
              <w:rPr>
                <w:rFonts w:ascii="Times New Roman" w:hAnsi="Times New Roman" w:eastAsia="方正仿宋_GBK" w:cs="Times New Roman"/>
                <w:sz w:val="24"/>
                <w:szCs w:val="24"/>
              </w:rPr>
              <w:t>危险化学品生产、储存建设项目安全条件审查</w:t>
            </w:r>
            <w:r>
              <w:rPr>
                <w:rFonts w:ascii="Times New Roman" w:hAnsi="Times New Roman" w:eastAsia="方正仿宋_GBK" w:cs="Times New Roman"/>
                <w:spacing w:val="-9"/>
                <w:sz w:val="24"/>
                <w:szCs w:val="24"/>
              </w:rPr>
              <w:t>、决定档案管理制度，定期向社会公布企业取得</w:t>
            </w:r>
            <w:r>
              <w:rPr>
                <w:rFonts w:ascii="Times New Roman" w:hAnsi="Times New Roman" w:eastAsia="方正仿宋_GBK" w:cs="Times New Roman"/>
                <w:sz w:val="24"/>
                <w:szCs w:val="24"/>
              </w:rPr>
              <w:t>危险化学品生产、储存建设项目安全条件审查</w:t>
            </w:r>
            <w:r>
              <w:rPr>
                <w:rFonts w:ascii="Times New Roman" w:hAnsi="Times New Roman" w:eastAsia="方正仿宋_GBK" w:cs="Times New Roman"/>
                <w:spacing w:val="-9"/>
                <w:sz w:val="24"/>
                <w:szCs w:val="24"/>
              </w:rPr>
              <w:t>的情况</w:t>
            </w:r>
            <w:r>
              <w:rPr>
                <w:rFonts w:ascii="Times New Roman" w:hAnsi="Times New Roman" w:eastAsia="方正仿宋_GBK" w:cs="Times New Roman"/>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11</w:t>
            </w:r>
          </w:p>
        </w:tc>
        <w:tc>
          <w:tcPr>
            <w:tcW w:w="1081" w:type="pct"/>
            <w:noWrap w:val="0"/>
            <w:vAlign w:val="center"/>
          </w:tcPr>
          <w:p>
            <w:pPr>
              <w:spacing w:line="320" w:lineRule="exact"/>
              <w:jc w:val="left"/>
              <w:rPr>
                <w:rFonts w:eastAsia="方正仿宋_GBK"/>
                <w:sz w:val="24"/>
              </w:rPr>
            </w:pPr>
            <w:r>
              <w:rPr>
                <w:rFonts w:eastAsia="方正仿宋_GBK"/>
                <w:sz w:val="24"/>
              </w:rPr>
              <w:t>其他危险化学品建设项目安全设施设计审查</w:t>
            </w:r>
          </w:p>
          <w:p>
            <w:pPr>
              <w:spacing w:line="320" w:lineRule="exact"/>
              <w:jc w:val="left"/>
              <w:rPr>
                <w:rFonts w:eastAsia="方正仿宋_GBK"/>
                <w:sz w:val="24"/>
              </w:rPr>
            </w:pPr>
            <w:r>
              <w:rPr>
                <w:rFonts w:eastAsia="方正仿宋_GBK"/>
                <w:sz w:val="24"/>
              </w:rPr>
              <w:t>（除下列建设项目以外1</w:t>
            </w:r>
            <w:r>
              <w:rPr>
                <w:rFonts w:hint="eastAsia" w:eastAsia="方正仿宋_GBK"/>
                <w:sz w:val="24"/>
              </w:rPr>
              <w:t xml:space="preserve">. </w:t>
            </w:r>
            <w:r>
              <w:rPr>
                <w:rFonts w:eastAsia="方正仿宋_GBK"/>
                <w:sz w:val="24"/>
              </w:rPr>
              <w:t>涉及重点监管危险化工工艺的；2</w:t>
            </w:r>
            <w:r>
              <w:rPr>
                <w:rFonts w:hint="eastAsia" w:eastAsia="方正仿宋_GBK"/>
                <w:sz w:val="24"/>
              </w:rPr>
              <w:t xml:space="preserve">. </w:t>
            </w:r>
            <w:r>
              <w:rPr>
                <w:rFonts w:eastAsia="方正仿宋_GBK"/>
                <w:sz w:val="24"/>
              </w:rPr>
              <w:t>涉及重点监管危险化学品中的有毒气体、液化气体、易燃液体、爆炸品且构成重大危险源的；3</w:t>
            </w:r>
            <w:r>
              <w:rPr>
                <w:rFonts w:hint="eastAsia" w:eastAsia="方正仿宋_GBK"/>
                <w:sz w:val="24"/>
              </w:rPr>
              <w:t xml:space="preserve">. </w:t>
            </w:r>
            <w:r>
              <w:rPr>
                <w:rFonts w:eastAsia="方正仿宋_GBK"/>
                <w:sz w:val="24"/>
              </w:rPr>
              <w:t>剧毒化学品储存建设项目；4</w:t>
            </w:r>
            <w:r>
              <w:rPr>
                <w:rFonts w:hint="eastAsia" w:eastAsia="方正仿宋_GBK"/>
                <w:sz w:val="24"/>
              </w:rPr>
              <w:t xml:space="preserve">. </w:t>
            </w:r>
            <w:r>
              <w:rPr>
                <w:rFonts w:eastAsia="方正仿宋_GBK"/>
                <w:sz w:val="24"/>
              </w:rPr>
              <w:t>市管企业的建设项目；5</w:t>
            </w:r>
            <w:r>
              <w:rPr>
                <w:rFonts w:hint="eastAsia" w:eastAsia="方正仿宋_GBK"/>
                <w:sz w:val="24"/>
              </w:rPr>
              <w:t xml:space="preserve">. </w:t>
            </w:r>
            <w:r>
              <w:rPr>
                <w:rFonts w:eastAsia="方正仿宋_GBK"/>
                <w:sz w:val="24"/>
              </w:rPr>
              <w:t>省应急管理厅委托实施的建设项目；6</w:t>
            </w:r>
            <w:r>
              <w:rPr>
                <w:rFonts w:hint="eastAsia" w:eastAsia="方正仿宋_GBK"/>
                <w:sz w:val="24"/>
              </w:rPr>
              <w:t xml:space="preserve">. </w:t>
            </w:r>
            <w:r>
              <w:rPr>
                <w:rFonts w:eastAsia="方正仿宋_GBK"/>
                <w:sz w:val="24"/>
              </w:rPr>
              <w:t>跨辖市、区的危险化学品长输管道建设项目）</w:t>
            </w:r>
          </w:p>
        </w:tc>
        <w:tc>
          <w:tcPr>
            <w:tcW w:w="506" w:type="pct"/>
            <w:noWrap w:val="0"/>
            <w:vAlign w:val="center"/>
          </w:tcPr>
          <w:p>
            <w:pPr>
              <w:pStyle w:val="4"/>
              <w:spacing w:line="320" w:lineRule="exact"/>
              <w:jc w:val="center"/>
              <w:rPr>
                <w:rFonts w:hint="eastAsia" w:ascii="Times New Roman" w:hAnsi="Times New Roman" w:eastAsia="方正仿宋_GBK" w:cs="Times New Roman"/>
              </w:rPr>
            </w:pPr>
            <w:r>
              <w:rPr>
                <w:rFonts w:ascii="Times New Roman" w:hAnsi="Times New Roman" w:eastAsia="方正仿宋_GBK" w:cs="Times New Roman"/>
              </w:rPr>
              <w:t>市级应急</w:t>
            </w:r>
          </w:p>
          <w:p>
            <w:pPr>
              <w:pStyle w:val="4"/>
              <w:spacing w:line="320" w:lineRule="exact"/>
              <w:jc w:val="center"/>
              <w:rPr>
                <w:rFonts w:ascii="Times New Roman" w:hAnsi="Times New Roman" w:eastAsia="方正仿宋_GBK" w:cs="Times New Roman"/>
                <w:color w:val="auto"/>
                <w:kern w:val="2"/>
              </w:rPr>
            </w:pPr>
            <w:r>
              <w:rPr>
                <w:rFonts w:ascii="Times New Roman" w:hAnsi="Times New Roman" w:eastAsia="方正仿宋_GBK" w:cs="Times New Roman"/>
              </w:rPr>
              <w:t>管理部门</w:t>
            </w:r>
          </w:p>
        </w:tc>
        <w:tc>
          <w:tcPr>
            <w:tcW w:w="703" w:type="pct"/>
            <w:noWrap w:val="0"/>
            <w:vAlign w:val="center"/>
          </w:tcPr>
          <w:p>
            <w:pPr>
              <w:spacing w:line="320" w:lineRule="exact"/>
              <w:jc w:val="left"/>
              <w:rPr>
                <w:rFonts w:eastAsia="方正仿宋_GBK"/>
                <w:sz w:val="24"/>
              </w:rPr>
            </w:pPr>
            <w:r>
              <w:rPr>
                <w:rFonts w:eastAsia="方正仿宋_GBK"/>
                <w:sz w:val="24"/>
              </w:rPr>
              <w:t>《危险化学品建设项目安全监督管理实施办法》（国家安全监管总局令第45号）</w:t>
            </w:r>
          </w:p>
          <w:p>
            <w:pPr>
              <w:spacing w:line="320" w:lineRule="exact"/>
              <w:jc w:val="left"/>
              <w:rPr>
                <w:rFonts w:eastAsia="方正仿宋_GBK"/>
                <w:sz w:val="24"/>
              </w:rPr>
            </w:pPr>
            <w:r>
              <w:rPr>
                <w:rFonts w:eastAsia="方正仿宋_GBK"/>
                <w:sz w:val="24"/>
              </w:rPr>
              <w:t>《省安监局关于印发江苏省危险化学品建设项目安全监督管理实施细则的通知》（苏安监规〔2018〕1号）</w:t>
            </w:r>
          </w:p>
        </w:tc>
        <w:tc>
          <w:tcPr>
            <w:tcW w:w="554" w:type="pct"/>
            <w:noWrap w:val="0"/>
            <w:vAlign w:val="center"/>
          </w:tcPr>
          <w:p>
            <w:pPr>
              <w:spacing w:line="320" w:lineRule="exact"/>
              <w:jc w:val="center"/>
              <w:rPr>
                <w:rFonts w:hint="eastAsia" w:eastAsia="方正仿宋_GBK"/>
                <w:sz w:val="24"/>
              </w:rPr>
            </w:pPr>
            <w:r>
              <w:rPr>
                <w:rFonts w:eastAsia="方正仿宋_GBK"/>
                <w:sz w:val="24"/>
              </w:rPr>
              <w:t>县级应急</w:t>
            </w:r>
          </w:p>
          <w:p>
            <w:pPr>
              <w:spacing w:line="320" w:lineRule="exact"/>
              <w:jc w:val="center"/>
              <w:rPr>
                <w:rFonts w:eastAsia="方正仿宋_GBK"/>
                <w:sz w:val="24"/>
              </w:rPr>
            </w:pPr>
            <w:r>
              <w:rPr>
                <w:rFonts w:eastAsia="方正仿宋_GBK"/>
                <w:sz w:val="24"/>
              </w:rPr>
              <w:t>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委托</w:t>
            </w:r>
          </w:p>
        </w:tc>
        <w:tc>
          <w:tcPr>
            <w:tcW w:w="1318" w:type="pct"/>
            <w:noWrap w:val="0"/>
            <w:vAlign w:val="center"/>
          </w:tcPr>
          <w:p>
            <w:pPr>
              <w:pStyle w:val="5"/>
              <w:spacing w:line="2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lang w:val="en-US"/>
              </w:rPr>
              <w:t>1</w:t>
            </w:r>
            <w:r>
              <w:rPr>
                <w:rFonts w:hint="eastAsia" w:ascii="Times New Roman" w:hAnsi="Times New Roman" w:eastAsia="方正仿宋_GBK" w:cs="Times New Roman"/>
                <w:sz w:val="24"/>
                <w:szCs w:val="24"/>
                <w:lang w:val="en-US"/>
              </w:rPr>
              <w:t xml:space="preserve">. </w:t>
            </w:r>
            <w:r>
              <w:rPr>
                <w:rFonts w:ascii="Times New Roman" w:hAnsi="Times New Roman" w:eastAsia="方正仿宋_GBK" w:cs="Times New Roman"/>
                <w:sz w:val="24"/>
                <w:szCs w:val="24"/>
                <w:lang w:val="en-US"/>
              </w:rPr>
              <w:t>按照《常州市应急管理局深化行政审批制度改革加强事中事后监管实施办法）》（常应急〔2020〕28号）加强事中、事后监管，及</w:t>
            </w:r>
            <w:r>
              <w:rPr>
                <w:rFonts w:ascii="Times New Roman" w:hAnsi="Times New Roman" w:eastAsia="方正仿宋_GBK" w:cs="Times New Roman"/>
                <w:spacing w:val="-8"/>
                <w:sz w:val="24"/>
                <w:szCs w:val="24"/>
                <w:lang w:val="en-US"/>
              </w:rPr>
              <w:t>时修订办事指南，完善监管计划，明确监管标准，优化监管措施，强化信用监管，确保各项措施落实到位</w:t>
            </w:r>
            <w:r>
              <w:rPr>
                <w:rFonts w:ascii="Times New Roman" w:hAnsi="Times New Roman" w:eastAsia="方正仿宋_GBK" w:cs="Times New Roman"/>
                <w:spacing w:val="-8"/>
                <w:sz w:val="24"/>
                <w:szCs w:val="24"/>
              </w:rPr>
              <w:t>。</w:t>
            </w:r>
          </w:p>
          <w:p>
            <w:pPr>
              <w:pStyle w:val="5"/>
              <w:spacing w:line="2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2</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z w:val="24"/>
                <w:szCs w:val="24"/>
              </w:rPr>
              <w:t>进一步减少审批程序，优化审批流程，</w:t>
            </w:r>
            <w:r>
              <w:rPr>
                <w:rFonts w:ascii="Times New Roman" w:hAnsi="Times New Roman" w:eastAsia="方正仿宋_GBK" w:cs="Times New Roman"/>
                <w:sz w:val="24"/>
                <w:szCs w:val="24"/>
                <w:lang w:val="en-US"/>
              </w:rPr>
              <w:t>严格审批标准，</w:t>
            </w:r>
            <w:r>
              <w:rPr>
                <w:rFonts w:ascii="Times New Roman" w:hAnsi="Times New Roman" w:eastAsia="方正仿宋_GBK" w:cs="Times New Roman"/>
                <w:sz w:val="24"/>
                <w:szCs w:val="24"/>
              </w:rPr>
              <w:t>严格落实审批时限，</w:t>
            </w:r>
            <w:r>
              <w:rPr>
                <w:rFonts w:ascii="Times New Roman" w:hAnsi="Times New Roman" w:eastAsia="方正仿宋_GBK" w:cs="Times New Roman"/>
                <w:spacing w:val="-1"/>
                <w:sz w:val="24"/>
                <w:szCs w:val="24"/>
              </w:rPr>
              <w:t>不断强化责任意识，提</w:t>
            </w:r>
            <w:r>
              <w:rPr>
                <w:rFonts w:ascii="Times New Roman" w:hAnsi="Times New Roman" w:eastAsia="方正仿宋_GBK" w:cs="Times New Roman"/>
                <w:sz w:val="24"/>
                <w:szCs w:val="24"/>
              </w:rPr>
              <w:t>高服务质量。</w:t>
            </w:r>
          </w:p>
          <w:p>
            <w:pPr>
              <w:pStyle w:val="5"/>
              <w:spacing w:line="2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3</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pacing w:val="-9"/>
                <w:sz w:val="24"/>
                <w:szCs w:val="24"/>
              </w:rPr>
              <w:t>建设专业队伍，提供坚实的人才保障。继续做好审批工作人员</w:t>
            </w:r>
            <w:r>
              <w:rPr>
                <w:rFonts w:ascii="Times New Roman" w:hAnsi="Times New Roman" w:eastAsia="方正仿宋_GBK" w:cs="Times New Roman"/>
                <w:spacing w:val="-10"/>
                <w:sz w:val="24"/>
                <w:szCs w:val="24"/>
              </w:rPr>
              <w:t>培训，打造专业规范的审批</w:t>
            </w:r>
            <w:r>
              <w:rPr>
                <w:rFonts w:ascii="Times New Roman" w:hAnsi="Times New Roman" w:eastAsia="方正仿宋_GBK" w:cs="Times New Roman"/>
                <w:sz w:val="24"/>
                <w:szCs w:val="24"/>
              </w:rPr>
              <w:t>队伍。县级应急管理部门制定具体的工作方案和工作制度，保证本地区危险化学品建设项目安全设施设计审查、决定管理相关工作的有序衔接。</w:t>
            </w:r>
          </w:p>
          <w:p>
            <w:pPr>
              <w:pStyle w:val="5"/>
              <w:spacing w:line="260" w:lineRule="exact"/>
              <w:jc w:val="left"/>
              <w:rPr>
                <w:rFonts w:ascii="Times New Roman" w:hAnsi="Times New Roman" w:eastAsia="方正仿宋_GBK" w:cs="Times New Roman"/>
                <w:spacing w:val="-9"/>
                <w:sz w:val="24"/>
                <w:szCs w:val="24"/>
              </w:rPr>
            </w:pPr>
            <w:r>
              <w:rPr>
                <w:rFonts w:ascii="Times New Roman" w:hAnsi="Times New Roman" w:eastAsia="方正仿宋_GBK" w:cs="Times New Roman"/>
                <w:sz w:val="24"/>
                <w:szCs w:val="24"/>
              </w:rPr>
              <w:t>4</w:t>
            </w:r>
            <w:r>
              <w:rPr>
                <w:rFonts w:hint="eastAsia" w:ascii="Times New Roman" w:hAnsi="Times New Roman" w:eastAsia="方正仿宋_GBK" w:cs="Times New Roman"/>
                <w:sz w:val="24"/>
                <w:szCs w:val="24"/>
              </w:rPr>
              <w:t xml:space="preserve">. </w:t>
            </w:r>
            <w:r>
              <w:rPr>
                <w:rFonts w:ascii="Times New Roman" w:hAnsi="Times New Roman" w:eastAsia="方正仿宋_GBK" w:cs="Times New Roman"/>
                <w:spacing w:val="-1"/>
                <w:sz w:val="24"/>
                <w:szCs w:val="24"/>
              </w:rPr>
              <w:t>加强信息化建设，进一步加强对审批发证信息的数据对接，各地区</w:t>
            </w:r>
            <w:r>
              <w:rPr>
                <w:rFonts w:ascii="Times New Roman" w:hAnsi="Times New Roman" w:eastAsia="方正仿宋_GBK" w:cs="Times New Roman"/>
                <w:spacing w:val="-9"/>
                <w:sz w:val="24"/>
                <w:szCs w:val="24"/>
              </w:rPr>
              <w:t>审批决定</w:t>
            </w:r>
            <w:r>
              <w:rPr>
                <w:rFonts w:ascii="Times New Roman" w:hAnsi="Times New Roman" w:eastAsia="方正仿宋_GBK" w:cs="Times New Roman"/>
                <w:spacing w:val="-1"/>
                <w:sz w:val="24"/>
                <w:szCs w:val="24"/>
              </w:rPr>
              <w:t>及时对接大数据中心及一体化平台</w:t>
            </w:r>
            <w:r>
              <w:rPr>
                <w:rFonts w:ascii="Times New Roman" w:hAnsi="Times New Roman" w:eastAsia="方正仿宋_GBK" w:cs="Times New Roman"/>
                <w:spacing w:val="-9"/>
                <w:sz w:val="24"/>
                <w:szCs w:val="24"/>
              </w:rPr>
              <w:t>，方便其他部门对审批决定信息的共享。</w:t>
            </w:r>
          </w:p>
          <w:p>
            <w:pPr>
              <w:pStyle w:val="5"/>
              <w:spacing w:line="260" w:lineRule="exact"/>
              <w:jc w:val="left"/>
              <w:rPr>
                <w:rFonts w:ascii="Times New Roman" w:hAnsi="Times New Roman" w:eastAsia="方正仿宋_GBK" w:cs="Times New Roman"/>
                <w:sz w:val="24"/>
                <w:szCs w:val="24"/>
              </w:rPr>
            </w:pPr>
            <w:r>
              <w:rPr>
                <w:rFonts w:ascii="Times New Roman" w:hAnsi="Times New Roman" w:eastAsia="方正仿宋_GBK" w:cs="Times New Roman"/>
                <w:spacing w:val="-9"/>
                <w:sz w:val="24"/>
                <w:szCs w:val="24"/>
              </w:rPr>
              <w:t>5</w:t>
            </w:r>
            <w:r>
              <w:rPr>
                <w:rFonts w:hint="eastAsia" w:ascii="Times New Roman" w:hAnsi="Times New Roman" w:eastAsia="方正仿宋_GBK" w:cs="Times New Roman"/>
                <w:spacing w:val="-9"/>
                <w:sz w:val="24"/>
                <w:szCs w:val="24"/>
              </w:rPr>
              <w:t xml:space="preserve">. </w:t>
            </w:r>
            <w:r>
              <w:rPr>
                <w:rFonts w:ascii="Times New Roman" w:hAnsi="Times New Roman" w:eastAsia="方正仿宋_GBK" w:cs="Times New Roman"/>
                <w:sz w:val="24"/>
                <w:szCs w:val="24"/>
              </w:rPr>
              <w:t>县级应急管理部门</w:t>
            </w:r>
            <w:r>
              <w:rPr>
                <w:rFonts w:ascii="Times New Roman" w:hAnsi="Times New Roman" w:eastAsia="方正仿宋_GBK" w:cs="Times New Roman"/>
                <w:spacing w:val="-9"/>
                <w:sz w:val="24"/>
                <w:szCs w:val="24"/>
              </w:rPr>
              <w:t>要加强对</w:t>
            </w:r>
            <w:r>
              <w:rPr>
                <w:rFonts w:ascii="Times New Roman" w:hAnsi="Times New Roman" w:eastAsia="方正仿宋_GBK" w:cs="Times New Roman"/>
                <w:sz w:val="24"/>
                <w:szCs w:val="24"/>
              </w:rPr>
              <w:t>危险化学品建设项目安全设施设计审查</w:t>
            </w:r>
            <w:r>
              <w:rPr>
                <w:rFonts w:ascii="Times New Roman" w:hAnsi="Times New Roman" w:eastAsia="方正仿宋_GBK" w:cs="Times New Roman"/>
                <w:spacing w:val="-9"/>
                <w:sz w:val="24"/>
                <w:szCs w:val="24"/>
              </w:rPr>
              <w:t>的监督管理，建立，健全</w:t>
            </w:r>
            <w:r>
              <w:rPr>
                <w:rFonts w:ascii="Times New Roman" w:hAnsi="Times New Roman" w:eastAsia="方正仿宋_GBK" w:cs="Times New Roman"/>
                <w:sz w:val="24"/>
                <w:szCs w:val="24"/>
              </w:rPr>
              <w:t>危险化学品生产、储存建设项目安全条件审查</w:t>
            </w:r>
            <w:r>
              <w:rPr>
                <w:rFonts w:ascii="Times New Roman" w:hAnsi="Times New Roman" w:eastAsia="方正仿宋_GBK" w:cs="Times New Roman"/>
                <w:spacing w:val="-9"/>
                <w:sz w:val="24"/>
                <w:szCs w:val="24"/>
              </w:rPr>
              <w:t>、决定档案管理制度，定期向社会公布企业取得</w:t>
            </w:r>
            <w:r>
              <w:rPr>
                <w:rFonts w:ascii="Times New Roman" w:hAnsi="Times New Roman" w:eastAsia="方正仿宋_GBK" w:cs="Times New Roman"/>
                <w:sz w:val="24"/>
                <w:szCs w:val="24"/>
              </w:rPr>
              <w:t>危险化学品建设项目安全设施设计审查</w:t>
            </w:r>
            <w:r>
              <w:rPr>
                <w:rFonts w:ascii="Times New Roman" w:hAnsi="Times New Roman" w:eastAsia="方正仿宋_GBK" w:cs="Times New Roman"/>
                <w:spacing w:val="-9"/>
                <w:sz w:val="24"/>
                <w:szCs w:val="24"/>
              </w:rPr>
              <w:t>的情况</w:t>
            </w:r>
            <w:r>
              <w:rPr>
                <w:rFonts w:ascii="Times New Roman" w:hAnsi="Times New Roman" w:eastAsia="方正仿宋_GBK" w:cs="Times New Roman"/>
                <w:sz w:val="24"/>
                <w:szCs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12</w:t>
            </w:r>
          </w:p>
        </w:tc>
        <w:tc>
          <w:tcPr>
            <w:tcW w:w="1081" w:type="pct"/>
            <w:noWrap w:val="0"/>
            <w:vAlign w:val="center"/>
          </w:tcPr>
          <w:p>
            <w:pPr>
              <w:widowControl/>
              <w:spacing w:line="320" w:lineRule="exact"/>
              <w:jc w:val="left"/>
              <w:rPr>
                <w:rFonts w:eastAsia="方正仿宋_GBK"/>
                <w:sz w:val="24"/>
              </w:rPr>
            </w:pPr>
            <w:r>
              <w:rPr>
                <w:rFonts w:eastAsia="方正仿宋_GBK"/>
                <w:sz w:val="24"/>
              </w:rPr>
              <w:t>特种设备使用登记（移动式压力容器、车用气瓶）</w:t>
            </w:r>
          </w:p>
        </w:tc>
        <w:tc>
          <w:tcPr>
            <w:tcW w:w="506" w:type="pct"/>
            <w:noWrap w:val="0"/>
            <w:vAlign w:val="center"/>
          </w:tcPr>
          <w:p>
            <w:pPr>
              <w:spacing w:line="320" w:lineRule="exact"/>
              <w:jc w:val="center"/>
              <w:rPr>
                <w:rFonts w:eastAsia="方正仿宋_GBK"/>
                <w:sz w:val="24"/>
              </w:rPr>
            </w:pPr>
            <w:r>
              <w:rPr>
                <w:rFonts w:eastAsia="方正仿宋_GBK"/>
                <w:sz w:val="24"/>
              </w:rPr>
              <w:t>市级市场监督管理部门</w:t>
            </w:r>
          </w:p>
        </w:tc>
        <w:tc>
          <w:tcPr>
            <w:tcW w:w="703"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color w:val="auto"/>
                <w:kern w:val="2"/>
              </w:rPr>
              <w:t>《</w:t>
            </w:r>
            <w:r>
              <w:rPr>
                <w:rFonts w:hint="eastAsia" w:ascii="Times New Roman" w:hAnsi="Times New Roman" w:eastAsia="方正仿宋_GBK" w:cs="Times New Roman"/>
                <w:color w:val="auto"/>
                <w:kern w:val="2"/>
                <w:lang w:val="en-US" w:eastAsia="zh-CN"/>
              </w:rPr>
              <w:t>中华人民共和国</w:t>
            </w:r>
            <w:r>
              <w:rPr>
                <w:rFonts w:ascii="Times New Roman" w:hAnsi="Times New Roman" w:eastAsia="方正仿宋_GBK" w:cs="Times New Roman"/>
                <w:color w:val="auto"/>
                <w:kern w:val="2"/>
              </w:rPr>
              <w:t>特种设备安全法》《</w:t>
            </w:r>
            <w:r>
              <w:rPr>
                <w:rFonts w:hint="eastAsia" w:ascii="Times New Roman" w:hAnsi="Times New Roman" w:eastAsia="方正仿宋_GBK" w:cs="Times New Roman"/>
                <w:color w:val="auto"/>
                <w:kern w:val="2"/>
                <w:lang w:val="en-US" w:eastAsia="zh-CN"/>
              </w:rPr>
              <w:t>中华人民共和国</w:t>
            </w:r>
            <w:r>
              <w:rPr>
                <w:rFonts w:ascii="Times New Roman" w:hAnsi="Times New Roman" w:eastAsia="方正仿宋_GBK" w:cs="Times New Roman"/>
                <w:color w:val="auto"/>
                <w:kern w:val="2"/>
              </w:rPr>
              <w:t>特种设备安全监察条例》</w:t>
            </w:r>
          </w:p>
        </w:tc>
        <w:tc>
          <w:tcPr>
            <w:tcW w:w="55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县级市场监督管理部门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下放</w:t>
            </w:r>
          </w:p>
        </w:tc>
        <w:tc>
          <w:tcPr>
            <w:tcW w:w="1318"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通过以下措施加强监管：</w:t>
            </w:r>
          </w:p>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1</w:t>
            </w:r>
            <w:r>
              <w:rPr>
                <w:rFonts w:hint="eastAsia" w:ascii="Times New Roman" w:hAnsi="Times New Roman" w:eastAsia="方正仿宋_GBK" w:cs="Times New Roman"/>
              </w:rPr>
              <w:t xml:space="preserve">. </w:t>
            </w:r>
            <w:r>
              <w:rPr>
                <w:rFonts w:ascii="Times New Roman" w:hAnsi="Times New Roman" w:eastAsia="方正仿宋_GBK" w:cs="Times New Roman"/>
              </w:rPr>
              <w:t>实施专项监管；</w:t>
            </w:r>
          </w:p>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2</w:t>
            </w:r>
            <w:r>
              <w:rPr>
                <w:rFonts w:hint="eastAsia" w:ascii="Times New Roman" w:hAnsi="Times New Roman" w:eastAsia="方正仿宋_GBK" w:cs="Times New Roman"/>
              </w:rPr>
              <w:t xml:space="preserve">. </w:t>
            </w:r>
            <w:r>
              <w:rPr>
                <w:rFonts w:ascii="Times New Roman" w:hAnsi="Times New Roman" w:eastAsia="方正仿宋_GBK" w:cs="Times New Roman"/>
              </w:rPr>
              <w:t>强化信用监管。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13</w:t>
            </w:r>
          </w:p>
        </w:tc>
        <w:tc>
          <w:tcPr>
            <w:tcW w:w="1081"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第一类医疗器械产品备案</w:t>
            </w:r>
          </w:p>
        </w:tc>
        <w:tc>
          <w:tcPr>
            <w:tcW w:w="506" w:type="pct"/>
            <w:noWrap w:val="0"/>
            <w:vAlign w:val="center"/>
          </w:tcPr>
          <w:p>
            <w:pPr>
              <w:spacing w:line="320" w:lineRule="exact"/>
              <w:jc w:val="center"/>
              <w:rPr>
                <w:rFonts w:eastAsia="方正仿宋_GBK"/>
                <w:sz w:val="24"/>
              </w:rPr>
            </w:pPr>
            <w:r>
              <w:rPr>
                <w:rFonts w:eastAsia="方正仿宋_GBK"/>
                <w:sz w:val="24"/>
              </w:rPr>
              <w:t>市级市场监督管理部门</w:t>
            </w:r>
          </w:p>
        </w:tc>
        <w:tc>
          <w:tcPr>
            <w:tcW w:w="703"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《医疗器械监督管理条例》（中华人民共和国国务院令第650号）；《医疗器械生产监督管理办法》（国家食品药品监督管理总局令第7号）</w:t>
            </w:r>
          </w:p>
        </w:tc>
        <w:tc>
          <w:tcPr>
            <w:tcW w:w="55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县级市场监督管理部门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委托</w:t>
            </w:r>
          </w:p>
        </w:tc>
        <w:tc>
          <w:tcPr>
            <w:tcW w:w="1318"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药品监管部门加强对各医疗器械生产备案企业的日常监管，负责完成备案后的现场检查，督促落实医疗器械安全企业的主体责任。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14</w:t>
            </w:r>
          </w:p>
        </w:tc>
        <w:tc>
          <w:tcPr>
            <w:tcW w:w="1081" w:type="pct"/>
            <w:noWrap w:val="0"/>
            <w:vAlign w:val="center"/>
          </w:tcPr>
          <w:p>
            <w:pPr>
              <w:widowControl/>
              <w:spacing w:line="320" w:lineRule="exact"/>
              <w:jc w:val="left"/>
              <w:rPr>
                <w:rFonts w:eastAsia="方正仿宋_GBK"/>
                <w:sz w:val="24"/>
              </w:rPr>
            </w:pPr>
            <w:r>
              <w:rPr>
                <w:rFonts w:eastAsia="方正仿宋_GBK"/>
                <w:sz w:val="24"/>
              </w:rPr>
              <w:t>第一类医疗器械生产备案</w:t>
            </w:r>
          </w:p>
        </w:tc>
        <w:tc>
          <w:tcPr>
            <w:tcW w:w="506" w:type="pct"/>
            <w:noWrap w:val="0"/>
            <w:vAlign w:val="center"/>
          </w:tcPr>
          <w:p>
            <w:pPr>
              <w:spacing w:line="320" w:lineRule="exact"/>
              <w:jc w:val="center"/>
              <w:rPr>
                <w:rFonts w:eastAsia="方正仿宋_GBK"/>
                <w:color w:val="000000"/>
                <w:kern w:val="0"/>
                <w:sz w:val="24"/>
              </w:rPr>
            </w:pPr>
            <w:r>
              <w:rPr>
                <w:rFonts w:eastAsia="方正仿宋_GBK"/>
                <w:sz w:val="24"/>
              </w:rPr>
              <w:t>市级市场监督管理部门</w:t>
            </w:r>
          </w:p>
        </w:tc>
        <w:tc>
          <w:tcPr>
            <w:tcW w:w="703"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《医疗器械监督管理条例》（中华人民共和国国务院令第650号）；《医疗器械生产监督管理办法》（国家食品药品监督管理总局令第7号）</w:t>
            </w:r>
          </w:p>
        </w:tc>
        <w:tc>
          <w:tcPr>
            <w:tcW w:w="55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县级市场监督管理部门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委托</w:t>
            </w:r>
          </w:p>
        </w:tc>
        <w:tc>
          <w:tcPr>
            <w:tcW w:w="1318"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药品监管部门加强对各医疗器械生产备案企业的日常监管，负责完成备案后的现场检查，督促落实医疗器械安全企业的主体责任。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64"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15</w:t>
            </w:r>
          </w:p>
        </w:tc>
        <w:tc>
          <w:tcPr>
            <w:tcW w:w="1081" w:type="pct"/>
            <w:noWrap w:val="0"/>
            <w:vAlign w:val="center"/>
          </w:tcPr>
          <w:p>
            <w:pPr>
              <w:widowControl/>
              <w:spacing w:line="320" w:lineRule="exact"/>
              <w:jc w:val="left"/>
              <w:rPr>
                <w:rFonts w:eastAsia="方正仿宋_GBK"/>
                <w:sz w:val="24"/>
              </w:rPr>
            </w:pPr>
            <w:r>
              <w:rPr>
                <w:rFonts w:eastAsia="方正仿宋_GBK"/>
                <w:sz w:val="24"/>
              </w:rPr>
              <w:t>第一类医疗器械生产企业委托生产备案</w:t>
            </w:r>
          </w:p>
        </w:tc>
        <w:tc>
          <w:tcPr>
            <w:tcW w:w="506" w:type="pct"/>
            <w:noWrap w:val="0"/>
            <w:vAlign w:val="center"/>
          </w:tcPr>
          <w:p>
            <w:pPr>
              <w:spacing w:line="320" w:lineRule="exact"/>
              <w:jc w:val="center"/>
              <w:rPr>
                <w:rFonts w:eastAsia="方正仿宋_GBK"/>
                <w:color w:val="000000"/>
                <w:kern w:val="0"/>
                <w:sz w:val="24"/>
              </w:rPr>
            </w:pPr>
            <w:r>
              <w:rPr>
                <w:rFonts w:eastAsia="方正仿宋_GBK"/>
                <w:sz w:val="24"/>
              </w:rPr>
              <w:t>市级市场监督管理部门</w:t>
            </w:r>
          </w:p>
        </w:tc>
        <w:tc>
          <w:tcPr>
            <w:tcW w:w="703"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《医疗器械监督管理条例》（中华人民共和国国务院令第650号）；《医疗器械生产监督管理办法》（国家食品药品监督管理总局令第7号）</w:t>
            </w:r>
          </w:p>
        </w:tc>
        <w:tc>
          <w:tcPr>
            <w:tcW w:w="55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县级市场监督管理部门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委托</w:t>
            </w:r>
          </w:p>
        </w:tc>
        <w:tc>
          <w:tcPr>
            <w:tcW w:w="1318"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药品监管部门加强对各医疗器械生产备案企业的日常监管，负责完成备案后的现场检查，督促落实医疗器械安全企业的主体责任。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095"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16</w:t>
            </w:r>
          </w:p>
        </w:tc>
        <w:tc>
          <w:tcPr>
            <w:tcW w:w="1081" w:type="pct"/>
            <w:noWrap w:val="0"/>
            <w:vAlign w:val="center"/>
          </w:tcPr>
          <w:p>
            <w:pPr>
              <w:widowControl/>
              <w:spacing w:line="320" w:lineRule="exact"/>
              <w:jc w:val="left"/>
              <w:rPr>
                <w:rFonts w:eastAsia="方正仿宋_GBK"/>
                <w:sz w:val="24"/>
              </w:rPr>
            </w:pPr>
            <w:r>
              <w:rPr>
                <w:rFonts w:eastAsia="方正仿宋_GBK"/>
                <w:sz w:val="24"/>
              </w:rPr>
              <w:t>生产出口医疗器械备案</w:t>
            </w:r>
          </w:p>
        </w:tc>
        <w:tc>
          <w:tcPr>
            <w:tcW w:w="506" w:type="pct"/>
            <w:noWrap w:val="0"/>
            <w:vAlign w:val="center"/>
          </w:tcPr>
          <w:p>
            <w:pPr>
              <w:spacing w:line="320" w:lineRule="exact"/>
              <w:jc w:val="center"/>
              <w:rPr>
                <w:rFonts w:eastAsia="方正仿宋_GBK"/>
                <w:color w:val="000000"/>
                <w:kern w:val="0"/>
                <w:sz w:val="24"/>
              </w:rPr>
            </w:pPr>
            <w:r>
              <w:rPr>
                <w:rFonts w:eastAsia="方正仿宋_GBK"/>
                <w:sz w:val="24"/>
              </w:rPr>
              <w:t>市级市场监督管理部门</w:t>
            </w:r>
          </w:p>
        </w:tc>
        <w:tc>
          <w:tcPr>
            <w:tcW w:w="703"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《医疗器械监督管理条例》（中华人民共和国国务院令第650号）；《医疗器械生产监督管理办法》（国家食品药品监督管理总局令第7号）</w:t>
            </w:r>
          </w:p>
        </w:tc>
        <w:tc>
          <w:tcPr>
            <w:tcW w:w="55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县级市场监督管理部门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委托</w:t>
            </w:r>
          </w:p>
        </w:tc>
        <w:tc>
          <w:tcPr>
            <w:tcW w:w="1318"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药品监管部门加强对各医疗器械生产备案企业的日常监管，负责完成备案后的现场检查，督促落实医疗器械安全企业的主体责任。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52" w:hRule="atLeast"/>
          <w:jc w:val="center"/>
        </w:trPr>
        <w:tc>
          <w:tcPr>
            <w:tcW w:w="234" w:type="pct"/>
            <w:noWrap w:val="0"/>
            <w:vAlign w:val="center"/>
          </w:tcPr>
          <w:p>
            <w:pPr>
              <w:spacing w:line="320" w:lineRule="exact"/>
              <w:jc w:val="center"/>
              <w:rPr>
                <w:rFonts w:eastAsia="方正仿宋_GBK"/>
                <w:sz w:val="24"/>
              </w:rPr>
            </w:pPr>
            <w:r>
              <w:rPr>
                <w:rFonts w:eastAsia="方正仿宋_GBK"/>
                <w:sz w:val="24"/>
              </w:rPr>
              <w:t>17</w:t>
            </w:r>
          </w:p>
        </w:tc>
        <w:tc>
          <w:tcPr>
            <w:tcW w:w="1081" w:type="pct"/>
            <w:noWrap w:val="0"/>
            <w:vAlign w:val="center"/>
          </w:tcPr>
          <w:p>
            <w:pPr>
              <w:widowControl/>
              <w:spacing w:line="320" w:lineRule="exact"/>
              <w:jc w:val="left"/>
              <w:rPr>
                <w:rFonts w:eastAsia="方正仿宋_GBK"/>
                <w:kern w:val="0"/>
                <w:sz w:val="24"/>
              </w:rPr>
            </w:pPr>
            <w:r>
              <w:rPr>
                <w:rFonts w:eastAsia="方正仿宋_GBK"/>
                <w:kern w:val="0"/>
                <w:sz w:val="24"/>
              </w:rPr>
              <w:t>第二类医疗器械经营备案</w:t>
            </w:r>
          </w:p>
        </w:tc>
        <w:tc>
          <w:tcPr>
            <w:tcW w:w="506" w:type="pct"/>
            <w:noWrap w:val="0"/>
            <w:vAlign w:val="center"/>
          </w:tcPr>
          <w:p>
            <w:pPr>
              <w:spacing w:line="320" w:lineRule="exact"/>
              <w:jc w:val="center"/>
              <w:rPr>
                <w:rFonts w:eastAsia="方正仿宋_GBK"/>
                <w:sz w:val="24"/>
              </w:rPr>
            </w:pPr>
            <w:r>
              <w:rPr>
                <w:rFonts w:eastAsia="方正仿宋_GBK"/>
                <w:sz w:val="24"/>
              </w:rPr>
              <w:t>市级市场监督管理部门</w:t>
            </w:r>
          </w:p>
        </w:tc>
        <w:tc>
          <w:tcPr>
            <w:tcW w:w="703"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《医疗器械监督管理条例》（国务院令第650号）</w:t>
            </w:r>
          </w:p>
        </w:tc>
        <w:tc>
          <w:tcPr>
            <w:tcW w:w="55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县级市场监督管理部门</w:t>
            </w:r>
          </w:p>
        </w:tc>
        <w:tc>
          <w:tcPr>
            <w:tcW w:w="604" w:type="pct"/>
            <w:noWrap w:val="0"/>
            <w:vAlign w:val="center"/>
          </w:tcPr>
          <w:p>
            <w:pPr>
              <w:pStyle w:val="4"/>
              <w:spacing w:line="320" w:lineRule="exact"/>
              <w:jc w:val="center"/>
              <w:rPr>
                <w:rFonts w:ascii="Times New Roman" w:hAnsi="Times New Roman" w:eastAsia="方正仿宋_GBK" w:cs="Times New Roman"/>
              </w:rPr>
            </w:pPr>
            <w:r>
              <w:rPr>
                <w:rFonts w:ascii="Times New Roman" w:hAnsi="Times New Roman" w:eastAsia="方正仿宋_GBK" w:cs="Times New Roman"/>
              </w:rPr>
              <w:t>委托</w:t>
            </w:r>
          </w:p>
        </w:tc>
        <w:tc>
          <w:tcPr>
            <w:tcW w:w="1318" w:type="pct"/>
            <w:noWrap w:val="0"/>
            <w:vAlign w:val="center"/>
          </w:tcPr>
          <w:p>
            <w:pPr>
              <w:pStyle w:val="4"/>
              <w:spacing w:line="320" w:lineRule="exact"/>
              <w:rPr>
                <w:rFonts w:ascii="Times New Roman" w:hAnsi="Times New Roman" w:eastAsia="方正仿宋_GBK" w:cs="Times New Roman"/>
              </w:rPr>
            </w:pPr>
            <w:r>
              <w:rPr>
                <w:rFonts w:ascii="Times New Roman" w:hAnsi="Times New Roman" w:eastAsia="方正仿宋_GBK" w:cs="Times New Roman"/>
              </w:rPr>
              <w:t>市级市场监督管理部门按照年度监督检查计划对重点企业加强抽查；县级市场监督管理部门负责对备案企业的现场核查和日常监管。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00" w:lineRule="exact"/>
              <w:jc w:val="center"/>
              <w:rPr>
                <w:rFonts w:eastAsia="方正仿宋_GBK"/>
                <w:sz w:val="24"/>
              </w:rPr>
            </w:pPr>
            <w:r>
              <w:rPr>
                <w:rFonts w:eastAsia="方正仿宋_GBK"/>
                <w:sz w:val="24"/>
              </w:rPr>
              <w:t>18</w:t>
            </w:r>
          </w:p>
        </w:tc>
        <w:tc>
          <w:tcPr>
            <w:tcW w:w="1081" w:type="pct"/>
            <w:noWrap w:val="0"/>
            <w:vAlign w:val="center"/>
          </w:tcPr>
          <w:p>
            <w:pPr>
              <w:spacing w:line="300" w:lineRule="exact"/>
              <w:jc w:val="left"/>
              <w:rPr>
                <w:rFonts w:eastAsia="方正仿宋_GBK"/>
                <w:sz w:val="24"/>
              </w:rPr>
            </w:pPr>
            <w:r>
              <w:rPr>
                <w:rFonts w:eastAsia="方正仿宋_GBK"/>
                <w:sz w:val="24"/>
              </w:rPr>
              <w:t>医疗器械网络销售备案</w:t>
            </w:r>
          </w:p>
        </w:tc>
        <w:tc>
          <w:tcPr>
            <w:tcW w:w="506" w:type="pct"/>
            <w:noWrap w:val="0"/>
            <w:vAlign w:val="center"/>
          </w:tcPr>
          <w:p>
            <w:pPr>
              <w:spacing w:line="300" w:lineRule="exact"/>
              <w:jc w:val="center"/>
              <w:rPr>
                <w:rFonts w:eastAsia="方正仿宋_GBK"/>
                <w:sz w:val="24"/>
              </w:rPr>
            </w:pPr>
            <w:r>
              <w:rPr>
                <w:rFonts w:eastAsia="方正仿宋_GBK"/>
                <w:sz w:val="24"/>
              </w:rPr>
              <w:t>市级市场监督管理部门</w:t>
            </w:r>
          </w:p>
        </w:tc>
        <w:tc>
          <w:tcPr>
            <w:tcW w:w="703" w:type="pct"/>
            <w:noWrap w:val="0"/>
            <w:vAlign w:val="center"/>
          </w:tcPr>
          <w:p>
            <w:pPr>
              <w:spacing w:line="300" w:lineRule="exact"/>
              <w:jc w:val="left"/>
              <w:rPr>
                <w:rFonts w:eastAsia="方正仿宋_GBK"/>
                <w:spacing w:val="-10"/>
                <w:sz w:val="24"/>
              </w:rPr>
            </w:pPr>
            <w:r>
              <w:rPr>
                <w:rFonts w:eastAsia="方正仿宋_GBK"/>
                <w:spacing w:val="-10"/>
                <w:sz w:val="24"/>
              </w:rPr>
              <w:t>《医疗器械网络销售监督管理办法》（国家食品药品监督管理总局令第38号）第八条</w:t>
            </w:r>
          </w:p>
        </w:tc>
        <w:tc>
          <w:tcPr>
            <w:tcW w:w="554" w:type="pct"/>
            <w:noWrap w:val="0"/>
            <w:vAlign w:val="center"/>
          </w:tcPr>
          <w:p>
            <w:pPr>
              <w:spacing w:line="300" w:lineRule="exact"/>
              <w:jc w:val="center"/>
              <w:rPr>
                <w:rFonts w:eastAsia="方正仿宋_GBK"/>
                <w:sz w:val="24"/>
              </w:rPr>
            </w:pPr>
            <w:r>
              <w:rPr>
                <w:rFonts w:eastAsia="方正仿宋_GBK"/>
                <w:sz w:val="24"/>
              </w:rPr>
              <w:t>县级市场监督管理部门</w:t>
            </w:r>
          </w:p>
        </w:tc>
        <w:tc>
          <w:tcPr>
            <w:tcW w:w="604" w:type="pct"/>
            <w:noWrap w:val="0"/>
            <w:vAlign w:val="center"/>
          </w:tcPr>
          <w:p>
            <w:pPr>
              <w:spacing w:line="300" w:lineRule="exact"/>
              <w:jc w:val="center"/>
              <w:rPr>
                <w:rFonts w:eastAsia="方正仿宋_GBK"/>
                <w:sz w:val="24"/>
              </w:rPr>
            </w:pPr>
            <w:r>
              <w:rPr>
                <w:rFonts w:eastAsia="方正仿宋_GBK"/>
                <w:sz w:val="24"/>
              </w:rPr>
              <w:t>委托</w:t>
            </w:r>
          </w:p>
        </w:tc>
        <w:tc>
          <w:tcPr>
            <w:tcW w:w="1318" w:type="pct"/>
            <w:noWrap w:val="0"/>
            <w:vAlign w:val="center"/>
          </w:tcPr>
          <w:p>
            <w:pPr>
              <w:spacing w:line="300" w:lineRule="exact"/>
              <w:jc w:val="left"/>
              <w:rPr>
                <w:rFonts w:eastAsia="方正仿宋_GBK"/>
                <w:spacing w:val="-4"/>
                <w:sz w:val="24"/>
              </w:rPr>
            </w:pPr>
            <w:r>
              <w:rPr>
                <w:rFonts w:eastAsia="方正仿宋_GBK"/>
                <w:spacing w:val="-4"/>
                <w:sz w:val="24"/>
              </w:rPr>
              <w:t>市级市场监督管理部门加强对辖市（区）业务指导，定期对各地开展监督检查；县级市场监督管理部门负责备案企业的核查和日常监管。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00" w:lineRule="exact"/>
              <w:jc w:val="center"/>
              <w:rPr>
                <w:rFonts w:eastAsia="方正仿宋_GBK"/>
                <w:sz w:val="24"/>
              </w:rPr>
            </w:pPr>
            <w:r>
              <w:rPr>
                <w:rFonts w:eastAsia="方正仿宋_GBK"/>
                <w:sz w:val="24"/>
              </w:rPr>
              <w:t>19</w:t>
            </w:r>
          </w:p>
        </w:tc>
        <w:tc>
          <w:tcPr>
            <w:tcW w:w="1081" w:type="pct"/>
            <w:noWrap w:val="0"/>
            <w:vAlign w:val="center"/>
          </w:tcPr>
          <w:p>
            <w:pPr>
              <w:spacing w:line="300" w:lineRule="exact"/>
              <w:jc w:val="left"/>
              <w:rPr>
                <w:rFonts w:eastAsia="方正仿宋_GBK"/>
                <w:sz w:val="24"/>
              </w:rPr>
            </w:pPr>
            <w:r>
              <w:rPr>
                <w:rFonts w:eastAsia="方正仿宋_GBK"/>
                <w:sz w:val="24"/>
              </w:rPr>
              <w:t>药品零售企业许可（药品经营许可单体及连锁门店）</w:t>
            </w:r>
          </w:p>
        </w:tc>
        <w:tc>
          <w:tcPr>
            <w:tcW w:w="506" w:type="pct"/>
            <w:noWrap w:val="0"/>
            <w:vAlign w:val="center"/>
          </w:tcPr>
          <w:p>
            <w:pPr>
              <w:spacing w:line="300" w:lineRule="exact"/>
              <w:jc w:val="center"/>
              <w:rPr>
                <w:rFonts w:eastAsia="方正仿宋_GBK"/>
                <w:sz w:val="24"/>
              </w:rPr>
            </w:pPr>
            <w:r>
              <w:rPr>
                <w:rFonts w:eastAsia="方正仿宋_GBK"/>
                <w:sz w:val="24"/>
              </w:rPr>
              <w:t>市级市场监督管理部门</w:t>
            </w:r>
          </w:p>
        </w:tc>
        <w:tc>
          <w:tcPr>
            <w:tcW w:w="703" w:type="pct"/>
            <w:noWrap w:val="0"/>
            <w:vAlign w:val="center"/>
          </w:tcPr>
          <w:p>
            <w:pPr>
              <w:spacing w:line="300" w:lineRule="exact"/>
              <w:jc w:val="left"/>
              <w:rPr>
                <w:rFonts w:eastAsia="方正仿宋_GBK"/>
                <w:sz w:val="24"/>
              </w:rPr>
            </w:pPr>
            <w:r>
              <w:rPr>
                <w:rFonts w:eastAsia="方正仿宋_GBK"/>
                <w:sz w:val="24"/>
              </w:rPr>
              <w:t>《中华人民共和国药品管理法》（中华人民共和国主席令第31号）</w:t>
            </w:r>
          </w:p>
        </w:tc>
        <w:tc>
          <w:tcPr>
            <w:tcW w:w="554" w:type="pct"/>
            <w:noWrap w:val="0"/>
            <w:vAlign w:val="center"/>
          </w:tcPr>
          <w:p>
            <w:pPr>
              <w:spacing w:line="300" w:lineRule="exact"/>
              <w:jc w:val="center"/>
              <w:rPr>
                <w:rFonts w:eastAsia="方正仿宋_GBK"/>
                <w:sz w:val="24"/>
              </w:rPr>
            </w:pPr>
            <w:r>
              <w:rPr>
                <w:rFonts w:eastAsia="方正仿宋_GBK"/>
                <w:sz w:val="24"/>
              </w:rPr>
              <w:t>县级市场监督管理部门</w:t>
            </w:r>
          </w:p>
        </w:tc>
        <w:tc>
          <w:tcPr>
            <w:tcW w:w="604" w:type="pct"/>
            <w:noWrap w:val="0"/>
            <w:vAlign w:val="center"/>
          </w:tcPr>
          <w:p>
            <w:pPr>
              <w:spacing w:line="300" w:lineRule="exact"/>
              <w:jc w:val="center"/>
              <w:rPr>
                <w:rFonts w:eastAsia="方正仿宋_GBK"/>
                <w:sz w:val="24"/>
              </w:rPr>
            </w:pPr>
            <w:r>
              <w:rPr>
                <w:rFonts w:eastAsia="方正仿宋_GBK"/>
                <w:sz w:val="24"/>
              </w:rPr>
              <w:t>下放</w:t>
            </w:r>
          </w:p>
        </w:tc>
        <w:tc>
          <w:tcPr>
            <w:tcW w:w="1318" w:type="pct"/>
            <w:noWrap w:val="0"/>
            <w:vAlign w:val="center"/>
          </w:tcPr>
          <w:p>
            <w:pPr>
              <w:spacing w:line="300" w:lineRule="exact"/>
              <w:jc w:val="left"/>
              <w:rPr>
                <w:rFonts w:eastAsia="方正仿宋_GBK"/>
                <w:sz w:val="24"/>
              </w:rPr>
            </w:pPr>
            <w:r>
              <w:rPr>
                <w:rFonts w:eastAsia="方正仿宋_GBK"/>
                <w:sz w:val="24"/>
              </w:rPr>
              <w:t>市级市场监督管理部门加强对辖市（区）业务指导，定期对各地开展监督检查；县级市场监督管理部门加强对药品经营许可单体及连锁门店的日常监管。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00" w:lineRule="exact"/>
              <w:jc w:val="center"/>
              <w:rPr>
                <w:rFonts w:eastAsia="方正仿宋_GBK"/>
                <w:sz w:val="24"/>
              </w:rPr>
            </w:pPr>
            <w:r>
              <w:rPr>
                <w:rFonts w:eastAsia="方正仿宋_GBK"/>
                <w:sz w:val="24"/>
              </w:rPr>
              <w:t>20</w:t>
            </w:r>
          </w:p>
        </w:tc>
        <w:tc>
          <w:tcPr>
            <w:tcW w:w="1081" w:type="pct"/>
            <w:noWrap w:val="0"/>
            <w:vAlign w:val="center"/>
          </w:tcPr>
          <w:p>
            <w:pPr>
              <w:spacing w:line="300" w:lineRule="exact"/>
              <w:jc w:val="left"/>
              <w:rPr>
                <w:rFonts w:eastAsia="方正仿宋_GBK"/>
                <w:sz w:val="24"/>
              </w:rPr>
            </w:pPr>
            <w:r>
              <w:rPr>
                <w:rFonts w:eastAsia="方正仿宋_GBK"/>
                <w:sz w:val="24"/>
              </w:rPr>
              <w:t>第三类医疗器械经营许可（零售、批发）</w:t>
            </w:r>
          </w:p>
          <w:p>
            <w:pPr>
              <w:spacing w:line="300" w:lineRule="exact"/>
              <w:jc w:val="left"/>
              <w:rPr>
                <w:rFonts w:eastAsia="方正仿宋_GBK"/>
                <w:sz w:val="24"/>
              </w:rPr>
            </w:pPr>
            <w:r>
              <w:rPr>
                <w:rFonts w:eastAsia="方正仿宋_GBK"/>
                <w:sz w:val="24"/>
              </w:rPr>
              <w:t>（涉及体外诊断试剂（冷链管理）、植入类医疗器械、异地设库事项许可由市级实施）</w:t>
            </w:r>
          </w:p>
        </w:tc>
        <w:tc>
          <w:tcPr>
            <w:tcW w:w="506" w:type="pct"/>
            <w:noWrap w:val="0"/>
            <w:vAlign w:val="center"/>
          </w:tcPr>
          <w:p>
            <w:pPr>
              <w:spacing w:line="300" w:lineRule="exact"/>
              <w:jc w:val="center"/>
              <w:rPr>
                <w:rFonts w:eastAsia="方正仿宋_GBK"/>
                <w:sz w:val="24"/>
              </w:rPr>
            </w:pPr>
            <w:r>
              <w:rPr>
                <w:rFonts w:eastAsia="方正仿宋_GBK"/>
                <w:sz w:val="24"/>
              </w:rPr>
              <w:t>市级市场监督管理部门</w:t>
            </w:r>
          </w:p>
        </w:tc>
        <w:tc>
          <w:tcPr>
            <w:tcW w:w="703" w:type="pct"/>
            <w:noWrap w:val="0"/>
            <w:vAlign w:val="center"/>
          </w:tcPr>
          <w:p>
            <w:pPr>
              <w:spacing w:line="300" w:lineRule="exact"/>
              <w:jc w:val="left"/>
              <w:rPr>
                <w:rFonts w:eastAsia="方正仿宋_GBK"/>
                <w:sz w:val="24"/>
              </w:rPr>
            </w:pPr>
            <w:r>
              <w:rPr>
                <w:rFonts w:eastAsia="方正仿宋_GBK"/>
                <w:sz w:val="24"/>
              </w:rPr>
              <w:t>《医疗器械监督管理条例》（2000年1月4日国务院令第276号，2014年3月7日予以修改）</w:t>
            </w:r>
          </w:p>
        </w:tc>
        <w:tc>
          <w:tcPr>
            <w:tcW w:w="554" w:type="pct"/>
            <w:noWrap w:val="0"/>
            <w:vAlign w:val="center"/>
          </w:tcPr>
          <w:p>
            <w:pPr>
              <w:spacing w:line="300" w:lineRule="exact"/>
              <w:jc w:val="center"/>
              <w:rPr>
                <w:rFonts w:eastAsia="方正仿宋_GBK"/>
                <w:sz w:val="24"/>
              </w:rPr>
            </w:pPr>
            <w:r>
              <w:rPr>
                <w:rFonts w:eastAsia="方正仿宋_GBK"/>
                <w:sz w:val="24"/>
              </w:rPr>
              <w:t>县级市场监督管理部门</w:t>
            </w:r>
          </w:p>
        </w:tc>
        <w:tc>
          <w:tcPr>
            <w:tcW w:w="604" w:type="pct"/>
            <w:noWrap w:val="0"/>
            <w:vAlign w:val="center"/>
          </w:tcPr>
          <w:p>
            <w:pPr>
              <w:spacing w:line="300" w:lineRule="exact"/>
              <w:jc w:val="center"/>
              <w:rPr>
                <w:rFonts w:eastAsia="方正仿宋_GBK"/>
                <w:sz w:val="24"/>
              </w:rPr>
            </w:pPr>
            <w:r>
              <w:rPr>
                <w:rFonts w:eastAsia="方正仿宋_GBK"/>
                <w:sz w:val="24"/>
              </w:rPr>
              <w:t>委托</w:t>
            </w:r>
          </w:p>
        </w:tc>
        <w:tc>
          <w:tcPr>
            <w:tcW w:w="1318" w:type="pct"/>
            <w:noWrap w:val="0"/>
            <w:vAlign w:val="center"/>
          </w:tcPr>
          <w:p>
            <w:pPr>
              <w:spacing w:line="300" w:lineRule="exact"/>
              <w:jc w:val="left"/>
              <w:rPr>
                <w:rFonts w:eastAsia="方正仿宋_GBK"/>
                <w:sz w:val="24"/>
              </w:rPr>
            </w:pPr>
            <w:r>
              <w:rPr>
                <w:rFonts w:eastAsia="方正仿宋_GBK"/>
                <w:sz w:val="24"/>
              </w:rPr>
              <w:t>市级市场监督管理部门加强对辖市（区）业务指导，定期对各地开展监督检查；县级市场监督管理部门负责第三类医疗器械经营许可（零售、批发）和日常监管。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00" w:lineRule="exact"/>
              <w:jc w:val="center"/>
              <w:rPr>
                <w:rFonts w:eastAsia="方正仿宋_GBK"/>
                <w:sz w:val="24"/>
              </w:rPr>
            </w:pPr>
            <w:r>
              <w:rPr>
                <w:rFonts w:eastAsia="方正仿宋_GBK"/>
                <w:sz w:val="24"/>
              </w:rPr>
              <w:t>21</w:t>
            </w:r>
          </w:p>
        </w:tc>
        <w:tc>
          <w:tcPr>
            <w:tcW w:w="1081" w:type="pct"/>
            <w:noWrap w:val="0"/>
            <w:vAlign w:val="center"/>
          </w:tcPr>
          <w:p>
            <w:pPr>
              <w:spacing w:line="300" w:lineRule="exact"/>
              <w:jc w:val="left"/>
              <w:rPr>
                <w:rFonts w:eastAsia="方正仿宋_GBK"/>
                <w:sz w:val="24"/>
              </w:rPr>
            </w:pPr>
            <w:r>
              <w:rPr>
                <w:rFonts w:eastAsia="方正仿宋_GBK"/>
                <w:sz w:val="24"/>
              </w:rPr>
              <w:t>特种设备开工告知</w:t>
            </w:r>
          </w:p>
        </w:tc>
        <w:tc>
          <w:tcPr>
            <w:tcW w:w="506" w:type="pct"/>
            <w:noWrap w:val="0"/>
            <w:vAlign w:val="center"/>
          </w:tcPr>
          <w:p>
            <w:pPr>
              <w:spacing w:line="300" w:lineRule="exact"/>
              <w:jc w:val="center"/>
              <w:rPr>
                <w:rFonts w:eastAsia="方正仿宋_GBK"/>
                <w:sz w:val="24"/>
              </w:rPr>
            </w:pPr>
            <w:r>
              <w:rPr>
                <w:rFonts w:eastAsia="方正仿宋_GBK"/>
                <w:sz w:val="24"/>
              </w:rPr>
              <w:t>市级市场监督管理部门</w:t>
            </w:r>
          </w:p>
        </w:tc>
        <w:tc>
          <w:tcPr>
            <w:tcW w:w="703" w:type="pct"/>
            <w:noWrap w:val="0"/>
            <w:vAlign w:val="center"/>
          </w:tcPr>
          <w:p>
            <w:pPr>
              <w:pStyle w:val="4"/>
              <w:spacing w:line="300" w:lineRule="exact"/>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w:t>
            </w:r>
            <w:r>
              <w:rPr>
                <w:rFonts w:hint="eastAsia" w:ascii="Times New Roman" w:hAnsi="Times New Roman" w:eastAsia="方正仿宋_GBK" w:cs="Times New Roman"/>
                <w:color w:val="auto"/>
                <w:kern w:val="2"/>
                <w:lang w:val="en-US" w:eastAsia="zh-CN"/>
              </w:rPr>
              <w:t>中华人民共和国</w:t>
            </w:r>
            <w:r>
              <w:rPr>
                <w:rFonts w:ascii="Times New Roman" w:hAnsi="Times New Roman" w:eastAsia="方正仿宋_GBK" w:cs="Times New Roman"/>
                <w:color w:val="auto"/>
                <w:kern w:val="2"/>
              </w:rPr>
              <w:t>特种设备安全法》《</w:t>
            </w:r>
            <w:r>
              <w:rPr>
                <w:rFonts w:hint="eastAsia" w:ascii="Times New Roman" w:hAnsi="Times New Roman" w:eastAsia="方正仿宋_GBK" w:cs="Times New Roman"/>
                <w:color w:val="auto"/>
                <w:kern w:val="2"/>
                <w:lang w:val="en-US" w:eastAsia="zh-CN"/>
              </w:rPr>
              <w:t>中华人民共和国</w:t>
            </w:r>
            <w:r>
              <w:rPr>
                <w:rFonts w:ascii="Times New Roman" w:hAnsi="Times New Roman" w:eastAsia="方正仿宋_GBK" w:cs="Times New Roman"/>
                <w:color w:val="auto"/>
                <w:kern w:val="2"/>
              </w:rPr>
              <w:t>特种设备安全监察条例》</w:t>
            </w:r>
          </w:p>
        </w:tc>
        <w:tc>
          <w:tcPr>
            <w:tcW w:w="554" w:type="pct"/>
            <w:noWrap w:val="0"/>
            <w:vAlign w:val="center"/>
          </w:tcPr>
          <w:p>
            <w:pPr>
              <w:pStyle w:val="4"/>
              <w:spacing w:line="300" w:lineRule="exact"/>
              <w:jc w:val="center"/>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县级市场监督管理部门</w:t>
            </w:r>
          </w:p>
        </w:tc>
        <w:tc>
          <w:tcPr>
            <w:tcW w:w="604" w:type="pct"/>
            <w:noWrap w:val="0"/>
            <w:vAlign w:val="center"/>
          </w:tcPr>
          <w:p>
            <w:pPr>
              <w:pStyle w:val="4"/>
              <w:spacing w:line="300" w:lineRule="exact"/>
              <w:jc w:val="center"/>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下放</w:t>
            </w:r>
          </w:p>
        </w:tc>
        <w:tc>
          <w:tcPr>
            <w:tcW w:w="1318" w:type="pct"/>
            <w:noWrap w:val="0"/>
            <w:vAlign w:val="center"/>
          </w:tcPr>
          <w:p>
            <w:pPr>
              <w:pStyle w:val="4"/>
              <w:spacing w:line="300" w:lineRule="exact"/>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1</w:t>
            </w:r>
            <w:r>
              <w:rPr>
                <w:rFonts w:hint="eastAsia" w:ascii="Times New Roman" w:hAnsi="Times New Roman" w:eastAsia="方正仿宋_GBK" w:cs="Times New Roman"/>
                <w:color w:val="auto"/>
                <w:kern w:val="2"/>
              </w:rPr>
              <w:t xml:space="preserve">. </w:t>
            </w:r>
            <w:r>
              <w:rPr>
                <w:rFonts w:ascii="Times New Roman" w:hAnsi="Times New Roman" w:eastAsia="方正仿宋_GBK" w:cs="Times New Roman"/>
                <w:color w:val="auto"/>
                <w:kern w:val="2"/>
              </w:rPr>
              <w:t>督促检验机构加强对特种设备安装改造修理过程的监督检验；</w:t>
            </w:r>
          </w:p>
          <w:p>
            <w:pPr>
              <w:pStyle w:val="4"/>
              <w:spacing w:line="300" w:lineRule="exact"/>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2</w:t>
            </w:r>
            <w:r>
              <w:rPr>
                <w:rFonts w:hint="eastAsia" w:ascii="Times New Roman" w:hAnsi="Times New Roman" w:eastAsia="方正仿宋_GBK" w:cs="Times New Roman"/>
                <w:color w:val="auto"/>
                <w:kern w:val="2"/>
              </w:rPr>
              <w:t xml:space="preserve">. </w:t>
            </w:r>
            <w:r>
              <w:rPr>
                <w:rFonts w:ascii="Times New Roman" w:hAnsi="Times New Roman" w:eastAsia="方正仿宋_GBK" w:cs="Times New Roman"/>
                <w:color w:val="auto"/>
                <w:kern w:val="2"/>
              </w:rPr>
              <w:t>各级市场监管门按照属地监管的原则，加强对特种设备安装改造修理过程的监督抽查。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82" w:hRule="atLeast"/>
          <w:jc w:val="center"/>
        </w:trPr>
        <w:tc>
          <w:tcPr>
            <w:tcW w:w="234" w:type="pct"/>
            <w:noWrap w:val="0"/>
            <w:vAlign w:val="center"/>
          </w:tcPr>
          <w:p>
            <w:pPr>
              <w:spacing w:line="300" w:lineRule="exact"/>
              <w:jc w:val="center"/>
              <w:rPr>
                <w:rFonts w:eastAsia="方正仿宋_GBK"/>
                <w:sz w:val="24"/>
              </w:rPr>
            </w:pPr>
            <w:r>
              <w:rPr>
                <w:rFonts w:eastAsia="方正仿宋_GBK"/>
                <w:sz w:val="24"/>
              </w:rPr>
              <w:t>22</w:t>
            </w:r>
          </w:p>
        </w:tc>
        <w:tc>
          <w:tcPr>
            <w:tcW w:w="1081" w:type="pct"/>
            <w:noWrap w:val="0"/>
            <w:vAlign w:val="center"/>
          </w:tcPr>
          <w:p>
            <w:pPr>
              <w:spacing w:line="300" w:lineRule="exact"/>
              <w:jc w:val="left"/>
              <w:rPr>
                <w:rFonts w:eastAsia="方正仿宋_GBK"/>
                <w:sz w:val="24"/>
              </w:rPr>
            </w:pPr>
            <w:r>
              <w:rPr>
                <w:rFonts w:eastAsia="方正仿宋_GBK"/>
                <w:sz w:val="24"/>
              </w:rPr>
              <w:t>特种设备作业人员资格认定（氧舱、大型游乐设施、客运索道、安全阀、特种设备安全管理项目除外）</w:t>
            </w:r>
          </w:p>
        </w:tc>
        <w:tc>
          <w:tcPr>
            <w:tcW w:w="506" w:type="pct"/>
            <w:noWrap w:val="0"/>
            <w:vAlign w:val="center"/>
          </w:tcPr>
          <w:p>
            <w:pPr>
              <w:spacing w:line="300" w:lineRule="exact"/>
              <w:jc w:val="center"/>
              <w:rPr>
                <w:rFonts w:eastAsia="方正仿宋_GBK"/>
                <w:sz w:val="24"/>
              </w:rPr>
            </w:pPr>
            <w:r>
              <w:rPr>
                <w:rFonts w:eastAsia="方正仿宋_GBK"/>
                <w:sz w:val="24"/>
              </w:rPr>
              <w:t>市级市场监督管理部门</w:t>
            </w:r>
          </w:p>
        </w:tc>
        <w:tc>
          <w:tcPr>
            <w:tcW w:w="703" w:type="pct"/>
            <w:noWrap w:val="0"/>
            <w:vAlign w:val="center"/>
          </w:tcPr>
          <w:p>
            <w:pPr>
              <w:pStyle w:val="4"/>
              <w:spacing w:line="300" w:lineRule="exact"/>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w:t>
            </w:r>
            <w:r>
              <w:rPr>
                <w:rFonts w:hint="eastAsia" w:ascii="Times New Roman" w:hAnsi="Times New Roman" w:eastAsia="方正仿宋_GBK" w:cs="Times New Roman"/>
                <w:color w:val="auto"/>
                <w:kern w:val="2"/>
                <w:lang w:val="en-US" w:eastAsia="zh-CN"/>
              </w:rPr>
              <w:t>中华人民共和国</w:t>
            </w:r>
            <w:r>
              <w:rPr>
                <w:rFonts w:ascii="Times New Roman" w:hAnsi="Times New Roman" w:eastAsia="方正仿宋_GBK" w:cs="Times New Roman"/>
                <w:color w:val="auto"/>
                <w:kern w:val="2"/>
              </w:rPr>
              <w:t>特种设备安全法》《</w:t>
            </w:r>
            <w:r>
              <w:rPr>
                <w:rFonts w:hint="eastAsia" w:ascii="Times New Roman" w:hAnsi="Times New Roman" w:eastAsia="方正仿宋_GBK" w:cs="Times New Roman"/>
                <w:color w:val="auto"/>
                <w:kern w:val="2"/>
                <w:lang w:val="en-US" w:eastAsia="zh-CN"/>
              </w:rPr>
              <w:t>中华</w:t>
            </w:r>
            <w:bookmarkStart w:id="0" w:name="_GoBack"/>
            <w:bookmarkEnd w:id="0"/>
            <w:r>
              <w:rPr>
                <w:rFonts w:hint="eastAsia" w:ascii="Times New Roman" w:hAnsi="Times New Roman" w:eastAsia="方正仿宋_GBK" w:cs="Times New Roman"/>
                <w:color w:val="auto"/>
                <w:kern w:val="2"/>
                <w:lang w:val="en-US" w:eastAsia="zh-CN"/>
              </w:rPr>
              <w:t>人民共和国</w:t>
            </w:r>
            <w:r>
              <w:rPr>
                <w:rFonts w:ascii="Times New Roman" w:hAnsi="Times New Roman" w:eastAsia="方正仿宋_GBK" w:cs="Times New Roman"/>
                <w:color w:val="auto"/>
                <w:kern w:val="2"/>
              </w:rPr>
              <w:t>特种设备安全监察条例》</w:t>
            </w:r>
          </w:p>
        </w:tc>
        <w:tc>
          <w:tcPr>
            <w:tcW w:w="554" w:type="pct"/>
            <w:noWrap w:val="0"/>
            <w:vAlign w:val="center"/>
          </w:tcPr>
          <w:p>
            <w:pPr>
              <w:pStyle w:val="4"/>
              <w:spacing w:line="300" w:lineRule="exact"/>
              <w:jc w:val="center"/>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县级市场监督管理部门</w:t>
            </w:r>
          </w:p>
        </w:tc>
        <w:tc>
          <w:tcPr>
            <w:tcW w:w="604" w:type="pct"/>
            <w:noWrap w:val="0"/>
            <w:vAlign w:val="center"/>
          </w:tcPr>
          <w:p>
            <w:pPr>
              <w:pStyle w:val="4"/>
              <w:spacing w:line="300" w:lineRule="exact"/>
              <w:jc w:val="center"/>
              <w:rPr>
                <w:rFonts w:ascii="Times New Roman" w:hAnsi="Times New Roman" w:eastAsia="方正仿宋_GBK" w:cs="Times New Roman"/>
                <w:color w:val="auto"/>
                <w:kern w:val="2"/>
              </w:rPr>
            </w:pPr>
            <w:r>
              <w:rPr>
                <w:rFonts w:ascii="Times New Roman" w:hAnsi="Times New Roman" w:eastAsia="方正仿宋_GBK" w:cs="Times New Roman"/>
                <w:color w:val="auto"/>
                <w:kern w:val="2"/>
              </w:rPr>
              <w:t>下放</w:t>
            </w:r>
          </w:p>
        </w:tc>
        <w:tc>
          <w:tcPr>
            <w:tcW w:w="1318" w:type="pct"/>
            <w:noWrap w:val="0"/>
            <w:vAlign w:val="center"/>
          </w:tcPr>
          <w:p>
            <w:pPr>
              <w:spacing w:line="300" w:lineRule="exact"/>
              <w:jc w:val="left"/>
              <w:rPr>
                <w:rFonts w:eastAsia="方正仿宋_GBK"/>
                <w:sz w:val="24"/>
              </w:rPr>
            </w:pPr>
            <w:r>
              <w:rPr>
                <w:rFonts w:eastAsia="方正仿宋_GBK"/>
                <w:sz w:val="24"/>
              </w:rPr>
              <w:t>1</w:t>
            </w:r>
            <w:r>
              <w:rPr>
                <w:rFonts w:hint="eastAsia" w:eastAsia="方正仿宋_GBK"/>
                <w:sz w:val="24"/>
              </w:rPr>
              <w:t xml:space="preserve">. </w:t>
            </w:r>
            <w:r>
              <w:rPr>
                <w:rFonts w:eastAsia="方正仿宋_GBK"/>
                <w:sz w:val="24"/>
              </w:rPr>
              <w:t>负责对全市特种设备作业人员考试机构的年度监督检查。</w:t>
            </w:r>
          </w:p>
          <w:p>
            <w:pPr>
              <w:spacing w:line="300" w:lineRule="exact"/>
              <w:jc w:val="left"/>
              <w:rPr>
                <w:rFonts w:eastAsia="方正仿宋_GBK"/>
                <w:sz w:val="24"/>
              </w:rPr>
            </w:pPr>
            <w:r>
              <w:rPr>
                <w:rFonts w:eastAsia="方正仿宋_GBK"/>
                <w:sz w:val="24"/>
              </w:rPr>
              <w:t>2</w:t>
            </w:r>
            <w:r>
              <w:rPr>
                <w:rFonts w:hint="eastAsia" w:eastAsia="方正仿宋_GBK"/>
                <w:sz w:val="24"/>
              </w:rPr>
              <w:t xml:space="preserve">. </w:t>
            </w:r>
            <w:r>
              <w:rPr>
                <w:rFonts w:eastAsia="方正仿宋_GBK"/>
                <w:sz w:val="24"/>
              </w:rPr>
              <w:t>发证机关负责特种设备作业人员考试机构的日常监督管理。</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script"/>
    <w:pitch w:val="default"/>
    <w:sig w:usb0="A00002BF" w:usb1="38CF7CFA" w:usb2="00082016" w:usb3="00000000" w:csb0="00040001" w:csb1="00000000"/>
  </w:font>
  <w:font w:name="方正楷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jMzdkZWU4YmZkZDFhYWM4N2Y5MjM0MmMyYzg3MmIifQ=="/>
  </w:docVars>
  <w:rsids>
    <w:rsidRoot w:val="7DE335AC"/>
    <w:rsid w:val="24453E9F"/>
    <w:rsid w:val="715B5B65"/>
    <w:rsid w:val="7DE335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Table Paragraph"/>
    <w:basedOn w:val="1"/>
    <w:qFormat/>
    <w:uiPriority w:val="1"/>
    <w:rPr>
      <w:rFonts w:ascii="宋体" w:hAnsi="宋体" w:cs="宋体"/>
      <w:szCs w:val="22"/>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4233</Words>
  <Characters>4331</Characters>
  <Lines>0</Lines>
  <Paragraphs>0</Paragraphs>
  <TotalTime>0</TotalTime>
  <ScaleCrop>false</ScaleCrop>
  <LinksUpToDate>false</LinksUpToDate>
  <CharactersWithSpaces>4370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2022-01-26T06:38:00Z</dcterms:created>
  <dc:creator>丹丹</dc:creator>
  <cp:lastModifiedBy>萌中有萌自然萌1412224340</cp:lastModifiedBy>
  <dcterms:modified xsi:type="dcterms:W3CDTF">2022-06-28T08:19:13Z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40E6F880C20143B3B2AC32EF820296A1</vt:lpwstr>
  </property>
</Properties>
</file>