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30" w:lineRule="exact"/>
        <w:ind w:firstLine="640" w:firstLineChars="200"/>
        <w:jc w:val="left"/>
        <w:rPr>
          <w:rFonts w:hint="eastAsia" w:ascii="Times New Roman" w:hAnsi="Times New Roman" w:eastAsia="方正仿宋_GBK"/>
          <w:color w:val="000000"/>
          <w:sz w:val="32"/>
          <w:szCs w:val="32"/>
        </w:rPr>
      </w:pPr>
    </w:p>
    <w:p>
      <w:pPr>
        <w:widowControl/>
        <w:spacing w:line="530" w:lineRule="exact"/>
        <w:ind w:firstLine="640" w:firstLineChars="200"/>
        <w:jc w:val="left"/>
        <w:rPr>
          <w:rFonts w:hint="eastAsia" w:ascii="Times New Roman" w:hAnsi="Times New Roman" w:eastAsia="方正仿宋_GBK"/>
          <w:color w:val="000000"/>
          <w:sz w:val="32"/>
          <w:szCs w:val="32"/>
        </w:rPr>
      </w:pPr>
    </w:p>
    <w:p>
      <w:pPr>
        <w:widowControl/>
        <w:spacing w:line="530" w:lineRule="exact"/>
        <w:ind w:firstLine="640" w:firstLineChars="200"/>
        <w:jc w:val="left"/>
        <w:rPr>
          <w:rFonts w:hint="eastAsia" w:ascii="Times New Roman" w:hAnsi="Times New Roman" w:eastAsia="方正仿宋_GBK"/>
          <w:color w:val="000000"/>
          <w:sz w:val="32"/>
          <w:szCs w:val="32"/>
        </w:rPr>
      </w:pPr>
    </w:p>
    <w:p>
      <w:pPr>
        <w:adjustRightInd w:val="0"/>
        <w:snapToGrid w:val="0"/>
        <w:spacing w:line="900" w:lineRule="exact"/>
        <w:jc w:val="center"/>
        <w:rPr>
          <w:rFonts w:hint="eastAsia" w:ascii="方正小标宋_GBK" w:hAnsi="Times New Roman" w:eastAsia="方正小标宋_GBK"/>
          <w:snapToGrid w:val="0"/>
          <w:spacing w:val="-18"/>
          <w:w w:val="95"/>
          <w:kern w:val="0"/>
          <w:sz w:val="60"/>
          <w:szCs w:val="60"/>
        </w:rPr>
      </w:pPr>
      <w:r>
        <w:rPr>
          <w:rFonts w:hint="eastAsia" w:ascii="方正小标宋_GBK" w:hAnsi="Times New Roman" w:eastAsia="方正小标宋_GBK"/>
          <w:snapToGrid w:val="0"/>
          <w:spacing w:val="-18"/>
          <w:w w:val="95"/>
          <w:kern w:val="0"/>
          <w:sz w:val="60"/>
          <w:szCs w:val="60"/>
        </w:rPr>
        <w:t>常州市“十四五”农业农村现代化规划</w:t>
      </w:r>
    </w:p>
    <w:p>
      <w:pPr>
        <w:adjustRightInd w:val="0"/>
        <w:snapToGrid w:val="0"/>
        <w:spacing w:before="120" w:after="120" w:line="1100" w:lineRule="exact"/>
        <w:jc w:val="center"/>
        <w:rPr>
          <w:rFonts w:ascii="Times New Roman" w:hAnsi="Times New Roman" w:eastAsia="楷体_GB2312"/>
          <w:b/>
          <w:sz w:val="40"/>
          <w:szCs w:val="40"/>
        </w:rPr>
      </w:pPr>
    </w:p>
    <w:p>
      <w:pPr>
        <w:spacing w:before="120" w:beforeLines="50" w:after="120" w:afterLines="50" w:line="360" w:lineRule="auto"/>
        <w:ind w:firstLine="2200" w:firstLineChars="500"/>
        <w:rPr>
          <w:rFonts w:ascii="Times New Roman" w:hAnsi="Times New Roman" w:eastAsia="华文中宋"/>
          <w:sz w:val="44"/>
          <w:szCs w:val="44"/>
        </w:rPr>
      </w:pPr>
    </w:p>
    <w:p>
      <w:pPr>
        <w:spacing w:before="120" w:beforeLines="50" w:after="120" w:afterLines="50" w:line="360" w:lineRule="auto"/>
        <w:jc w:val="center"/>
        <w:rPr>
          <w:rFonts w:ascii="Times New Roman" w:hAnsi="Times New Roman" w:eastAsia="华文中宋"/>
          <w:sz w:val="44"/>
          <w:szCs w:val="44"/>
        </w:rPr>
      </w:pPr>
    </w:p>
    <w:p>
      <w:pPr>
        <w:spacing w:before="120" w:beforeLines="50" w:after="120" w:afterLines="50" w:line="360" w:lineRule="auto"/>
        <w:jc w:val="center"/>
        <w:rPr>
          <w:rFonts w:ascii="Times New Roman" w:hAnsi="Times New Roman" w:eastAsia="华文中宋"/>
          <w:sz w:val="44"/>
          <w:szCs w:val="44"/>
        </w:rPr>
      </w:pPr>
    </w:p>
    <w:p>
      <w:pPr>
        <w:spacing w:before="120" w:beforeLines="50" w:after="120" w:afterLines="50" w:line="360" w:lineRule="auto"/>
        <w:ind w:firstLine="1807" w:firstLineChars="500"/>
        <w:rPr>
          <w:rFonts w:ascii="Times New Roman" w:hAnsi="Times New Roman"/>
          <w:b/>
          <w:sz w:val="36"/>
          <w:szCs w:val="36"/>
        </w:rPr>
      </w:pPr>
    </w:p>
    <w:p>
      <w:pPr>
        <w:spacing w:before="120" w:beforeLines="50" w:after="120" w:afterLines="50" w:line="360" w:lineRule="auto"/>
        <w:ind w:firstLine="1807" w:firstLineChars="500"/>
        <w:rPr>
          <w:rFonts w:ascii="Times New Roman" w:hAnsi="Times New Roman"/>
          <w:b/>
          <w:sz w:val="36"/>
          <w:szCs w:val="36"/>
        </w:rPr>
      </w:pPr>
    </w:p>
    <w:p>
      <w:pPr>
        <w:spacing w:before="120" w:beforeLines="50" w:after="120" w:afterLines="50" w:line="360" w:lineRule="auto"/>
        <w:ind w:firstLine="2891" w:firstLineChars="800"/>
        <w:rPr>
          <w:rFonts w:ascii="Times New Roman" w:hAnsi="Times New Roman"/>
          <w:b/>
          <w:sz w:val="36"/>
          <w:szCs w:val="36"/>
        </w:rPr>
      </w:pPr>
    </w:p>
    <w:p>
      <w:pPr>
        <w:spacing w:before="440" w:line="360" w:lineRule="auto"/>
        <w:ind w:firstLine="2891" w:firstLineChars="800"/>
        <w:rPr>
          <w:rFonts w:ascii="Times New Roman" w:hAnsi="Times New Roman"/>
          <w:b/>
          <w:sz w:val="36"/>
          <w:szCs w:val="36"/>
        </w:rPr>
      </w:pPr>
    </w:p>
    <w:p>
      <w:pPr>
        <w:spacing w:before="240" w:line="360" w:lineRule="auto"/>
        <w:ind w:firstLine="2891" w:firstLineChars="800"/>
        <w:rPr>
          <w:rFonts w:ascii="Times New Roman" w:hAnsi="Times New Roman"/>
          <w:b/>
          <w:sz w:val="36"/>
          <w:szCs w:val="36"/>
        </w:rPr>
      </w:pPr>
    </w:p>
    <w:p>
      <w:pPr>
        <w:spacing w:before="240" w:line="360" w:lineRule="auto"/>
        <w:ind w:firstLine="2891" w:firstLineChars="800"/>
        <w:rPr>
          <w:rFonts w:ascii="Times New Roman" w:hAnsi="Times New Roman"/>
          <w:b/>
          <w:sz w:val="36"/>
          <w:szCs w:val="36"/>
        </w:rPr>
      </w:pPr>
    </w:p>
    <w:p>
      <w:pPr>
        <w:adjustRightInd w:val="0"/>
        <w:snapToGrid w:val="0"/>
        <w:spacing w:line="640" w:lineRule="exact"/>
        <w:jc w:val="center"/>
        <w:rPr>
          <w:rFonts w:ascii="Times New Roman" w:hAnsi="Times New Roman" w:eastAsia="方正楷体_GBK"/>
          <w:bCs/>
          <w:sz w:val="40"/>
          <w:szCs w:val="40"/>
        </w:rPr>
      </w:pPr>
      <w:r>
        <w:rPr>
          <w:rFonts w:ascii="Times New Roman" w:hAnsi="Times New Roman" w:eastAsia="方正楷体_GBK"/>
          <w:bCs/>
          <w:sz w:val="40"/>
          <w:szCs w:val="40"/>
        </w:rPr>
        <w:t>常州市农业农村局</w:t>
      </w:r>
    </w:p>
    <w:p>
      <w:pPr>
        <w:adjustRightInd w:val="0"/>
        <w:snapToGrid w:val="0"/>
        <w:spacing w:line="570" w:lineRule="exact"/>
        <w:jc w:val="center"/>
        <w:rPr>
          <w:rFonts w:hint="eastAsia" w:ascii="方正小标宋_GBK" w:hAnsi="Times New Roman" w:eastAsia="方正小标宋_GBK"/>
          <w:sz w:val="44"/>
          <w:szCs w:val="44"/>
        </w:rPr>
      </w:pPr>
      <w:r>
        <w:rPr>
          <w:rFonts w:ascii="Times New Roman" w:hAnsi="Times New Roman" w:eastAsia="方正楷体_GBK"/>
          <w:bCs/>
          <w:sz w:val="40"/>
          <w:szCs w:val="40"/>
        </w:rPr>
        <w:t>2021年</w:t>
      </w:r>
      <w:r>
        <w:rPr>
          <w:rFonts w:ascii="Times New Roman" w:hAnsi="Times New Roman" w:eastAsia="方正楷体_GBK"/>
          <w:b/>
          <w:bCs/>
          <w:sz w:val="40"/>
          <w:szCs w:val="40"/>
        </w:rPr>
        <w:br w:type="page"/>
      </w:r>
    </w:p>
    <w:p>
      <w:pPr>
        <w:adjustRightInd w:val="0"/>
        <w:snapToGrid w:val="0"/>
        <w:spacing w:line="570" w:lineRule="exact"/>
        <w:jc w:val="center"/>
        <w:rPr>
          <w:rFonts w:hint="eastAsia" w:ascii="方正小标宋_GBK" w:hAnsi="Times New Roman" w:eastAsia="方正小标宋_GBK"/>
          <w:sz w:val="44"/>
          <w:szCs w:val="44"/>
        </w:rPr>
      </w:pPr>
      <w:bookmarkStart w:id="0" w:name="_Toc60257841"/>
      <w:bookmarkStart w:id="1" w:name="_Toc52264517"/>
      <w:r>
        <w:rPr>
          <w:rFonts w:hint="eastAsia" w:ascii="方正小标宋_GBK" w:hAnsi="Times New Roman" w:eastAsia="方正小标宋_GBK"/>
          <w:sz w:val="44"/>
          <w:szCs w:val="44"/>
        </w:rPr>
        <w:t>目    录</w:t>
      </w:r>
    </w:p>
    <w:p>
      <w:pPr>
        <w:adjustRightInd w:val="0"/>
        <w:snapToGrid w:val="0"/>
        <w:spacing w:line="570" w:lineRule="exact"/>
        <w:jc w:val="center"/>
        <w:rPr>
          <w:rFonts w:hint="eastAsia" w:ascii="方正小标宋_GBK" w:hAnsi="Times New Roman" w:eastAsia="方正小标宋_GBK"/>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前  言</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一、发展基础</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（一）农业现代化建设成效显著</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（二）农村改革不断深化</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（三）农村民生保障持续加强</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（四）农村基层基础有力夯实</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二、形势分析</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（一）主要机遇</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（二）主要挑战</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三、总体要求</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（一）指导思想</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（二）基本原则</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（三）发展目标</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四、高水平发展优质高效乡村产业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（一）做强现代种养业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（二）提升农产品加工流通业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（三）拓展乡村特色产业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（四）做活乡村休闲旅游业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（五）发展乡村新型服务业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（六）发展乡村信息产业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五、高品位建设生态宜居美丽乡村</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（一）提升农村人居环境</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（二）推进美丽乡村示范建设</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（三）提升乡村基础设施</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（四）切实改善农民居住条件</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（五）夯实乡村治理基础</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六、不断提升农民幸福感</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（一）促进农民创业富民</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（二）推进农民就业富民</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（三）发展现代农业富民</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（四）发展新型农村集体经济</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（五）统筹城乡社会保障体系</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（六）持续加强富民强村帮促</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（七）提升农民精神面貌</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七、不断创新农业农村发展体制机制</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（一）建立和完善农业农村优先发展的体制机制</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（二）创新优化土地资源配置</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（三）创新优化财政金融支持</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（四）创新乡村人才培育引进使用机制</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八、高质量实施十大重点工程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（一）现代农业“310”提升工程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（二）新型经营主体培优育强工程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（三）农业物质装备能力提升工程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（四）科技和人才强农工程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（五）农业绿色发展工程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（六）数字农业农村发展工程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（七）生态宜居美丽乡村建设工程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（八）乡村文明善治工程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（九）强村富民工程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（十）城乡融合创新工程</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九、保障措施</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（一）加强党的领导</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（二）加强组织建设</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（三）强化法治保障</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（四）广泛宣传发动</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（五）加强考核督查</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（六）科学有序推进</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p>
    <w:p>
      <w:pPr>
        <w:overflowPunct w:val="0"/>
        <w:autoSpaceDE w:val="0"/>
        <w:autoSpaceDN w:val="0"/>
        <w:adjustRightInd w:val="0"/>
        <w:snapToGrid w:val="0"/>
        <w:spacing w:line="570" w:lineRule="exact"/>
        <w:ind w:firstLine="641"/>
        <w:rPr>
          <w:rFonts w:ascii="Times New Roman" w:hAnsi="Times New Roman" w:eastAsia="方正仿宋_GBK"/>
          <w:spacing w:val="-8"/>
          <w:sz w:val="32"/>
          <w:szCs w:val="32"/>
        </w:rPr>
      </w:pPr>
      <w:r>
        <w:rPr>
          <w:rFonts w:ascii="Times New Roman" w:hAnsi="Times New Roman" w:eastAsia="方正仿宋_GBK"/>
          <w:spacing w:val="-8"/>
          <w:sz w:val="32"/>
          <w:szCs w:val="32"/>
        </w:rPr>
        <w:t>附：《常州市“十四五”农业农村现代化规划》重点项目（工作）</w:t>
      </w:r>
    </w:p>
    <w:p>
      <w:pPr>
        <w:spacing w:before="120" w:beforeLines="50" w:after="120" w:afterLines="50"/>
        <w:rPr>
          <w:rFonts w:ascii="Times New Roman" w:hAnsi="Times New Roman" w:eastAsia="仿宋_GB2312"/>
          <w:sz w:val="32"/>
          <w:szCs w:val="32"/>
        </w:rPr>
      </w:pPr>
    </w:p>
    <w:bookmarkEnd w:id="0"/>
    <w:bookmarkEnd w:id="1"/>
    <w:p>
      <w:pPr>
        <w:overflowPunct w:val="0"/>
        <w:adjustRightInd w:val="0"/>
        <w:snapToGrid w:val="0"/>
        <w:spacing w:line="570" w:lineRule="exact"/>
        <w:jc w:val="center"/>
        <w:rPr>
          <w:rFonts w:hint="eastAsia" w:ascii="方正小标宋_GBK" w:hAnsi="Times New Roman" w:eastAsia="方正小标宋_GBK"/>
          <w:bCs/>
          <w:snapToGrid w:val="0"/>
          <w:kern w:val="0"/>
          <w:sz w:val="44"/>
          <w:szCs w:val="44"/>
        </w:rPr>
      </w:pPr>
      <w:bookmarkStart w:id="2" w:name="_Toc62376939"/>
      <w:r>
        <w:rPr>
          <w:rFonts w:ascii="Times New Roman" w:hAnsi="Times New Roman" w:eastAsia="方正小标宋简体"/>
          <w:bCs/>
          <w:snapToGrid w:val="0"/>
          <w:kern w:val="0"/>
          <w:sz w:val="44"/>
          <w:szCs w:val="44"/>
        </w:rPr>
        <w:br w:type="page"/>
      </w:r>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snapToGrid w:val="0"/>
          <w:kern w:val="0"/>
        </w:rPr>
      </w:pPr>
      <w:r>
        <w:rPr>
          <w:rFonts w:hint="eastAsia" w:ascii="方正小标宋_GBK" w:hAnsi="Times New Roman" w:eastAsia="方正小标宋_GBK"/>
          <w:b w:val="0"/>
          <w:snapToGrid w:val="0"/>
          <w:kern w:val="0"/>
        </w:rPr>
        <w:t>前    言</w:t>
      </w:r>
    </w:p>
    <w:p>
      <w:pPr>
        <w:widowControl/>
        <w:adjustRightInd w:val="0"/>
        <w:snapToGrid w:val="0"/>
        <w:spacing w:line="570" w:lineRule="exact"/>
        <w:jc w:val="center"/>
        <w:rPr>
          <w:rFonts w:hint="eastAsia" w:ascii="方正小标宋_GBK" w:hAnsi="Times New Roman" w:eastAsia="方正小标宋_GBK"/>
          <w:snapToGrid w:val="0"/>
          <w:kern w:val="0"/>
          <w:sz w:val="32"/>
          <w:szCs w:val="32"/>
        </w:rPr>
      </w:pP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十四五”时期，是常州市在高水平全面建成小康社会的基础上，乘势而上开启社会主义现代化建设新征程、向第二个百年奋斗目标进军的第一个五年，也是常州市全面实施乡村振兴战略、加快农业农村现代化的关键阶段。根据《江苏省“十四五”全面推进乡村振兴加快农业农村现代化规划》和《常州市国民经济和社会发展第十四个五年规划和二〇三五年远景目标纲要》，衔接《常州市乡村振兴战略实施规划（2018</w:t>
      </w:r>
      <w:r>
        <w:rPr>
          <w:rFonts w:ascii="黑体" w:hAnsi="黑体" w:eastAsia="黑体"/>
          <w:snapToGrid w:val="0"/>
          <w:kern w:val="0"/>
          <w:sz w:val="32"/>
          <w:szCs w:val="32"/>
        </w:rPr>
        <w:t>—</w:t>
      </w:r>
      <w:r>
        <w:rPr>
          <w:rFonts w:ascii="Times New Roman" w:hAnsi="Times New Roman" w:eastAsia="方正仿宋_GBK"/>
          <w:snapToGrid w:val="0"/>
          <w:kern w:val="0"/>
          <w:sz w:val="32"/>
          <w:szCs w:val="32"/>
        </w:rPr>
        <w:t>2022年）》，编制本规划。</w:t>
      </w:r>
    </w:p>
    <w:p>
      <w:pPr>
        <w:overflowPunct w:val="0"/>
        <w:autoSpaceDE w:val="0"/>
        <w:autoSpaceDN w:val="0"/>
        <w:adjustRightInd w:val="0"/>
        <w:snapToGrid w:val="0"/>
        <w:spacing w:line="570" w:lineRule="exact"/>
        <w:ind w:firstLine="641"/>
        <w:rPr>
          <w:rFonts w:ascii="Times New Roman" w:hAnsi="Times New Roman" w:eastAsia="仿宋_GB2312"/>
          <w:snapToGrid w:val="0"/>
          <w:kern w:val="0"/>
          <w:sz w:val="32"/>
          <w:szCs w:val="32"/>
        </w:rPr>
      </w:pPr>
      <w:r>
        <w:rPr>
          <w:rFonts w:ascii="Times New Roman" w:hAnsi="Times New Roman" w:eastAsia="方正仿宋_GBK"/>
          <w:snapToGrid w:val="0"/>
          <w:kern w:val="0"/>
          <w:sz w:val="32"/>
          <w:szCs w:val="32"/>
        </w:rPr>
        <w:t>本规划立足新发展阶段、贯彻新发展理念、融入新发展格局，坚持常州市农业农村现代化走在全省全国前列的目标定位，提出了未来五年常州市农业农村现代化的指导思想、主要目标、重点任务和具体措施，是指导全市全面实施乡村振兴战略、推进农业农村现代化的重要依据。</w:t>
      </w: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snapToGrid w:val="0"/>
          <w:kern w:val="0"/>
        </w:rPr>
      </w:pPr>
      <w:r>
        <w:rPr>
          <w:rFonts w:ascii="Times New Roman" w:hAnsi="Times New Roman" w:eastAsia="方正小标宋简体"/>
          <w:b w:val="0"/>
          <w:snapToGrid w:val="0"/>
          <w:kern w:val="0"/>
        </w:rPr>
        <w:br w:type="page"/>
      </w:r>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snapToGrid w:val="0"/>
          <w:kern w:val="0"/>
        </w:rPr>
      </w:pPr>
      <w:r>
        <w:rPr>
          <w:rFonts w:hint="eastAsia" w:ascii="方正小标宋_GBK" w:hAnsi="Times New Roman" w:eastAsia="方正小标宋_GBK"/>
          <w:b w:val="0"/>
          <w:snapToGrid w:val="0"/>
          <w:kern w:val="0"/>
        </w:rPr>
        <w:t>一、发展基础</w:t>
      </w:r>
      <w:bookmarkEnd w:id="2"/>
    </w:p>
    <w:p>
      <w:pPr>
        <w:overflowPunct w:val="0"/>
        <w:adjustRightInd w:val="0"/>
        <w:snapToGrid w:val="0"/>
        <w:spacing w:line="570" w:lineRule="exact"/>
        <w:jc w:val="center"/>
        <w:rPr>
          <w:rFonts w:hint="eastAsia" w:ascii="方正小标宋_GBK" w:hAnsi="Times New Roman" w:eastAsia="方正小标宋_GBK"/>
          <w:snapToGrid w:val="0"/>
          <w:kern w:val="0"/>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十三五”期间，常州市深入贯彻落实习近平总书记关于“三农”工作重要论述，以实施乡村振兴战略为统领，按照“1+8+3”框架体系，精心谋划，着力推进，全市农业农村发展态势良好，成功摘得国家现代农业示范区、国家森林城市、全国农业农村信息化整体推进型示范基地、国家水产养殖综合标准化示范区、国家水稻全程机械化生产标准化示范区等国字号招牌，在全省唯一以大市为单位创成国家农产品质量安全市，常州市农业农村局被授予“全国农业农村系统先进集体”荣誉称号。</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3" w:name="_Toc62376940"/>
      <w:bookmarkStart w:id="4" w:name="_Toc60257842"/>
      <w:r>
        <w:rPr>
          <w:rFonts w:ascii="Times New Roman" w:hAnsi="Times New Roman" w:eastAsia="方正楷体_GBK"/>
          <w:b w:val="0"/>
          <w:snapToGrid w:val="0"/>
          <w:kern w:val="0"/>
        </w:rPr>
        <w:t>（一）农业现代化建设成效显著</w:t>
      </w:r>
      <w:bookmarkEnd w:id="3"/>
      <w:bookmarkEnd w:id="4"/>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百亿级产业集群加速崛起。夏溪花木市场交易额突破200亿元大关，持续领跑全国同类市场，聚集商家2500余户、花木经纪人2万余名，带动本地花农15万户。作为国家级农业龙头企业和全省首家上市的畜禽养殖企业，立华牧业总市值约213亿元，子公司分布于10个省份，常年带动农户5000多户，为合作农户创收约7.7亿元。武进水稻所先后培育出60多个优质高产水稻新品种，累计推广应用4.3亿多亩次，增产稻谷130多亿公斤，增加社会经济效益220多亿元。作为国家级农业龙头企业和全国一流、华东居首的农产品综合批发市场，凌家塘市场交易额突破400亿元，带动种养殖基地面积200多万亩，辐射长三角地区50多个县市。作为全国现代农机重要生产基地，全市农机重点企业年产值达到213亿元。技术国内领先、产业配套齐全的农机装备产业直接推动全市农业机械化水平走在全省全国前列，常州基本实现稻麦生产全程机械化，以大市为单位创成全国水稻全程机械化生产标准化示范区。全市乡村旅游产业规模持续壮大，产业要素不断完善，乡村旅游产品和服务从“吃住行游购娱”传统要素向“商养学闲情奇”新要素扩展，年接待游客超千万人次，实现旅游总收入超千亿元。作为“中国强化木地板之都”，横林地板产业总规模达到250亿元，产销量占国内市场40%以上，同类产品出口份额占全国65%左右，拥有终端及配套企业400余家，从业人员3万余人。</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特色产业布局区域化。全市已经形成了洮滆平原花卉苗木、两湖（滆湖、长荡湖）渔业、东部时令水果、丘陵山区精品茶果和特色畜禽养殖等五大产业片区。各地都开发培育了富有地方特色的优质农产品，如溧阳的“两白一青”（白茶、白芹和青虾）、金坛的“两水一茶”（水产、水稻和绿茶）、武进的“三白一花”（太湖三白和花木）和常州农旅的“两1号一美湖”（溧阳1号公路、金坛一号农场和天目湖）等。戴埠镇南山农旅小镇、天目湖白茶小镇、薛埠镇茶香小镇、礼嘉镇葡萄文化小镇、嘉泽镇花木小镇、郑陆镇太湖名猪小镇和西夏墅镇草坪田园小镇等入选江苏农业特色小镇，雪堰镇、天目湖镇、薛埠镇和指前镇入选全国农业产业强镇建设行列。建成省级“一村一品一店”示范村23个。溧阳青虾成功创建第三批“中国特色农产品优势区”，长荡湖大闸蟹和天目湖白茶入选2020年首批“江苏省特色农产品优势区”。</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休闲农业与乡村旅游蓬勃发展。根据“一江二区三山四湖”的总体规划，发挥风景名胜区的带动作用，积极实施“十园百村千点万亩”精品培育工程，重点打造了溧阳北山、金坛薛埠、武进雪堰、新北梅林、天宁郑陆等休闲农业集聚区。全市共有规模以上休闲农业企业144个、休闲农园58个、休闲农庄153个、主题创意农园23个、休闲农业精品（示范）村29个、全国休闲农业与乡村旅游星级企业23个、森林公园6个、湿地公园7个。金坛区获评全国休闲农业与乡村旅游示范县，溧阳市成功举办全国休闲农业和乡村旅游大会，溧阳“1号公路”成为“首批江苏省旅游风景道”。溧阳李家园、金坛仙姑村2个村入选首批全国乡村旅游重点村，天宁牟家村、溧阳李家园村、新北梅林村、武进城西回民村等4个村入选“中国美丽休闲乡村”。2020年全市休闲农业和乡村旅游接待人数达到1196万人次、营收及带动性收入超38亿元。</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农业科技创新支撑有力。坚持把科技强农作为推进产业转型升级的根本途径，完善体系、搭建平台、培育主体，促进农业新品种、新技术、新模式推广应用，全市农业科技进步贡献率接近70%。品种创新有特色，水稻、畜禽、水产等形成育种集群优势，特别是水稻育种业界领先，“十三五”以来培育优质高产水稻新品种20多个。全市建有国家级生猪、家禽核心育种场3个，成为华东地区重要的畜禽种源基地，雪山鸡、江南白鹅、中华绒螯蟹“诺亚1号”等拥有自主知识产权的新品种享誉业界。产业技术创新有平台，获批建设常州国家农业科技园，现有市级以上农业企业研发中心14个、省级农业科技型企业28家，组建了4个省级农业产业技术创新联盟。科技推广有高度，农业技术推广和服务网络实现全覆盖，溧阳市、金坛区成为全国农技推广示范县，金坛稻麦综合示范基地入选国家现代农业科技示范展示基地，金坛区水产技术指导站荣获“十佳全国水产技术推广示范站”。</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农业物质装备与信息化水平不断提升。全市高标准农田面积占耕地面积比重67.7%，高效设施农业占比23.7%，高效设施渔业占比39.4%，实施标准化池塘改造6.8万亩，实现池塘增氧机械全覆盖。溧阳市、金坛区和武进区先后通过省级粮食生产全程机械化示范县创建考核，并都被认定为</w:t>
      </w:r>
      <w:r>
        <w:rPr>
          <w:rFonts w:ascii="Times New Roman" w:hAnsi="Times New Roman" w:eastAsia="方正仿宋_GBK"/>
          <w:bCs/>
          <w:snapToGrid w:val="0"/>
          <w:kern w:val="0"/>
          <w:sz w:val="32"/>
          <w:szCs w:val="32"/>
        </w:rPr>
        <w:t>全国率先基本实现主要农作物生产全程机械化示范县（市</w:t>
      </w:r>
      <w:r>
        <w:rPr>
          <w:rFonts w:ascii="Times New Roman" w:hAnsi="Times New Roman" w:eastAsia="方正仿宋_GBK"/>
          <w:snapToGrid w:val="0"/>
          <w:kern w:val="0"/>
          <w:sz w:val="32"/>
          <w:szCs w:val="32"/>
        </w:rPr>
        <w:t>）。</w:t>
      </w:r>
      <w:r>
        <w:rPr>
          <w:rFonts w:ascii="Times New Roman" w:hAnsi="Times New Roman" w:eastAsia="方正仿宋_GBK"/>
          <w:bCs/>
          <w:snapToGrid w:val="0"/>
          <w:kern w:val="0"/>
          <w:sz w:val="32"/>
          <w:szCs w:val="32"/>
        </w:rPr>
        <w:t>2019年国家标准化管理委员会授予常州市“国家水稻全程机械化生产标准化示范区”称号，承担的“水稻全程机械化生产标准化示范区”项目被国家市场监管总局列为典型案例推广。全市粮食产地烘干能力达90%以上</w:t>
      </w:r>
      <w:r>
        <w:rPr>
          <w:rFonts w:ascii="Times New Roman" w:hAnsi="Times New Roman" w:eastAsia="方正仿宋_GBK"/>
          <w:snapToGrid w:val="0"/>
          <w:kern w:val="0"/>
          <w:sz w:val="32"/>
          <w:szCs w:val="32"/>
        </w:rPr>
        <w:t>。通过大力实施智慧农业提速行动、数字乡村发展战略、光网乡村建设战略，加快信息技术在农业领域全产业、全链条覆盖应用，全市农业信息化覆盖率达65%，农村光纤网络覆盖率达100%。</w:t>
      </w:r>
      <w:r>
        <w:rPr>
          <w:rFonts w:ascii="Times New Roman" w:hAnsi="Times New Roman" w:eastAsia="方正仿宋_GBK"/>
          <w:bCs/>
          <w:snapToGrid w:val="0"/>
          <w:kern w:val="0"/>
          <w:sz w:val="32"/>
          <w:szCs w:val="32"/>
        </w:rPr>
        <w:t>生产智能化水平不断提升，</w:t>
      </w:r>
      <w:r>
        <w:rPr>
          <w:rFonts w:ascii="Times New Roman" w:hAnsi="Times New Roman" w:eastAsia="方正仿宋_GBK"/>
          <w:snapToGrid w:val="0"/>
          <w:kern w:val="0"/>
          <w:sz w:val="32"/>
          <w:szCs w:val="32"/>
        </w:rPr>
        <w:t>全市共有省级智能农业示范单位10个，规模设施农业物联网技术应用面积占比近20%。</w:t>
      </w:r>
      <w:r>
        <w:rPr>
          <w:rFonts w:ascii="Times New Roman" w:hAnsi="Times New Roman" w:eastAsia="方正仿宋_GBK"/>
          <w:bCs/>
          <w:snapToGrid w:val="0"/>
          <w:kern w:val="0"/>
          <w:sz w:val="32"/>
          <w:szCs w:val="32"/>
        </w:rPr>
        <w:t>经营网络化水平不断提升，</w:t>
      </w:r>
      <w:r>
        <w:rPr>
          <w:rFonts w:ascii="Times New Roman" w:hAnsi="Times New Roman" w:eastAsia="方正仿宋_GBK"/>
          <w:snapToGrid w:val="0"/>
          <w:kern w:val="0"/>
          <w:sz w:val="32"/>
          <w:szCs w:val="32"/>
        </w:rPr>
        <w:t>2020年全市实现农业电商交易额54.4亿元。</w:t>
      </w:r>
      <w:r>
        <w:rPr>
          <w:rFonts w:ascii="Times New Roman" w:hAnsi="Times New Roman" w:eastAsia="方正仿宋_GBK"/>
          <w:bCs/>
          <w:snapToGrid w:val="0"/>
          <w:kern w:val="0"/>
          <w:sz w:val="32"/>
          <w:szCs w:val="32"/>
        </w:rPr>
        <w:t>管理精准化水平不断提升，</w:t>
      </w:r>
      <w:r>
        <w:rPr>
          <w:rFonts w:ascii="Times New Roman" w:hAnsi="Times New Roman" w:eastAsia="方正仿宋_GBK"/>
          <w:snapToGrid w:val="0"/>
          <w:kern w:val="0"/>
          <w:sz w:val="32"/>
          <w:szCs w:val="32"/>
        </w:rPr>
        <w:t>启动并实施农业大数据建设，在全省率先推行互联网+农产品质量监管新模式，在全省率先建立起跨部门、跨平台的全链条肉品追溯监管平台，实施农业项目数字化管理。</w:t>
      </w:r>
      <w:r>
        <w:rPr>
          <w:rFonts w:ascii="Times New Roman" w:hAnsi="Times New Roman" w:eastAsia="方正仿宋_GBK"/>
          <w:bCs/>
          <w:snapToGrid w:val="0"/>
          <w:kern w:val="0"/>
          <w:sz w:val="32"/>
          <w:szCs w:val="32"/>
        </w:rPr>
        <w:t>服务便捷化水平不断提升，</w:t>
      </w:r>
      <w:r>
        <w:rPr>
          <w:rFonts w:ascii="Times New Roman" w:hAnsi="Times New Roman" w:eastAsia="方正仿宋_GBK"/>
          <w:snapToGrid w:val="0"/>
          <w:kern w:val="0"/>
          <w:sz w:val="32"/>
          <w:szCs w:val="32"/>
        </w:rPr>
        <w:t>完成了559个村级益农信息社和4个中心站建设，实现了全市涉农行政村益农信息社全覆盖。</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农业品牌化发展渐入佳境。现有“两品一标”农产品409只，拥有农产品地理标志产品7只、国家地理标志证明商标11件、“农字头”中国驰名商标5只，溧阳市社渚镇获评“中国青虾第一镇”，“长荡湖大闸蟹”“溧阳青虾”入围首批中国农业品牌目录2019年农产品区域公用品牌目录，“溧阳青虾”“阳湖果品”入围2020年江苏农业品牌目录区域公用品牌，3个稻米品牌和4个蔬果品牌入选2020年江苏农业品牌目录产品品牌，江苏立华牧业股份有限公司的“雪山”品牌和江苏一号农场科技股份有限公司的“一号农场”品牌2020年入选江苏首届知名企业品牌30强。全市基本形成以区域公用品牌为龙头、企业产品品牌为主体、绿色优质农产品为基础的农产品品牌发展体系。</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农业绿色发展持续推进。整市推进耕地轮作休耕试点，建成行业领先的</w:t>
      </w:r>
      <w:r>
        <w:rPr>
          <w:rFonts w:ascii="Times New Roman" w:hAnsi="Times New Roman" w:eastAsia="方正仿宋_GBK"/>
          <w:bCs/>
          <w:snapToGrid w:val="0"/>
          <w:kern w:val="0"/>
          <w:sz w:val="32"/>
          <w:szCs w:val="32"/>
        </w:rPr>
        <w:t>病死畜禽无害化处理体系</w:t>
      </w:r>
      <w:r>
        <w:rPr>
          <w:rFonts w:ascii="Times New Roman" w:hAnsi="Times New Roman" w:eastAsia="方正仿宋_GBK"/>
          <w:snapToGrid w:val="0"/>
          <w:kern w:val="0"/>
          <w:sz w:val="32"/>
          <w:szCs w:val="32"/>
        </w:rPr>
        <w:t>，规模养殖场畜禽粪便资源化利用率和农作物秸秆综合利用率均达96%以上。全域推进农药包装废弃物回收处置工作和农膜回收利用，全市农药包装废弃物回收率80%、废旧农膜回收利用率79%。着力推进渔业高质量发展，长江流域重点水域禁捕退捕工作创造“常州模式”，水产养殖业布局持续优化，依法有序实施禁养区水产养殖退出工作，金坛区创成全省首个农业部渔业健康养殖示范县。在全省率先培育一批“主体小循环、片区中循环、区域大循环、循环农业科技示范园（区）”等生态循环农业示范样板，全市认定生态循环农业示范创建点86家、建设循环农业科技示范园（区）3个，武进和新北区先后承担省级生态循环农业试点项目。2019年，常州在全省率先全域创成国家农产品质量安全市，创建工作获得农业农村部“江苏样板、常州模式”高度评价，食用农产品合格证制度走在全省乃至全国前列。</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5" w:name="_Toc60257843"/>
      <w:bookmarkStart w:id="6" w:name="_Toc62376941"/>
      <w:r>
        <w:rPr>
          <w:rFonts w:ascii="Times New Roman" w:hAnsi="Times New Roman" w:eastAsia="方正楷体_GBK"/>
          <w:b w:val="0"/>
          <w:snapToGrid w:val="0"/>
          <w:kern w:val="0"/>
        </w:rPr>
        <w:t>（二）农村改革不断深化</w:t>
      </w:r>
      <w:bookmarkEnd w:id="5"/>
      <w:bookmarkEnd w:id="6"/>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深入推进农村各项改革。全面完成农村承包土地确权登记颁证，开展土地承包经营权纳入不动产统一登记工作，深化“三权分置”改革实践。引导农民通过土地经营权入股、托管等方式，发展多种形式的适度规模经营。武进区作为全国农村改革试验区，承担的“农村土地征收”“集体经营性建设用地入市”“宅基地制度改革”三项国家改革试点在全国实现了“十二个率先”，试点经验被新《土地管理法》吸收。深入推进农村集体产权制度改革，770个村完成改革任务、完成率99.2%，全市784家村级集体经济组织完成登记赋码工作。溧阳市、金坛区国家城乡融合发展试验区建设有序推进。全力推进农业水价综合改革，全市农业水价综合改革完成总面积143.24万亩。持续深化供销合作社综合改革，加快推进金坛区首批省级供销合作社服务乡村振兴示范区先行县建设试点。溧阳为农服务中心、“苏南农资”综合服务模式在全国全省供销合作社系统推广。</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农业新型经营主体不断成长。全市培育农民合作社3205家、家庭农场2305家，培育国家级农民合作社36家，创建省级示范社88家、省级示范家庭农场136家。培育市级以上农业龙头企业124家，其中国家级4家、省级45家、</w:t>
      </w:r>
      <w:r>
        <w:rPr>
          <w:rFonts w:ascii="Times New Roman" w:hAnsi="Times New Roman" w:eastAsia="方正仿宋_GBK"/>
          <w:bCs/>
          <w:snapToGrid w:val="0"/>
          <w:kern w:val="0"/>
          <w:sz w:val="32"/>
          <w:szCs w:val="32"/>
        </w:rPr>
        <w:t>市级75家，</w:t>
      </w:r>
      <w:r>
        <w:rPr>
          <w:rFonts w:ascii="Times New Roman" w:hAnsi="Times New Roman" w:eastAsia="方正仿宋_GBK"/>
          <w:snapToGrid w:val="0"/>
          <w:kern w:val="0"/>
          <w:sz w:val="32"/>
          <w:szCs w:val="32"/>
        </w:rPr>
        <w:t>引导组建20余个农业产业化联合体，</w:t>
      </w:r>
      <w:r>
        <w:rPr>
          <w:rFonts w:ascii="Times New Roman" w:hAnsi="Times New Roman" w:eastAsia="方正仿宋_GBK"/>
          <w:bCs/>
          <w:snapToGrid w:val="0"/>
          <w:kern w:val="0"/>
          <w:sz w:val="32"/>
          <w:szCs w:val="32"/>
        </w:rPr>
        <w:t>7家农业龙头企业入选2019全国农业产业化龙头企业500强榜单。</w:t>
      </w:r>
      <w:r>
        <w:rPr>
          <w:rFonts w:ascii="Times New Roman" w:hAnsi="Times New Roman" w:eastAsia="方正仿宋_GBK"/>
          <w:snapToGrid w:val="0"/>
          <w:kern w:val="0"/>
          <w:sz w:val="32"/>
          <w:szCs w:val="32"/>
        </w:rPr>
        <w:t>金坛区成为全国农民合作社质量提升整县推进试点单位。2020年市级以上龙头企业实现销售收入（交易额）850亿元左右，</w:t>
      </w:r>
      <w:r>
        <w:rPr>
          <w:rFonts w:ascii="Times New Roman" w:hAnsi="Times New Roman" w:eastAsia="方正仿宋_GBK"/>
          <w:bCs/>
          <w:snapToGrid w:val="0"/>
          <w:kern w:val="0"/>
          <w:sz w:val="32"/>
          <w:szCs w:val="32"/>
        </w:rPr>
        <w:t>实现利税25亿元，带动农户数143万户</w:t>
      </w:r>
      <w:r>
        <w:rPr>
          <w:rFonts w:ascii="Times New Roman" w:hAnsi="Times New Roman" w:eastAsia="方正仿宋_GBK"/>
          <w:snapToGrid w:val="0"/>
          <w:kern w:val="0"/>
          <w:sz w:val="32"/>
          <w:szCs w:val="32"/>
        </w:rPr>
        <w:t>。培育各类社会化服务组织650个，承担了全市近80%的粮食生产作业。全面推进百名农业精英人才和农业乡土人才培养，深入推进新型职业农民培育工程，全市新型职业培育程度超过40%。</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村集体“三资”管理水平不断提升。以制度建设为重点，着力构建管理规范、监督有力、运行高效的农村集体“三资”监管体系。深入推进村集体“三资三化”专项提升行动，全市59个镇（街道）全面建立会计服务站，实现村居服务全市“一张网”。落实农村集体资产清产核资制度，严格执行村级财务预决算制度，优化农村财务管理制度，实现村级资金非现金结算制度，完善村级财务公开，加强村级财务检查和审计。以科技创新为抓手，着力提升农村集体“三资”管理信息化水平。</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财政金融支持有力。构建财政、基金、银行、保险、担保“五位一体”的财政金融协同支农机制。放大财政效力，积极推动各类涉农资金统筹整合，促进功能互补、用途衔接的涉农资金集中投入，最大限度发挥涉农资金整体效益。设立乡村振兴战略专项资金，出台加快农业重大项目建设的若干政策意见，引领带动乡村产业提质增效。释放金融活力，创设并运行规模均为1亿元的农业产业发展投资基金、乡村振兴战略发展基金。建立完善农业担保服务体系，全面推进农业保险市场化经营模式，充分发挥政策性农业保险的基础保障作用，农业保险覆盖面达65%以上。</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7" w:name="_Toc60257844"/>
      <w:bookmarkStart w:id="8" w:name="_Toc62376942"/>
      <w:r>
        <w:rPr>
          <w:rFonts w:ascii="Times New Roman" w:hAnsi="Times New Roman" w:eastAsia="方正楷体_GBK"/>
          <w:b w:val="0"/>
          <w:snapToGrid w:val="0"/>
          <w:kern w:val="0"/>
        </w:rPr>
        <w:t>（三）农村民生保障持续加强</w:t>
      </w:r>
      <w:bookmarkEnd w:id="7"/>
      <w:bookmarkEnd w:id="8"/>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农村人居环境整治成效显著。因地制宜编制村庄规划，535个村编制完成美丽宜居村庄规划，151个行政村编制完成“多规合一”村庄规划，14个村编制完成特色田园乡村建设规划。全域建立农村垃圾处置体系，全面形成了“组保洁、村收集、镇转运、市处理”的城乡统筹收运处置体系，农村生活垃圾集中收运的行政村实现全覆盖，生活垃圾实现日产日清。全市农村垃圾分类设施覆盖率达到50%以上。推进农村“厕所革命”，武进、新北、天宁、钟楼四个辖区农村无害化卫生户厕普及率达到100%，溧阳、金坛在99%以上，基本实现行政村村部公厕全覆盖。多途径推进农村生活污水治理，全市目前建有生活污水处理设施的行政村达599个，占行政村总数98%以上，生活污水乱排乱放得到管控的行政村基本实现了全覆盖。累计完成1576个规划村庄生活污水治理项目，占规划发展村总数90%以上。溧阳市、金坛区先后获省政府农村人居环境督查激励。</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美丽乡村建设成为“三农”工作靓丽名片。成立市美丽乡村建设指挥部，统筹推进全市美丽乡村建设。通过以“村强民富、景美人和”为总要求，以“江南水乡地区都市休闲型美丽乡村集聚区、江苏省高水平小康社会建设的乡村标杆区”为总体定位，以首批“两区十点”、第二批“三区十四点”市级美丽乡村示范项目建设为抓手，引导推进全域美丽乡村建设。首批市级示范项目已基本完成主体核心区建设，牛马塘等13个美丽乡村示范点揭牌，4个村获评中国美丽休闲乡村，20个村被评为省级特色田园乡村，1220个村建成美丽宜居乡村。“四好农村路”建设持续深化，成为全省首批“四好农村路”示范市，溧阳市纳入全国深化农村公路管养体制改革试点，1号公路瓦屋山线获评全国“最美农村路”。</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农村居民人均可支配收入位居全国全省前列。深入推进强村富民工程，农村居民人均可支配收入达到32364元，是</w:t>
      </w:r>
      <w:r>
        <w:rPr>
          <w:rFonts w:ascii="Times New Roman" w:hAnsi="Times New Roman" w:eastAsia="方正仿宋_GBK"/>
          <w:sz w:val="32"/>
          <w:szCs w:val="32"/>
        </w:rPr>
        <w:t>“十二五”期末的1.4倍</w:t>
      </w:r>
      <w:r>
        <w:rPr>
          <w:rFonts w:ascii="Times New Roman" w:hAnsi="Times New Roman" w:eastAsia="方正仿宋_GBK"/>
          <w:snapToGrid w:val="0"/>
          <w:kern w:val="0"/>
          <w:sz w:val="32"/>
          <w:szCs w:val="32"/>
        </w:rPr>
        <w:t>，城乡居民收入比缩小到1.87。因地制宜探索村级集体经济发展路径，着力推进村级集体经济高质量发展，村均集体经营性收入达到415万元。持续开展茅山老区“百千万”帮扶工程，经济薄弱村村均集体经济收入达125万元，提前一年完成市定建档立卡低收入人口脱贫任务，“两不愁三保障”较好解决。</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9" w:name="_Toc60257845"/>
      <w:bookmarkStart w:id="10" w:name="_Toc62376943"/>
      <w:r>
        <w:rPr>
          <w:rFonts w:ascii="Times New Roman" w:hAnsi="Times New Roman" w:eastAsia="方正楷体_GBK"/>
          <w:b w:val="0"/>
          <w:snapToGrid w:val="0"/>
          <w:kern w:val="0"/>
        </w:rPr>
        <w:t>（四）农村基层基础有力夯实</w:t>
      </w:r>
      <w:bookmarkEnd w:id="9"/>
      <w:bookmarkEnd w:id="10"/>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不断加强和改善党对“三农”工作的集中统一领导。建立了由党政主要领导牵头、分管领导具体负责的乡村振兴推进工作体系，将抓好乡村产业发展的实绩作为考核重要内容。高度重视农业农村干部的培养、配备、使用，2016年换届以来，全市累计选派192名优秀机关干部、提拔重用17名优秀村书记充实到镇（街道）党政班子，共选派45名熟悉农业、水利、交通等专业型干部进入镇（街道）党政领导班子，逐步建立起素质好、技术强、结构优的“三农”基层干部队伍。</w:t>
      </w:r>
    </w:p>
    <w:p>
      <w:pPr>
        <w:overflowPunct w:val="0"/>
        <w:autoSpaceDE w:val="0"/>
        <w:autoSpaceDN w:val="0"/>
        <w:adjustRightInd w:val="0"/>
        <w:snapToGrid w:val="0"/>
        <w:spacing w:line="570" w:lineRule="exact"/>
        <w:ind w:firstLine="641"/>
        <w:rPr>
          <w:rFonts w:ascii="Times New Roman" w:hAnsi="Times New Roman" w:eastAsia="仿宋_GB2312"/>
          <w:snapToGrid w:val="0"/>
          <w:kern w:val="0"/>
          <w:sz w:val="32"/>
          <w:szCs w:val="32"/>
        </w:rPr>
      </w:pPr>
      <w:r>
        <w:rPr>
          <w:rFonts w:ascii="Times New Roman" w:hAnsi="Times New Roman" w:eastAsia="方正仿宋_GBK"/>
          <w:snapToGrid w:val="0"/>
          <w:kern w:val="0"/>
          <w:sz w:val="32"/>
          <w:szCs w:val="32"/>
        </w:rPr>
        <w:t>着力加强农村基层党组织建设。实施村党组织书记“5A制”晋档升级管理，</w:t>
      </w:r>
      <w:r>
        <w:rPr>
          <w:rFonts w:ascii="Times New Roman" w:hAnsi="Times New Roman" w:eastAsia="方正仿宋_GBK"/>
          <w:snapToGrid w:val="0"/>
          <w:kern w:val="0"/>
          <w:sz w:val="32"/>
          <w:szCs w:val="32"/>
          <w:shd w:val="clear" w:color="auto" w:fill="FFFFFF"/>
        </w:rPr>
        <w:t>5A级村书记占比超过33%，</w:t>
      </w:r>
      <w:r>
        <w:rPr>
          <w:rFonts w:ascii="Times New Roman" w:hAnsi="Times New Roman" w:eastAsia="方正仿宋_GBK"/>
          <w:snapToGrid w:val="0"/>
          <w:kern w:val="0"/>
          <w:sz w:val="32"/>
          <w:szCs w:val="32"/>
        </w:rPr>
        <w:t>一大批经验丰富、年富力强的村党组织书记正成为乡村振兴的中坚力量。积极打造新时代文明实践中心“5+”品牌，建成461个中心（站、所），溧阳市打造的“五堂一站”等特色品牌取得良好社会反响。全市5个村成为全国乡村治理示范村，溧阳市入选全国乡村治理体系建设首批试点县。全市村委会依法自治达标率99%，农村和谐社区建设达标率94.8%。</w:t>
      </w:r>
    </w:p>
    <w:p>
      <w:pPr>
        <w:overflowPunct w:val="0"/>
        <w:autoSpaceDE w:val="0"/>
        <w:autoSpaceDN w:val="0"/>
        <w:adjustRightInd w:val="0"/>
        <w:snapToGrid w:val="0"/>
        <w:spacing w:line="560" w:lineRule="exact"/>
        <w:ind w:firstLine="641"/>
        <w:rPr>
          <w:rFonts w:ascii="Times New Roman" w:hAnsi="Times New Roman" w:eastAsia="仿宋_GB2312"/>
          <w:snapToGrid w:val="0"/>
          <w:kern w:val="0"/>
          <w:sz w:val="32"/>
          <w:szCs w:val="32"/>
        </w:rPr>
      </w:pPr>
    </w:p>
    <w:p>
      <w:pPr>
        <w:overflowPunct w:val="0"/>
        <w:autoSpaceDE w:val="0"/>
        <w:autoSpaceDN w:val="0"/>
        <w:adjustRightInd w:val="0"/>
        <w:snapToGrid w:val="0"/>
        <w:spacing w:line="570" w:lineRule="exact"/>
        <w:jc w:val="center"/>
        <w:rPr>
          <w:rFonts w:hint="eastAsia" w:ascii="方正小标宋_GBK" w:hAnsi="Times New Roman" w:eastAsia="方正小标宋_GBK"/>
          <w:sz w:val="30"/>
          <w:szCs w:val="30"/>
        </w:rPr>
      </w:pPr>
      <w:r>
        <w:rPr>
          <w:rFonts w:ascii="Times New Roman" w:hAnsi="Times New Roman" w:eastAsia="仿宋_GB2312"/>
          <w:snapToGrid w:val="0"/>
          <w:kern w:val="0"/>
          <w:sz w:val="32"/>
          <w:szCs w:val="32"/>
        </w:rPr>
        <w:br w:type="page"/>
      </w:r>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rPr>
      </w:pPr>
      <w:bookmarkStart w:id="11" w:name="_Toc60257846"/>
      <w:bookmarkStart w:id="12" w:name="_Toc62376944"/>
      <w:r>
        <w:rPr>
          <w:rFonts w:hint="eastAsia" w:ascii="方正小标宋_GBK" w:hAnsi="Times New Roman" w:eastAsia="方正小标宋_GBK"/>
          <w:b w:val="0"/>
        </w:rPr>
        <w:t>二、形势</w:t>
      </w:r>
      <w:bookmarkEnd w:id="11"/>
      <w:r>
        <w:rPr>
          <w:rFonts w:hint="eastAsia" w:ascii="方正小标宋_GBK" w:hAnsi="Times New Roman" w:eastAsia="方正小标宋_GBK"/>
          <w:b w:val="0"/>
        </w:rPr>
        <w:t>分析</w:t>
      </w:r>
      <w:bookmarkEnd w:id="12"/>
    </w:p>
    <w:p>
      <w:pPr>
        <w:overflowPunct w:val="0"/>
        <w:adjustRightInd w:val="0"/>
        <w:snapToGrid w:val="0"/>
        <w:spacing w:line="570" w:lineRule="exact"/>
        <w:jc w:val="center"/>
        <w:rPr>
          <w:rFonts w:hint="eastAsia" w:ascii="方正小标宋_GBK" w:hAnsi="Times New Roman" w:eastAsia="方正小标宋_GBK"/>
          <w:sz w:val="44"/>
          <w:szCs w:val="44"/>
        </w:rPr>
      </w:pP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十四五”时期是我国在实现全面建成小康社会目标后迈向社会主义现代化国家建设新征程的开局时期，城乡关系将进一步调整，乡村人口、产业、社会结构将进一步演变，农业农村发展中的重大结构性、趋势性、转折性变化将进一步凸显，农业农村现代化面临了一系列新的机遇与挑战。</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13" w:name="_Toc60257847"/>
      <w:bookmarkStart w:id="14" w:name="_Toc62376945"/>
      <w:r>
        <w:rPr>
          <w:rFonts w:ascii="Times New Roman" w:hAnsi="Times New Roman" w:eastAsia="方正楷体_GBK"/>
          <w:b w:val="0"/>
          <w:snapToGrid w:val="0"/>
          <w:kern w:val="0"/>
        </w:rPr>
        <w:t>（一）主要机遇</w:t>
      </w:r>
      <w:bookmarkEnd w:id="13"/>
      <w:bookmarkEnd w:id="14"/>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国际经济贸易格局面临重构，外部发展环境不确定性显著加大，以国内大循环为主体、国内国际双循环相互促进的新发展格局为现代农业的发展提供新的机遇。</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党中央高度重视全面实施乡村振兴战略，举全党全社会之力推动乡村振兴，推进农业农村优先发展，必将促进资源要素流向农业农村，为农业农村快速发展提供新的机遇。</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我国工农城乡关系全面进入工农互促、城乡互补、全面融合、共同繁荣的新阶段，农业的多种功能、乡村的多元价值将不断得到发现和彰显，为农业农村转型发展提供新的机遇。</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生物技术、人工智能在农业中广泛应用，5G、云计算、物联网、区块链等与农业农村交互联动，新产业、新业态、新模式不断涌现，为农业农村创新发展提供新的机遇。</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长三角区域资源整合、开放协作将加速深化，高质量一体化将开启崭新篇章，为地处长三角中轴枢纽的常州市深化城乡融合推进农业农村资源更大范围的优化配置提供了新的机遇。</w:t>
      </w:r>
    </w:p>
    <w:p>
      <w:pPr>
        <w:pStyle w:val="4"/>
        <w:tabs>
          <w:tab w:val="left" w:pos="763"/>
          <w:tab w:val="left" w:pos="4634"/>
        </w:tabs>
        <w:overflowPunct w:val="0"/>
        <w:autoSpaceDE w:val="0"/>
        <w:autoSpaceDN w:val="0"/>
        <w:adjustRightInd w:val="0"/>
        <w:snapToGrid w:val="0"/>
        <w:spacing w:line="570" w:lineRule="exact"/>
        <w:ind w:firstLine="641"/>
        <w:rPr>
          <w:rFonts w:ascii="Times New Roman" w:hAnsi="Times New Roman" w:eastAsia="方正仿宋_GBK" w:cs="Times New Roman"/>
          <w:snapToGrid w:val="0"/>
          <w:lang w:bidi="en-US"/>
        </w:rPr>
      </w:pPr>
      <w:r>
        <w:rPr>
          <w:rFonts w:ascii="Times New Roman" w:hAnsi="Times New Roman" w:eastAsia="方正仿宋_GBK" w:cs="Times New Roman"/>
          <w:snapToGrid w:val="0"/>
          <w:lang w:bidi="en-US"/>
        </w:rPr>
        <w:t>常州市城镇化水平高，工业化水平位居全国前列，以城带乡、以工补农的物质基础和经济实力不断增强，逐渐迈入更高层次的城乡融合阶段，为城乡融合促进农业农村发展提供新的机遇。</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15" w:name="_Toc60257848"/>
      <w:bookmarkStart w:id="16" w:name="_Toc62376946"/>
      <w:r>
        <w:rPr>
          <w:rFonts w:ascii="Times New Roman" w:hAnsi="Times New Roman" w:eastAsia="方正楷体_GBK"/>
          <w:b w:val="0"/>
          <w:snapToGrid w:val="0"/>
          <w:kern w:val="0"/>
        </w:rPr>
        <w:t>（二）主要挑战</w:t>
      </w:r>
      <w:bookmarkEnd w:id="15"/>
      <w:bookmarkEnd w:id="16"/>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经济全球化的不确定性增大。新冠肺炎疫情对世界经济格局产生冲击，全球供应链调整重构，国际产业分工深度演化，对我国农业农村产业链构建带来较大影响。</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发展内循环经济迫切要求农业农村高质量发展。农业农村发展是内循环经济发展的关键支撑，一方面可提高了农民的收入水平，扩大乡村内需，另一方面可优化乡村产业的供给侧结构，释放城市群体对于中高端农产品和优质乡村服务的需求潜力，从而为国内循环经济不断输入新动力，更好地激活国内经济大循环。</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城乡发展对要素争夺依然突出。资金、技术、人才向乡村流动仍有诸多障碍，资金稳定投入机制尚未建立，人才激励保障机制尚不完善，社会资本下乡动力不足，农业农村优先发展有待进一步落实。</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长三角区域一体化发展格局中产业竞争加剧。长三角区域一体化发展的推进，使得人才、资源、要素更加顺畅、更加便捷的流动，“融入上海”成为长三角地区各地农业农村发展的战略首选，区域农业农村发展的竞争将日趋剧烈。</w:t>
      </w:r>
    </w:p>
    <w:p>
      <w:pPr>
        <w:pStyle w:val="4"/>
        <w:overflowPunct w:val="0"/>
        <w:autoSpaceDE w:val="0"/>
        <w:autoSpaceDN w:val="0"/>
        <w:adjustRightInd w:val="0"/>
        <w:snapToGrid w:val="0"/>
        <w:spacing w:line="570" w:lineRule="exact"/>
        <w:ind w:firstLine="641"/>
        <w:rPr>
          <w:rFonts w:ascii="Times New Roman" w:hAnsi="Times New Roman" w:eastAsia="仿宋_GB2312" w:cs="Times New Roman"/>
          <w:snapToGrid w:val="0"/>
          <w:lang w:bidi="en-US"/>
        </w:rPr>
      </w:pPr>
      <w:r>
        <w:rPr>
          <w:rFonts w:ascii="Times New Roman" w:hAnsi="Times New Roman" w:eastAsia="方正仿宋_GBK" w:cs="Times New Roman"/>
          <w:snapToGrid w:val="0"/>
          <w:lang w:bidi="en-US"/>
        </w:rPr>
        <w:t>常州市率先基本实现农业农村现代化面临着一系列“短板”。农业规模化、品牌化、现代化亟需提速，产业融合水平有待进一步提升；乡村人才、用地、资金短缺，资源环境约束趋紧，乡村高质量发展面临较大制约；农村体制机制改革进入深水区，城乡之间要素双向合理流动还存在一定障碍；乡村基层建设仍存在薄弱环节，治理体系和治理能力有待进一步提升。</w:t>
      </w:r>
    </w:p>
    <w:p>
      <w:pPr>
        <w:pStyle w:val="4"/>
        <w:overflowPunct w:val="0"/>
        <w:adjustRightInd w:val="0"/>
        <w:snapToGrid w:val="0"/>
        <w:spacing w:line="580" w:lineRule="exact"/>
        <w:ind w:firstLine="641"/>
        <w:rPr>
          <w:rFonts w:ascii="Times New Roman" w:hAnsi="Times New Roman" w:eastAsia="仿宋_GB2312" w:cs="Times New Roman"/>
          <w:snapToGrid w:val="0"/>
          <w:lang w:bidi="en-US"/>
        </w:rPr>
      </w:pPr>
    </w:p>
    <w:p>
      <w:pPr>
        <w:widowControl/>
        <w:adjustRightInd w:val="0"/>
        <w:snapToGrid w:val="0"/>
        <w:spacing w:line="570" w:lineRule="exact"/>
        <w:jc w:val="center"/>
        <w:rPr>
          <w:rFonts w:hint="eastAsia" w:ascii="方正小标宋_GBK" w:hAnsi="Times New Roman" w:eastAsia="方正小标宋_GBK"/>
          <w:b/>
        </w:rPr>
      </w:pPr>
      <w:r>
        <w:rPr>
          <w:rFonts w:ascii="Times New Roman" w:hAnsi="Times New Roman"/>
          <w:sz w:val="30"/>
          <w:szCs w:val="30"/>
          <w:lang w:bidi="en-US"/>
        </w:rPr>
        <w:br w:type="page"/>
      </w:r>
      <w:bookmarkStart w:id="17" w:name="_Toc60257849"/>
      <w:bookmarkStart w:id="18" w:name="_Toc62376947"/>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rPr>
      </w:pPr>
      <w:r>
        <w:rPr>
          <w:rFonts w:hint="eastAsia" w:ascii="方正小标宋_GBK" w:hAnsi="Times New Roman" w:eastAsia="方正小标宋_GBK"/>
          <w:b w:val="0"/>
        </w:rPr>
        <w:t>三、总体</w:t>
      </w:r>
      <w:bookmarkEnd w:id="17"/>
      <w:r>
        <w:rPr>
          <w:rFonts w:hint="eastAsia" w:ascii="方正小标宋_GBK" w:hAnsi="Times New Roman" w:eastAsia="方正小标宋_GBK"/>
          <w:b w:val="0"/>
        </w:rPr>
        <w:t>要求</w:t>
      </w:r>
      <w:bookmarkEnd w:id="18"/>
    </w:p>
    <w:p>
      <w:pPr>
        <w:overflowPunct w:val="0"/>
        <w:adjustRightInd w:val="0"/>
        <w:snapToGrid w:val="0"/>
        <w:spacing w:line="570" w:lineRule="exact"/>
        <w:jc w:val="center"/>
        <w:rPr>
          <w:rFonts w:hint="eastAsia" w:ascii="方正小标宋_GBK" w:hAnsi="Times New Roman" w:eastAsia="方正小标宋_GBK"/>
          <w:sz w:val="44"/>
          <w:szCs w:val="44"/>
        </w:rPr>
      </w:pP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19" w:name="_Toc62376948"/>
      <w:bookmarkStart w:id="20" w:name="_Toc60257850"/>
      <w:r>
        <w:rPr>
          <w:rFonts w:ascii="Times New Roman" w:hAnsi="Times New Roman" w:eastAsia="方正楷体_GBK"/>
          <w:b w:val="0"/>
          <w:snapToGrid w:val="0"/>
          <w:kern w:val="0"/>
        </w:rPr>
        <w:t>（一）指导思想</w:t>
      </w:r>
      <w:bookmarkEnd w:id="19"/>
      <w:bookmarkEnd w:id="20"/>
    </w:p>
    <w:p>
      <w:pPr>
        <w:pStyle w:val="4"/>
        <w:overflowPunct w:val="0"/>
        <w:autoSpaceDE w:val="0"/>
        <w:autoSpaceDN w:val="0"/>
        <w:adjustRightInd w:val="0"/>
        <w:snapToGrid w:val="0"/>
        <w:spacing w:line="570" w:lineRule="exact"/>
        <w:ind w:firstLine="641"/>
        <w:rPr>
          <w:rFonts w:ascii="Times New Roman" w:hAnsi="Times New Roman" w:eastAsia="方正仿宋_GBK" w:cs="Times New Roman"/>
          <w:snapToGrid w:val="0"/>
        </w:rPr>
      </w:pPr>
      <w:r>
        <w:rPr>
          <w:rFonts w:ascii="Times New Roman" w:hAnsi="Times New Roman" w:eastAsia="方正仿宋_GBK" w:cs="Times New Roman"/>
          <w:snapToGrid w:val="0"/>
        </w:rPr>
        <w:t>以习近平新时代中国特色社会主义思想为指导，以习近平总书记关于“三农”工作的重要论述为根本遵循，全面贯彻党的十九大和十九届二中、三中、四中、五中、六中全会精神，认真落实省委、省政府和农业农村部对率先基本实现农业农村现代化工作的部署要求，加强党对“三农”工作的全面领导，牢固树立新发展理念，落实高质量发展要求，着眼加快构建新发展格局，坚持农业农村优先发展，全面实施乡村振兴战略，深化改革创新，着力固优补弱，加快推进农业现代化、农村现代化、农民现代化和城乡融合发展，促进农业高质高效、乡村宜居宜业、农民富裕富足，聚力谱写新时代“三农”发展新篇章。</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21" w:name="_Toc60257851"/>
      <w:bookmarkStart w:id="22" w:name="_Toc62376949"/>
      <w:r>
        <w:rPr>
          <w:rFonts w:ascii="Times New Roman" w:hAnsi="Times New Roman" w:eastAsia="方正楷体_GBK"/>
          <w:b w:val="0"/>
          <w:snapToGrid w:val="0"/>
          <w:kern w:val="0"/>
        </w:rPr>
        <w:t>（二）基本原则</w:t>
      </w:r>
      <w:bookmarkEnd w:id="21"/>
      <w:bookmarkEnd w:id="22"/>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坚持解放思想。以新发展理念为指引，遵循发展客观规律，发挥敢为人先精神，把思路创新和制度创新贯穿示范建设的全过程，大胆突破制约城乡融合发展的体制束缚，充分尊重基层的首创精神，不断解放和发展生产力，激发农业农村发展活力。</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坚持优先发展。把全面推进乡村振兴战略、加快农业农村现代化作为全市上下的共同意志、共同行动，做到认识统一、步调一致，加强组织领导，优化制度设计，健全工作体系，完善配套政策，在干部配备上优先考虑，在要素配置上优先满足，在资金投入上优先保障，在公共服务上优先安排。</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坚持融合创新。聚力“四化”同步，把推动城乡融合发展作为贯穿农业农村现代化的主线，强化制度供给，着力破除户籍、土地、资本、公共服务等要素制约，加快构建城乡融合发展的体制机制和政策体系。</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sz w:val="32"/>
          <w:szCs w:val="32"/>
        </w:rPr>
        <w:t>坚持绿色引领。</w:t>
      </w:r>
      <w:r>
        <w:rPr>
          <w:rFonts w:ascii="Times New Roman" w:hAnsi="Times New Roman" w:eastAsia="方正仿宋_GBK"/>
          <w:snapToGrid w:val="0"/>
          <w:kern w:val="0"/>
          <w:sz w:val="32"/>
          <w:szCs w:val="32"/>
        </w:rPr>
        <w:t>牢固树立和践行绿水青山就是金山银山的理念，把绿色发展方式贯穿到推进农业农村现代化的全过程，大力倡导绿色发展方式和生活方式，全面推动农业农村绿色低碳循环发展，以资源节约、环境友好、生态保育、发展安全引领乡村振兴，建设人与自然和谐共生的农业农村现代化。</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坚持农民主体。坚持以人民为中心，充分尊重农民意愿，切实发挥农民在乡村振兴中的主体作用，调动广大农民的积极性、主动性、创造性，把维护农民群众根本利益、促进农民共同富裕作为出发点和落脚点，促进农民持续增收，不断提升农民的获得感、幸福感、安全感。</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23" w:name="_Toc60257852"/>
      <w:bookmarkStart w:id="24" w:name="_Toc62376950"/>
      <w:r>
        <w:rPr>
          <w:rFonts w:ascii="Times New Roman" w:hAnsi="Times New Roman" w:eastAsia="方正楷体_GBK"/>
          <w:b w:val="0"/>
          <w:snapToGrid w:val="0"/>
          <w:kern w:val="0"/>
        </w:rPr>
        <w:t>（三）发展目标</w:t>
      </w:r>
      <w:bookmarkEnd w:id="23"/>
      <w:bookmarkEnd w:id="24"/>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1. 总体目标</w:t>
      </w:r>
    </w:p>
    <w:p>
      <w:pPr>
        <w:pStyle w:val="8"/>
        <w:shd w:val="clear" w:color="auto" w:fill="auto"/>
        <w:overflowPunct w:val="0"/>
        <w:autoSpaceDE w:val="0"/>
        <w:autoSpaceDN w:val="0"/>
        <w:adjustRightInd w:val="0"/>
        <w:snapToGrid w:val="0"/>
        <w:spacing w:before="0" w:line="570" w:lineRule="exact"/>
        <w:ind w:firstLine="641"/>
        <w:jc w:val="both"/>
        <w:rPr>
          <w:rFonts w:ascii="Times New Roman" w:hAnsi="Times New Roman" w:eastAsia="方正仿宋_GBK"/>
          <w:snapToGrid w:val="0"/>
          <w:sz w:val="32"/>
          <w:szCs w:val="32"/>
        </w:rPr>
      </w:pPr>
      <w:r>
        <w:rPr>
          <w:rFonts w:ascii="Times New Roman" w:hAnsi="Times New Roman" w:eastAsia="方正仿宋_GBK"/>
          <w:snapToGrid w:val="0"/>
          <w:sz w:val="32"/>
          <w:szCs w:val="32"/>
        </w:rPr>
        <w:t>到2025年，常州市农业农村现代化水平进一步提升，走在全省前列。一是现代农业产业体系健全优化。粮食产能稳定，农村一二三产业融合发展程度髙，新产业新业态发展稳健。农业物质技术装备水平显著提升，农业绿色发展全面推进，农产品质量安全得到有效保障，多种形式适度规模经营占主导地位，现代农业经营体系日趋完善。二是乡村建设达到新水平。生态宜居的美丽乡村建设扎实推进，农村人居环境更加改善，乡村优秀传统文化蓬勃发展，乡风文明程度进一步提升。自治、法治、德治相结合的乡村治理体系更加健全完善，农村基层组织建设明显加强。三是农民收入跨越新台阶。农村居民人均可支配收入持续稳定增长，城乡居民收入差距进一步缩小，农民生活质量明显提升，农民群众获得感、幸福感、安全感显著增强。四是城乡融合发展格局基本建立。城乡融合发展体制机制基本建立，城乡要素自由流动通道更加顺畅，农村产权保护交易制度框架更加完善，农村基础设施和公共服务条件持续改善，城乡发展差距进一步缩小。</w:t>
      </w:r>
    </w:p>
    <w:p>
      <w:pPr>
        <w:pStyle w:val="8"/>
        <w:shd w:val="clear" w:color="auto" w:fill="auto"/>
        <w:overflowPunct w:val="0"/>
        <w:autoSpaceDE w:val="0"/>
        <w:autoSpaceDN w:val="0"/>
        <w:adjustRightInd w:val="0"/>
        <w:snapToGrid w:val="0"/>
        <w:spacing w:before="0" w:line="570" w:lineRule="exact"/>
        <w:ind w:firstLine="641"/>
        <w:jc w:val="both"/>
        <w:rPr>
          <w:rFonts w:ascii="Times New Roman" w:hAnsi="Times New Roman" w:eastAsia="仿宋_GB2312"/>
          <w:snapToGrid w:val="0"/>
          <w:sz w:val="32"/>
          <w:szCs w:val="32"/>
        </w:rPr>
      </w:pPr>
      <w:r>
        <w:rPr>
          <w:rFonts w:ascii="Times New Roman" w:hAnsi="Times New Roman" w:eastAsia="方正仿宋_GBK"/>
          <w:snapToGrid w:val="0"/>
          <w:sz w:val="32"/>
          <w:szCs w:val="32"/>
        </w:rPr>
        <w:t>展望2035年，农业现代化与新型工业化、信息化、城镇化基本同步，城乡发展深度融合，农业农村高质量发展走在全省全国前列，基本实现高水平农业农村现代化。</w:t>
      </w:r>
    </w:p>
    <w:p>
      <w:pPr>
        <w:pStyle w:val="8"/>
        <w:shd w:val="clear" w:color="auto" w:fill="auto"/>
        <w:overflowPunct w:val="0"/>
        <w:autoSpaceDE w:val="0"/>
        <w:autoSpaceDN w:val="0"/>
        <w:adjustRightInd w:val="0"/>
        <w:snapToGrid w:val="0"/>
        <w:spacing w:before="0" w:line="560" w:lineRule="exact"/>
        <w:ind w:firstLine="641"/>
        <w:jc w:val="both"/>
        <w:rPr>
          <w:rFonts w:ascii="Times New Roman" w:hAnsi="Times New Roman" w:eastAsia="仿宋_GB2312"/>
          <w:snapToGrid w:val="0"/>
          <w:sz w:val="32"/>
          <w:szCs w:val="32"/>
        </w:rPr>
      </w:pPr>
    </w:p>
    <w:p>
      <w:pPr>
        <w:widowControl/>
        <w:spacing w:line="570" w:lineRule="exact"/>
        <w:ind w:firstLine="641"/>
        <w:jc w:val="left"/>
        <w:rPr>
          <w:rFonts w:ascii="Times New Roman" w:hAnsi="Times New Roman" w:eastAsia="方正仿宋_GBK"/>
          <w:snapToGrid w:val="0"/>
          <w:kern w:val="0"/>
          <w:sz w:val="32"/>
          <w:szCs w:val="32"/>
        </w:rPr>
      </w:pPr>
      <w:r>
        <w:rPr>
          <w:rFonts w:ascii="Times New Roman" w:hAnsi="Times New Roman" w:eastAsia="仿宋_GB2312"/>
          <w:snapToGrid w:val="0"/>
          <w:kern w:val="0"/>
          <w:sz w:val="32"/>
          <w:szCs w:val="32"/>
        </w:rPr>
        <w:br w:type="page"/>
      </w:r>
      <w:r>
        <w:rPr>
          <w:rFonts w:ascii="Times New Roman" w:hAnsi="Times New Roman" w:eastAsia="方正仿宋_GBK"/>
          <w:snapToGrid w:val="0"/>
          <w:kern w:val="0"/>
          <w:sz w:val="32"/>
          <w:szCs w:val="32"/>
        </w:rPr>
        <w:t>2. 主要指标</w:t>
      </w:r>
    </w:p>
    <w:p>
      <w:pPr>
        <w:adjustRightInd w:val="0"/>
        <w:snapToGrid w:val="0"/>
        <w:spacing w:before="120" w:after="120" w:line="500" w:lineRule="exact"/>
        <w:jc w:val="center"/>
        <w:rPr>
          <w:rFonts w:hint="eastAsia" w:ascii="Times New Roman" w:hAnsi="Times New Roman" w:eastAsia="方正黑体_GBK"/>
          <w:bCs/>
          <w:snapToGrid w:val="0"/>
          <w:kern w:val="0"/>
          <w:sz w:val="28"/>
        </w:rPr>
      </w:pPr>
      <w:r>
        <w:rPr>
          <w:rFonts w:ascii="Times New Roman" w:hAnsi="Times New Roman" w:eastAsia="方正黑体_GBK"/>
          <w:bCs/>
          <w:snapToGrid w:val="0"/>
          <w:kern w:val="0"/>
          <w:sz w:val="28"/>
        </w:rPr>
        <w:t>常州市“十四五”农业农村现代化主要指标</w:t>
      </w:r>
    </w:p>
    <w:tbl>
      <w:tblPr>
        <w:tblStyle w:val="6"/>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33"/>
        <w:gridCol w:w="445"/>
        <w:gridCol w:w="4044"/>
        <w:gridCol w:w="1037"/>
        <w:gridCol w:w="1160"/>
        <w:gridCol w:w="1158"/>
        <w:gridCol w:w="11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restart"/>
            <w:noWrap w:val="0"/>
            <w:vAlign w:val="center"/>
          </w:tcPr>
          <w:p>
            <w:pPr>
              <w:keepNext/>
              <w:keepLines/>
              <w:adjustRightInd w:val="0"/>
              <w:snapToGrid w:val="0"/>
              <w:spacing w:line="280" w:lineRule="exact"/>
              <w:jc w:val="center"/>
              <w:rPr>
                <w:rFonts w:ascii="Times New Roman" w:hAnsi="Times New Roman" w:eastAsia="方正黑体_GBK"/>
                <w:szCs w:val="21"/>
              </w:rPr>
            </w:pPr>
            <w:bookmarkStart w:id="25" w:name="_Toc52264526"/>
            <w:bookmarkStart w:id="26" w:name="_Toc62376951"/>
            <w:bookmarkStart w:id="27" w:name="_Toc60257853"/>
            <w:r>
              <w:rPr>
                <w:rFonts w:ascii="Times New Roman" w:hAnsi="Times New Roman" w:eastAsia="方正黑体_GBK"/>
                <w:szCs w:val="21"/>
              </w:rPr>
              <w:t>类别</w:t>
            </w:r>
          </w:p>
        </w:tc>
        <w:tc>
          <w:tcPr>
            <w:tcW w:w="425" w:type="dxa"/>
            <w:vMerge w:val="restart"/>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w w:val="105"/>
                <w:szCs w:val="21"/>
              </w:rPr>
              <w:t>序号</w:t>
            </w:r>
          </w:p>
        </w:tc>
        <w:tc>
          <w:tcPr>
            <w:tcW w:w="3876" w:type="dxa"/>
            <w:vMerge w:val="restart"/>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主要指标</w:t>
            </w:r>
          </w:p>
        </w:tc>
        <w:tc>
          <w:tcPr>
            <w:tcW w:w="992" w:type="dxa"/>
            <w:vMerge w:val="restart"/>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单位</w:t>
            </w:r>
          </w:p>
        </w:tc>
        <w:tc>
          <w:tcPr>
            <w:tcW w:w="1111" w:type="dxa"/>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基准值</w:t>
            </w:r>
          </w:p>
        </w:tc>
        <w:tc>
          <w:tcPr>
            <w:tcW w:w="1109" w:type="dxa"/>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目标值</w:t>
            </w:r>
          </w:p>
        </w:tc>
        <w:tc>
          <w:tcPr>
            <w:tcW w:w="1134" w:type="dxa"/>
            <w:vMerge w:val="restart"/>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指标属性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3876"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992"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1111" w:type="dxa"/>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2020年</w:t>
            </w:r>
          </w:p>
        </w:tc>
        <w:tc>
          <w:tcPr>
            <w:tcW w:w="1109" w:type="dxa"/>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2025年</w:t>
            </w:r>
          </w:p>
        </w:tc>
        <w:tc>
          <w:tcPr>
            <w:tcW w:w="1134"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restart"/>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核心</w:t>
            </w:r>
          </w:p>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指标</w:t>
            </w: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粮食综合生产能力</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万吨</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69</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&gt;65</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2</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生猪自给率</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24</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绿色优质农产品比重</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w w:val="107"/>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60</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75</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4</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高标准农田面积</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万亩</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120</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130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5</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农业劳动生产率</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万元</w:t>
            </w:r>
            <w:r>
              <w:rPr>
                <w:rFonts w:ascii="Times New Roman" w:hAnsi="Times New Roman"/>
                <w:szCs w:val="21"/>
              </w:rPr>
              <w:t>/</w:t>
            </w:r>
            <w:r>
              <w:rPr>
                <w:rFonts w:ascii="Times New Roman" w:hAnsi="宋体"/>
                <w:szCs w:val="21"/>
              </w:rPr>
              <w:t>人</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5.4</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6.0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6</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农产品加工产值与农业总产值比</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3.2</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3.5</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7</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农村居民人均可支配收入</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万元</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3.2</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&gt;4.2</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8</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农村生态河道覆盖率</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30</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40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9</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农村基本公共服务均等化实现程度</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95</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98</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10</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村均集体经营性收入</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万元</w:t>
            </w:r>
          </w:p>
        </w:tc>
        <w:tc>
          <w:tcPr>
            <w:tcW w:w="1111" w:type="dxa"/>
            <w:noWrap w:val="0"/>
            <w:vAlign w:val="center"/>
          </w:tcPr>
          <w:p>
            <w:pPr>
              <w:pStyle w:val="9"/>
              <w:keepNext/>
              <w:keepLines/>
              <w:adjustRightInd w:val="0"/>
              <w:snapToGrid w:val="0"/>
              <w:spacing w:line="280" w:lineRule="exact"/>
              <w:jc w:val="center"/>
              <w:rPr>
                <w:rFonts w:ascii="Times New Roman" w:hAnsi="Times New Roman"/>
                <w:szCs w:val="21"/>
              </w:rPr>
            </w:pPr>
            <w:r>
              <w:rPr>
                <w:rFonts w:ascii="Times New Roman" w:hAnsi="Times New Roman"/>
                <w:szCs w:val="21"/>
              </w:rPr>
              <w:t>415</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480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restart"/>
            <w:noWrap w:val="0"/>
            <w:vAlign w:val="center"/>
          </w:tcPr>
          <w:p>
            <w:pPr>
              <w:keepNext/>
              <w:keepLines/>
              <w:adjustRightInd w:val="0"/>
              <w:snapToGrid w:val="0"/>
              <w:spacing w:line="280" w:lineRule="exact"/>
              <w:jc w:val="center"/>
              <w:rPr>
                <w:rFonts w:ascii="Times New Roman" w:hAnsi="Times New Roman" w:eastAsia="方正黑体_GBK"/>
                <w:szCs w:val="21"/>
              </w:rPr>
            </w:pPr>
            <w:r>
              <w:rPr>
                <w:rFonts w:ascii="Times New Roman" w:hAnsi="Times New Roman" w:eastAsia="方正黑体_GBK"/>
                <w:szCs w:val="21"/>
              </w:rPr>
              <w:t>导向</w:t>
            </w:r>
          </w:p>
          <w:p>
            <w:pPr>
              <w:keepNext/>
              <w:keepLines/>
              <w:adjustRightInd w:val="0"/>
              <w:snapToGrid w:val="0"/>
              <w:spacing w:line="280" w:lineRule="exact"/>
              <w:jc w:val="center"/>
              <w:rPr>
                <w:rFonts w:ascii="Times New Roman" w:hAnsi="Times New Roman"/>
                <w:szCs w:val="21"/>
              </w:rPr>
            </w:pPr>
            <w:r>
              <w:rPr>
                <w:rFonts w:ascii="Times New Roman" w:hAnsi="Times New Roman" w:eastAsia="方正黑体_GBK"/>
                <w:szCs w:val="21"/>
              </w:rPr>
              <w:t>性指标</w:t>
            </w: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11</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农产品质量安全例行监测合格率</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98</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≥98</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约束性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12</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数字农业农村发展水平</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70</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&gt;80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13</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农作物种收综合机械化率</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80</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87</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14</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美丽宜居乡村建成率</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35</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60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15</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县乡公交直通建设水平</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100</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100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16</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农村生活污水治理率</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&gt;</w:t>
            </w:r>
            <w:r>
              <w:rPr>
                <w:rFonts w:hint="eastAsia" w:ascii="Times New Roman" w:hAnsi="Times New Roman"/>
                <w:szCs w:val="21"/>
              </w:rPr>
              <w:t>6</w:t>
            </w:r>
            <w:r>
              <w:rPr>
                <w:rFonts w:ascii="Times New Roman" w:hAnsi="Times New Roman"/>
                <w:szCs w:val="21"/>
              </w:rPr>
              <w:t>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17</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供销合作社农业社会化服务水平</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20</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restart"/>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eastAsia="方正黑体_GBK"/>
                <w:szCs w:val="21"/>
              </w:rPr>
              <w:t>常规监测指标</w:t>
            </w: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18</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农业科技进步贡献率</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70</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74</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19</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农村居民恩格尔系数</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31.7</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31.0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20</w:t>
            </w:r>
          </w:p>
        </w:tc>
        <w:tc>
          <w:tcPr>
            <w:tcW w:w="3876" w:type="dxa"/>
            <w:noWrap w:val="0"/>
            <w:vAlign w:val="center"/>
          </w:tcPr>
          <w:p>
            <w:pPr>
              <w:keepNext/>
              <w:keepLines/>
              <w:overflowPunct w:val="0"/>
              <w:adjustRightInd w:val="0"/>
              <w:snapToGrid w:val="0"/>
              <w:spacing w:line="280" w:lineRule="exact"/>
              <w:ind w:firstLine="105" w:firstLineChars="50"/>
              <w:jc w:val="left"/>
              <w:rPr>
                <w:rFonts w:hint="eastAsia" w:ascii="Times New Roman" w:hAnsi="宋体"/>
                <w:szCs w:val="21"/>
              </w:rPr>
            </w:pPr>
            <w:r>
              <w:rPr>
                <w:rFonts w:ascii="Times New Roman" w:hAnsi="宋体"/>
                <w:szCs w:val="21"/>
              </w:rPr>
              <w:t>农村义务教育学校专任教师本科以上</w:t>
            </w:r>
          </w:p>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学历比例</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95</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&gt;95</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21</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乡村医生中执业（助理）医师比重</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52</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60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22</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农业经营主体发展水平</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量质同升</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23</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农村居民平均预期寿命</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岁</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78</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w:t>
            </w:r>
            <w:r>
              <w:rPr>
                <w:rFonts w:ascii="Times New Roman" w:hAnsi="Times New Roman"/>
                <w:szCs w:val="21"/>
              </w:rPr>
              <w:t>82</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24</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城乡居民收入比</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1.87</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1.80</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701" w:type="dxa"/>
            <w:vMerge w:val="continue"/>
            <w:noWrap w:val="0"/>
            <w:vAlign w:val="center"/>
          </w:tcPr>
          <w:p>
            <w:pPr>
              <w:keepNext/>
              <w:keepLines/>
              <w:numPr>
                <w:ilvl w:val="0"/>
                <w:numId w:val="1"/>
              </w:numPr>
              <w:adjustRightInd w:val="0"/>
              <w:snapToGrid w:val="0"/>
              <w:spacing w:line="280" w:lineRule="exact"/>
              <w:ind w:left="0" w:firstLine="0"/>
              <w:jc w:val="center"/>
              <w:rPr>
                <w:rFonts w:ascii="Times New Roman" w:hAnsi="Times New Roman"/>
                <w:szCs w:val="21"/>
              </w:rPr>
            </w:pPr>
          </w:p>
        </w:tc>
        <w:tc>
          <w:tcPr>
            <w:tcW w:w="425"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25</w:t>
            </w:r>
          </w:p>
        </w:tc>
        <w:tc>
          <w:tcPr>
            <w:tcW w:w="3876" w:type="dxa"/>
            <w:noWrap w:val="0"/>
            <w:vAlign w:val="center"/>
          </w:tcPr>
          <w:p>
            <w:pPr>
              <w:keepNext/>
              <w:keepLines/>
              <w:overflowPunct w:val="0"/>
              <w:adjustRightInd w:val="0"/>
              <w:snapToGrid w:val="0"/>
              <w:spacing w:line="280" w:lineRule="exact"/>
              <w:ind w:firstLine="105" w:firstLineChars="50"/>
              <w:jc w:val="left"/>
              <w:rPr>
                <w:rFonts w:ascii="Times New Roman" w:hAnsi="Times New Roman"/>
                <w:szCs w:val="21"/>
              </w:rPr>
            </w:pPr>
            <w:r>
              <w:rPr>
                <w:rFonts w:ascii="Times New Roman" w:hAnsi="宋体"/>
                <w:szCs w:val="21"/>
              </w:rPr>
              <w:t>富民强村帮促行动实施水平</w:t>
            </w:r>
          </w:p>
        </w:tc>
        <w:tc>
          <w:tcPr>
            <w:tcW w:w="992" w:type="dxa"/>
            <w:noWrap w:val="0"/>
            <w:vAlign w:val="center"/>
          </w:tcPr>
          <w:p>
            <w:pPr>
              <w:keepNext/>
              <w:keepLines/>
              <w:adjustRightInd w:val="0"/>
              <w:snapToGrid w:val="0"/>
              <w:spacing w:line="280" w:lineRule="exact"/>
              <w:jc w:val="center"/>
              <w:rPr>
                <w:rFonts w:ascii="Times New Roman" w:hAnsi="Times New Roman"/>
                <w:szCs w:val="21"/>
              </w:rPr>
            </w:pPr>
          </w:p>
        </w:tc>
        <w:tc>
          <w:tcPr>
            <w:tcW w:w="1111"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Times New Roman"/>
                <w:szCs w:val="21"/>
              </w:rPr>
              <w:t>/</w:t>
            </w:r>
          </w:p>
        </w:tc>
        <w:tc>
          <w:tcPr>
            <w:tcW w:w="1109"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两个高于</w:t>
            </w:r>
            <w:r>
              <w:rPr>
                <w:rFonts w:ascii="Times New Roman" w:hAnsi="Times New Roman"/>
                <w:szCs w:val="21"/>
              </w:rPr>
              <w:t>*</w:t>
            </w:r>
          </w:p>
        </w:tc>
        <w:tc>
          <w:tcPr>
            <w:tcW w:w="1134" w:type="dxa"/>
            <w:noWrap w:val="0"/>
            <w:vAlign w:val="center"/>
          </w:tcPr>
          <w:p>
            <w:pPr>
              <w:keepNext/>
              <w:keepLines/>
              <w:adjustRightInd w:val="0"/>
              <w:snapToGrid w:val="0"/>
              <w:spacing w:line="280" w:lineRule="exact"/>
              <w:jc w:val="center"/>
              <w:rPr>
                <w:rFonts w:ascii="Times New Roman" w:hAnsi="Times New Roman"/>
                <w:szCs w:val="21"/>
              </w:rPr>
            </w:pPr>
            <w:r>
              <w:rPr>
                <w:rFonts w:ascii="Times New Roman" w:hAnsi="宋体"/>
                <w:szCs w:val="21"/>
              </w:rPr>
              <w:t>预期性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9" w:hRule="atLeast"/>
          <w:jc w:val="center"/>
        </w:trPr>
        <w:tc>
          <w:tcPr>
            <w:tcW w:w="9348" w:type="dxa"/>
            <w:gridSpan w:val="7"/>
            <w:noWrap w:val="0"/>
            <w:vAlign w:val="center"/>
          </w:tcPr>
          <w:p>
            <w:pPr>
              <w:keepNext/>
              <w:keepLines/>
              <w:adjustRightInd w:val="0"/>
              <w:snapToGrid w:val="0"/>
              <w:spacing w:line="280" w:lineRule="exact"/>
              <w:jc w:val="left"/>
              <w:rPr>
                <w:rFonts w:ascii="Times New Roman" w:hAnsi="Times New Roman"/>
                <w:szCs w:val="21"/>
              </w:rPr>
            </w:pPr>
            <w:r>
              <w:rPr>
                <w:rFonts w:ascii="Times New Roman" w:hAnsi="Times New Roman"/>
                <w:szCs w:val="21"/>
              </w:rPr>
              <w:t>*</w:t>
            </w:r>
            <w:r>
              <w:rPr>
                <w:rFonts w:ascii="Times New Roman" w:hAnsi="宋体"/>
                <w:szCs w:val="21"/>
              </w:rPr>
              <w:t>两个高于：农村低收入人口可支配收入和经济薄弱村集体年经营性收入高于农村居民可支配收入平均增幅和村级平均增幅。</w:t>
            </w:r>
          </w:p>
        </w:tc>
      </w:tr>
    </w:tbl>
    <w:p>
      <w:pPr>
        <w:pStyle w:val="2"/>
        <w:keepNext w:val="0"/>
        <w:keepLines w:val="0"/>
        <w:tabs>
          <w:tab w:val="left" w:pos="4962"/>
        </w:tabs>
        <w:overflowPunct w:val="0"/>
        <w:adjustRightInd w:val="0"/>
        <w:snapToGrid w:val="0"/>
        <w:spacing w:before="0" w:after="0" w:line="240" w:lineRule="exact"/>
        <w:jc w:val="center"/>
        <w:rPr>
          <w:rFonts w:ascii="Times New Roman" w:hAnsi="Times New Roman"/>
          <w:sz w:val="29"/>
        </w:rPr>
      </w:pPr>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rPr>
      </w:pPr>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rPr>
      </w:pPr>
      <w:r>
        <w:rPr>
          <w:rFonts w:hint="eastAsia" w:ascii="方正小标宋_GBK" w:hAnsi="Times New Roman" w:eastAsia="方正小标宋_GBK"/>
          <w:b w:val="0"/>
        </w:rPr>
        <w:t>四、高水平发展优质高效乡村产业</w:t>
      </w:r>
      <w:bookmarkEnd w:id="25"/>
      <w:bookmarkEnd w:id="26"/>
      <w:bookmarkEnd w:id="27"/>
    </w:p>
    <w:p>
      <w:pPr>
        <w:overflowPunct w:val="0"/>
        <w:adjustRightInd w:val="0"/>
        <w:snapToGrid w:val="0"/>
        <w:spacing w:line="570" w:lineRule="exact"/>
        <w:jc w:val="center"/>
        <w:rPr>
          <w:rFonts w:hint="eastAsia" w:ascii="方正小标宋_GBK" w:hAnsi="Times New Roman" w:eastAsia="方正小标宋_GBK"/>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顺应产业发展规律，立足特色资源，推动乡村产业发展壮大。优化产业布局，推进乡村产业深度融合，积极发展农产品加工业、现代农业生产性服务业、休闲农业和乡村旅游，打造一批农村一二三产业融合平台、特色农产品优势区和农业产业强镇，支持武进、溧阳、新北国家农村产业融合发展先导区建设。</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rPr>
      </w:pPr>
      <w:bookmarkStart w:id="28" w:name="_Toc62376952"/>
      <w:bookmarkStart w:id="29" w:name="_Toc52264527"/>
      <w:bookmarkStart w:id="30" w:name="_Toc60257854"/>
      <w:r>
        <w:rPr>
          <w:rFonts w:ascii="Times New Roman" w:hAnsi="Times New Roman" w:eastAsia="方正楷体_GBK"/>
          <w:b w:val="0"/>
        </w:rPr>
        <w:t>（一）做强现代种养业</w:t>
      </w:r>
      <w:bookmarkEnd w:id="28"/>
      <w:bookmarkEnd w:id="29"/>
      <w:bookmarkEnd w:id="30"/>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z w:val="32"/>
          <w:szCs w:val="32"/>
        </w:rPr>
        <w:t>现代种养业，维系着“米袋子”“菜篮子”安全，是乡村二三产业发展的基础，是保障农产品供给和维持农户生计的重要支撑。重点发展高效种植、设施园艺、规模养殖、特种水产等特色优势农业，培育一批现代农业园区、企业和品牌标杆，加强粮食和重要农副产品生产有效供给，强化粮食和“菜篮子”市场保供</w:t>
      </w:r>
      <w:r>
        <w:rPr>
          <w:rFonts w:ascii="Times New Roman" w:hAnsi="Times New Roman" w:eastAsia="方正仿宋_GBK"/>
          <w:snapToGrid w:val="0"/>
          <w:kern w:val="0"/>
          <w:sz w:val="32"/>
          <w:szCs w:val="32"/>
        </w:rPr>
        <w:t>。</w:t>
      </w:r>
    </w:p>
    <w:p>
      <w:pPr>
        <w:overflowPunct w:val="0"/>
        <w:autoSpaceDE w:val="0"/>
        <w:autoSpaceDN w:val="0"/>
        <w:adjustRightInd w:val="0"/>
        <w:snapToGrid w:val="0"/>
        <w:spacing w:line="570" w:lineRule="exact"/>
        <w:ind w:firstLine="641"/>
        <w:rPr>
          <w:rFonts w:ascii="Times New Roman" w:hAnsi="Times New Roman" w:eastAsia="方正仿宋_GBK"/>
          <w:i/>
          <w:sz w:val="32"/>
          <w:szCs w:val="32"/>
        </w:rPr>
      </w:pPr>
      <w:r>
        <w:rPr>
          <w:rFonts w:ascii="Times New Roman" w:hAnsi="Times New Roman" w:eastAsia="方正仿宋_GBK"/>
          <w:sz w:val="32"/>
          <w:szCs w:val="32"/>
        </w:rPr>
        <w:t>主攻稳产保供，巩固提升重要农产品产能。严格落实“米袋子”省长责任制和“菜篮子”市长负责制，压紧压实重要农产品生产保供责任，巩固提升粮食产能。建好100.5万亩水稻生产功能区、48万亩小麦生产功能区和2万亩大豆生产保护区、11万亩油菜生产保护区任务。蔬菜播种面积稳定在45万亩左右，城市蔬菜自给率达70%以上。加强生猪等畜禽产能建设，生猪年出栏50万头以上，全市猪肉自给率保持在30%以上。水产养殖面积稳定在40万亩左右，水产品生产能力稳定在14万吨左右，保障全市水产品自给有余。</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主攻绿色高效，着力提高特色优势产业品质。创新产业组织方式，推动种养业向规模化、标准化、品牌化和绿色化方向发展，延伸拓展产业链，增加绿色优质产品供给，不断提高质量效益和竞争力。大力推广优质食味稻米，推进肥药双减；大力发展畜禽规模养殖、水产和畜禽生态健康养殖，构建农牧渔循环、种养加一体，生产生活生态融合的绿色高效生产模式；统筹规划，科学调整种植、养殖布局和规模，集中治理好农业生态环境突出问题。到2025年，优质食味水稻面积占比达到65%以上，绿色蔬菜占比60%以上，特色水产养殖占比80%，绿色优质农产品比重75%以上。</w:t>
      </w:r>
    </w:p>
    <w:p>
      <w:pPr>
        <w:overflowPunct w:val="0"/>
        <w:autoSpaceDE w:val="0"/>
        <w:autoSpaceDN w:val="0"/>
        <w:adjustRightInd w:val="0"/>
        <w:snapToGrid w:val="0"/>
        <w:spacing w:line="570" w:lineRule="exact"/>
        <w:ind w:firstLine="641"/>
        <w:rPr>
          <w:rFonts w:ascii="Times New Roman" w:hAnsi="Times New Roman" w:eastAsia="仿宋_GB2312"/>
          <w:sz w:val="32"/>
          <w:szCs w:val="32"/>
        </w:rPr>
      </w:pPr>
      <w:r>
        <w:rPr>
          <w:rFonts w:ascii="Times New Roman" w:hAnsi="Times New Roman" w:eastAsia="方正仿宋_GBK"/>
          <w:sz w:val="32"/>
          <w:szCs w:val="32"/>
        </w:rPr>
        <w:t>主攻品牌卓越，培育做优特色产业集群。立足常州优良生态环境优和水土资源、丰富的特色产业品种和厚实的产业基础，围绕名特茶叶、特色花木、应时鲜果、畜禽水产等，优品种、高品质与强品牌协同推进，集聚多元市场主体、现代科技、精干人才、资本投入等各种要素，创建一批生态茶园、精品果园、放心菜园、特色池塘等，积极发展“一村一品”“一镇一业”，建设“一村一品示范村镇”“农业产业强镇”。</w:t>
      </w:r>
    </w:p>
    <w:tbl>
      <w:tblPr>
        <w:tblStyle w:val="6"/>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96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28" w:hRule="atLeast"/>
          <w:jc w:val="center"/>
        </w:trPr>
        <w:tc>
          <w:tcPr>
            <w:tcW w:w="9060" w:type="dxa"/>
            <w:noWrap w:val="0"/>
            <w:vAlign w:val="top"/>
          </w:tcPr>
          <w:p>
            <w:pPr>
              <w:overflowPunct w:val="0"/>
              <w:autoSpaceDE w:val="0"/>
              <w:autoSpaceDN w:val="0"/>
              <w:adjustRightInd w:val="0"/>
              <w:snapToGrid w:val="0"/>
              <w:spacing w:line="500" w:lineRule="exact"/>
              <w:jc w:val="center"/>
              <w:rPr>
                <w:rFonts w:ascii="Times New Roman" w:hAnsi="Times New Roman" w:eastAsia="方正黑体_GBK"/>
                <w:sz w:val="28"/>
                <w:szCs w:val="28"/>
              </w:rPr>
            </w:pPr>
            <w:r>
              <w:rPr>
                <w:rFonts w:ascii="Times New Roman" w:hAnsi="Times New Roman" w:eastAsia="方正仿宋_GBK"/>
                <w:sz w:val="28"/>
                <w:szCs w:val="28"/>
              </w:rPr>
              <w:br w:type="page"/>
            </w:r>
            <w:r>
              <w:rPr>
                <w:rFonts w:ascii="Times New Roman" w:hAnsi="Times New Roman" w:eastAsia="方正黑体_GBK"/>
                <w:sz w:val="28"/>
                <w:szCs w:val="28"/>
              </w:rPr>
              <w:t>重点建设的农业园区（基地）</w:t>
            </w:r>
          </w:p>
          <w:p>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重点建设的农业园区（基地）：常州国家农业科技园区、天宁现代农业产业示范园、钟楼现代农业产业示范园、溧阳现代农业产业示范园、新北现代农业产业示范园、奔牛农业产业园、黄天荡花卉科技产业园、金坛黄金软米大农场、金坛智慧渔场。</w:t>
            </w:r>
          </w:p>
          <w:p>
            <w:pPr>
              <w:overflowPunct w:val="0"/>
              <w:autoSpaceDE w:val="0"/>
              <w:autoSpaceDN w:val="0"/>
              <w:adjustRightInd w:val="0"/>
              <w:snapToGrid w:val="0"/>
              <w:spacing w:line="500" w:lineRule="exact"/>
              <w:jc w:val="center"/>
              <w:rPr>
                <w:rFonts w:ascii="Times New Roman" w:hAnsi="Times New Roman" w:eastAsia="方正黑体_GBK"/>
                <w:sz w:val="28"/>
                <w:szCs w:val="28"/>
              </w:rPr>
            </w:pPr>
            <w:r>
              <w:rPr>
                <w:rFonts w:ascii="Times New Roman" w:hAnsi="Times New Roman" w:eastAsia="方正黑体_GBK"/>
                <w:sz w:val="28"/>
                <w:szCs w:val="28"/>
              </w:rPr>
              <w:t>国家农业产业强镇建设名单</w:t>
            </w:r>
          </w:p>
          <w:p>
            <w:pPr>
              <w:overflowPunct w:val="0"/>
              <w:autoSpaceDE w:val="0"/>
              <w:autoSpaceDN w:val="0"/>
              <w:adjustRightInd w:val="0"/>
              <w:snapToGrid w:val="0"/>
              <w:spacing w:line="5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金坛区薛埠镇（茶叶、水果，2018年）、武进雪堰镇（水稻、特色水果，2018年）、溧阳天目湖镇（白茶，2019年）、金坛指前镇（水稻、特色水产，2020年）、新北孟河镇（水稻，2021年）。</w:t>
            </w:r>
          </w:p>
        </w:tc>
      </w:tr>
    </w:tbl>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rPr>
      </w:pPr>
      <w:bookmarkStart w:id="31" w:name="_Toc62376953"/>
      <w:bookmarkStart w:id="32" w:name="_Toc60257855"/>
      <w:bookmarkStart w:id="33" w:name="_Toc52264528"/>
      <w:r>
        <w:rPr>
          <w:rFonts w:ascii="Times New Roman" w:hAnsi="Times New Roman" w:eastAsia="方正楷体_GBK"/>
          <w:b w:val="0"/>
        </w:rPr>
        <w:t>（二）提升农产品加工流通业</w:t>
      </w:r>
      <w:bookmarkEnd w:id="31"/>
      <w:bookmarkEnd w:id="32"/>
      <w:bookmarkEnd w:id="3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农产品加工业从种养业延伸出来，是提升农产品附加值的关键，也是构建农业产业链的核心。进一步优化结构布局，培育壮大经营主体，提升质量效益和竞争力。</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完善产业结构。统筹发展农产品初加工、精深加工和综合利用加工，推进农产品多元化开发、多层次利用、多环节增值。拓展农产品初加工，鼓励和支持农民合作社、家庭农场、中小微企业和基层供销社等发展农产品产地初加工，减少产后损失，延长供应时间，提高质量效益。提升农产品精深加工，引导大型农业企业加快生物、工程、环保、信息等技术集成应用，促进农产品多次加工，实现多次增值。推进综合利用加工，鼓励大型农业企业和农产品加工园区推进加工副产物循环利用、全值利用、梯次利用，实现变废为宝、化害为利。</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优化空间布局。统筹产地、销区和园区布局。推动农产品加工业向产地下沉，引导各类主体在粮食生产功能区、重要农产品保护区、特色农产品优势区和水产品主产区，建设加工专用原料基地，布局加工产能，形成生产与加工、产品与市场、企业与农户协调发展的格局，把更多的加工增值效益留在农村。推进农产品加工与销区对接，在产区和城市郊区布局中央厨房、主食加工、休闲食品、方便食品、净菜加工和餐饮外卖等加工，满足城市多样化、便捷化需求。建强农产品加工园区，强化科技研发、融资担保、检验检测等服务，完善仓储物流、供能供热、废污处理等设施，促进农产品加工企业聚集发展。</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促进产业升级。强化农业龙头企业科技创新能力，鼓励农业龙头企业与科研院所深度合作，支持有研发能力的农业企业开展技术创新、模式创新，加强企业研发中心建设。创新利益联结机制，支持农业龙头企业组建农业产业化联合体，鼓励农业龙头企业参与规模产业基地建设，发展订单生产，鼓励农业龙头企业吸纳土地承包经营权入股，让农户分享增值收益。鼓励企业进村挂钩，更好地带动村集体经济发展和农民增收。</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rPr>
      </w:pPr>
      <w:bookmarkStart w:id="34" w:name="_Toc52264529"/>
      <w:bookmarkStart w:id="35" w:name="_Toc62376954"/>
      <w:bookmarkStart w:id="36" w:name="_Toc60257856"/>
      <w:r>
        <w:rPr>
          <w:rFonts w:ascii="Times New Roman" w:hAnsi="Times New Roman" w:eastAsia="方正楷体_GBK"/>
          <w:b w:val="0"/>
        </w:rPr>
        <w:t>（三）拓展乡村特色产业</w:t>
      </w:r>
      <w:bookmarkEnd w:id="34"/>
      <w:bookmarkEnd w:id="35"/>
      <w:bookmarkEnd w:id="36"/>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乡村特色产业是地域特征鲜明、乡土气息浓厚的小众类、多样性的乡村产业，涵盖特色种养、特色食品、特色手工业和特色文化等，发展潜力巨大。</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传承弘扬乡土产业。系统梳理乡村传统工坊、乡村手工业、乡村文化、乡村能工巧匠等，建立乡土产业名录。运用现代信息技术、现代科技、现代设计，推动乡土产业适应现代产业发展趋势，传承传统乡土气息，彰显乡土文化。推进乡土产业进入农业园区、集中居住小区、创新创业园，搭建推介平台载体，让乡土产业焕发新的生机，成为富民产业。因地制宜发展小宗类、多样性特色种养，加强地方品种种质资源保护和开发，培育乡土气息浓郁、市场影响力强的地方乡土特色产业。</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进聚集发展。集聚资源、集中力量，建设富有特色、规模适中、带动力强的特色产业集群。建设“一村一品”示范村镇，依托资源优势，选择主导产业，建设一批“小而精、特而美”的“一村一品”示范村镇，形成一村带数村、多村连成片的发展格局。建设特色农业产业镇（园区），根据特色资源优势，聚焦1－2个特色主导产业，吸引资本聚镇（园区）、能人入镇（园区）、技术进镇（园区），建设一批标准原料基地、集约加工转化、区域主导产业、紧密利益联结于一体的特色产业镇（园区）。建设优势特色产业集群，通过科技集成、主体集合、产业集群，统筹布局生产、加工、物流、研发、示范、服务等功能，串珠成线、连块成带、集群成链，培育品种品质优良、规模体量较大、融合程度较深的区域优势特色农业产业集群。</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构建全产业链。以拓展二三产业为重点，延伸产业链条，开发特色化、多样化产品，提升乡村特色产业的附加值，促进农业多环节增效、农民多渠道增收。以特色资源增强竞争力，发展特色种养，开发特殊地域、特殊品种等专属性特色产品和适宜特殊人群的功能性食品，以特性和品质赢得市场。以加工流通延伸产业链，鼓励龙头企业建设标准化加工厂，引导合作社、家庭农场等建设家庭工场、手工作坊，改造提升乡土产品。鼓励在特色农产品优势区布局产地批发市场、物流配送中心和田头集散市场，支持新型经营主体、农产品批发市场等建设产地仓储保鲜设施，发展网上商店、连锁门店。以业态丰富提升价值链，推进品种和技术创新，提升特色产品的内在品质和外在品相，以品质赢得市场、实现增值。开发绿色生态、养生保健等新功能新价值，增强对消费者的吸附力。注重融入科技、人文元素，发掘民俗风情、历史传说和民间戏剧等文化价值，赋予乡土特色产品文化标识。培育知名品牌，按照“有标采标、无标创标、全程贯标”要求，以质量信誉为基础，创响一批“乡字号”“土字号”品牌，扩大市场影响力。</w:t>
      </w:r>
    </w:p>
    <w:tbl>
      <w:tblPr>
        <w:tblStyle w:val="6"/>
        <w:tblW w:w="878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78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50" w:hRule="atLeast"/>
          <w:jc w:val="center"/>
        </w:trPr>
        <w:tc>
          <w:tcPr>
            <w:tcW w:w="9060" w:type="dxa"/>
            <w:noWrap w:val="0"/>
            <w:vAlign w:val="top"/>
          </w:tcPr>
          <w:p>
            <w:pPr>
              <w:overflowPunct w:val="0"/>
              <w:autoSpaceDE w:val="0"/>
              <w:autoSpaceDN w:val="0"/>
              <w:adjustRightInd w:val="0"/>
              <w:snapToGrid w:val="0"/>
              <w:spacing w:line="500" w:lineRule="exact"/>
              <w:jc w:val="center"/>
              <w:rPr>
                <w:rFonts w:ascii="Times New Roman" w:hAnsi="Times New Roman" w:eastAsia="方正黑体_GBK"/>
                <w:bCs/>
                <w:sz w:val="28"/>
                <w:szCs w:val="28"/>
              </w:rPr>
            </w:pPr>
            <w:r>
              <w:rPr>
                <w:rFonts w:ascii="Times New Roman" w:hAnsi="Times New Roman" w:eastAsia="方正黑体_GBK"/>
                <w:bCs/>
                <w:sz w:val="28"/>
                <w:szCs w:val="28"/>
              </w:rPr>
              <w:t>常州市省级以上特色农产品优势区</w:t>
            </w:r>
          </w:p>
          <w:p>
            <w:pPr>
              <w:overflowPunct w:val="0"/>
              <w:autoSpaceDE w:val="0"/>
              <w:autoSpaceDN w:val="0"/>
              <w:adjustRightInd w:val="0"/>
              <w:snapToGrid w:val="0"/>
              <w:spacing w:line="500" w:lineRule="exact"/>
              <w:ind w:firstLine="560" w:firstLineChars="200"/>
              <w:rPr>
                <w:rFonts w:ascii="Times New Roman" w:hAnsi="Times New Roman" w:eastAsia="仿宋_GB2312"/>
                <w:snapToGrid w:val="0"/>
                <w:kern w:val="0"/>
                <w:sz w:val="28"/>
                <w:szCs w:val="28"/>
              </w:rPr>
            </w:pPr>
            <w:r>
              <w:rPr>
                <w:rFonts w:ascii="Times New Roman" w:hAnsi="Times New Roman" w:eastAsia="仿宋_GB2312"/>
                <w:snapToGrid w:val="0"/>
                <w:kern w:val="0"/>
                <w:sz w:val="28"/>
                <w:szCs w:val="28"/>
              </w:rPr>
              <w:t>国家特色农产品优势区：溧阳青虾优势区，2019年</w:t>
            </w:r>
          </w:p>
          <w:p>
            <w:pPr>
              <w:overflowPunct w:val="0"/>
              <w:autoSpaceDE w:val="0"/>
              <w:autoSpaceDN w:val="0"/>
              <w:adjustRightInd w:val="0"/>
              <w:snapToGrid w:val="0"/>
              <w:spacing w:line="500" w:lineRule="exact"/>
              <w:ind w:firstLine="512" w:firstLineChars="200"/>
              <w:rPr>
                <w:rFonts w:ascii="Times New Roman" w:hAnsi="Times New Roman" w:eastAsia="仿宋_GB2312"/>
                <w:snapToGrid w:val="0"/>
                <w:spacing w:val="-12"/>
                <w:kern w:val="0"/>
                <w:sz w:val="28"/>
                <w:szCs w:val="28"/>
              </w:rPr>
            </w:pPr>
            <w:r>
              <w:rPr>
                <w:rFonts w:ascii="Times New Roman" w:hAnsi="Times New Roman" w:eastAsia="仿宋_GB2312"/>
                <w:snapToGrid w:val="0"/>
                <w:spacing w:val="-12"/>
                <w:kern w:val="0"/>
                <w:sz w:val="28"/>
                <w:szCs w:val="28"/>
              </w:rPr>
              <w:t>省特色农产品优势区：长荡湖螃蟹优势区、天目湖白茶优势区，2020年</w:t>
            </w:r>
          </w:p>
          <w:p>
            <w:pPr>
              <w:overflowPunct w:val="0"/>
              <w:autoSpaceDE w:val="0"/>
              <w:autoSpaceDN w:val="0"/>
              <w:adjustRightInd w:val="0"/>
              <w:snapToGrid w:val="0"/>
              <w:spacing w:line="500" w:lineRule="exact"/>
              <w:jc w:val="center"/>
              <w:rPr>
                <w:rFonts w:ascii="Times New Roman" w:hAnsi="Times New Roman" w:eastAsia="方正黑体_GBK"/>
                <w:bCs/>
                <w:sz w:val="28"/>
                <w:szCs w:val="28"/>
              </w:rPr>
            </w:pPr>
            <w:r>
              <w:rPr>
                <w:rFonts w:ascii="Times New Roman" w:hAnsi="Times New Roman" w:eastAsia="方正黑体_GBK"/>
                <w:bCs/>
                <w:sz w:val="28"/>
                <w:szCs w:val="28"/>
              </w:rPr>
              <w:t>常州市特色农产品</w:t>
            </w:r>
          </w:p>
          <w:p>
            <w:pPr>
              <w:overflowPunct w:val="0"/>
              <w:autoSpaceDE w:val="0"/>
              <w:autoSpaceDN w:val="0"/>
              <w:adjustRightInd w:val="0"/>
              <w:snapToGrid w:val="0"/>
              <w:spacing w:line="500" w:lineRule="exact"/>
              <w:ind w:firstLine="536" w:firstLineChars="200"/>
              <w:rPr>
                <w:rFonts w:ascii="Times New Roman" w:hAnsi="Times New Roman"/>
                <w:spacing w:val="-6"/>
                <w:kern w:val="0"/>
                <w:sz w:val="28"/>
                <w:szCs w:val="28"/>
              </w:rPr>
            </w:pPr>
            <w:r>
              <w:rPr>
                <w:rFonts w:ascii="Times New Roman" w:hAnsi="Times New Roman" w:eastAsia="仿宋_GB2312"/>
                <w:snapToGrid w:val="0"/>
                <w:spacing w:val="-6"/>
                <w:kern w:val="0"/>
                <w:sz w:val="28"/>
                <w:szCs w:val="28"/>
              </w:rPr>
              <w:t>溧阳青虾、长荡湖大闸蟹、金坛雀舌、天目湖白茶、阳湖水蜜桃、礼嘉葡萄、焦溪翠冠梨、溧阳白芹、金坛无节水芹、建昌红香芋、夏溪苗木、园外园牌汤团、好</w:t>
            </w:r>
            <w:r>
              <w:rPr>
                <w:rFonts w:hint="eastAsia" w:ascii="宋体" w:hAnsi="宋体" w:cs="宋体"/>
                <w:snapToGrid w:val="0"/>
                <w:spacing w:val="-6"/>
                <w:kern w:val="0"/>
                <w:sz w:val="28"/>
                <w:szCs w:val="28"/>
              </w:rPr>
              <w:t>咾</w:t>
            </w:r>
            <w:r>
              <w:rPr>
                <w:rFonts w:hint="eastAsia" w:ascii="仿宋_GB2312" w:hAnsi="仿宋_GB2312" w:eastAsia="仿宋_GB2312" w:cs="仿宋_GB2312"/>
                <w:snapToGrid w:val="0"/>
                <w:spacing w:val="-6"/>
                <w:kern w:val="0"/>
                <w:sz w:val="28"/>
                <w:szCs w:val="28"/>
              </w:rPr>
              <w:t>牌黄酒、红梅牌牛奶、雪山牌雪山</w:t>
            </w:r>
            <w:r>
              <w:rPr>
                <w:rFonts w:ascii="Times New Roman" w:hAnsi="Times New Roman" w:eastAsia="仿宋_GB2312"/>
                <w:snapToGrid w:val="0"/>
                <w:spacing w:val="-6"/>
                <w:kern w:val="0"/>
                <w:sz w:val="28"/>
                <w:szCs w:val="28"/>
              </w:rPr>
              <w:t>鸡、焦溪二花脸猪、横山桥百叶、常州大麻糕、萝卜干、芝麻糖、梨膏糖、优质大米、泰村鱼圆、湟里牛肉、寨桥老鹅、戴溪青鱼、天目湖鱼头、蒋凤记卤菜、五香居卤菜等。</w:t>
            </w:r>
          </w:p>
        </w:tc>
      </w:tr>
    </w:tbl>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rPr>
      </w:pPr>
      <w:bookmarkStart w:id="37" w:name="_Toc60257857"/>
      <w:bookmarkStart w:id="38" w:name="_Toc52264530"/>
      <w:bookmarkStart w:id="39" w:name="_Toc62376955"/>
      <w:r>
        <w:rPr>
          <w:rFonts w:ascii="Times New Roman" w:hAnsi="Times New Roman" w:eastAsia="方正楷体_GBK"/>
          <w:b w:val="0"/>
        </w:rPr>
        <w:t>（四）做活乡村休闲旅游业</w:t>
      </w:r>
      <w:bookmarkEnd w:id="37"/>
      <w:bookmarkEnd w:id="38"/>
      <w:bookmarkEnd w:id="3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乡村休闲旅游业是农业功能拓展、乡村价值发掘、业态类型创新的新产业，横跨一二三产业、兼容生产生活生态、融通工农城乡，发展前景广阔。</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注重品质提升。坚持个性化、特色化发展方向，以农耕文化为魂、美丽田园为韵、生态农业为基、古朴村落为形、创新创意为径，开发形式多样、独具特色、个性突出的乡村休闲旅游业态和产品。突出特色化，开发特色资源，发掘农业多种功能和乡村多重价值，发展特色突出、主题鲜明的乡村休闲旅游项目。开发特色文化，发掘古村古镇、乡土文化，发展具有历史特征、地域特点、民族特色的乡村休闲旅游项目。开发特色产品，发掘地方风味、民族特色、传统工艺等资源，创制独特的乡村休闲旅游服务和产品。突出差异化，把握定位差异，依据不同区位、不同资源和不同文化，发展具有城乡间、区域间、景区间主题差异的乡村休闲旅游项目。瞄准市场差异，依据各类消费群体的不同消费需求，细分目标市场，发展研学教育、田园养生、亲子体验、拓展训练等乡村休闲旅游项目。顺应老龄化社会的到来，发展民宿康养、游憩康养等乡村休闲旅游项目。彰显功能差异，依据消费者在吃住行游购娱方面的不同需求，发展采摘园、垂钓园、农家宴、民俗村、风情街等乡村休闲旅游项目。突出多样化，推进业态多样，统筹发展农家乐、休闲园区、生态园、乡村休闲旅游聚集村等业态。推进模式多样，跨界配置乡村休闲旅游与文化教育、健康养生、信息技术等产业要素，发展共享农庄、康体养老、线上云游等模式。推进主体多样，引导农户、村集体经济组织、农业企业、文旅企业及社会资本等建设乡村休闲旅游项目。</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造精品工程。建设乡村休闲旅游精品工程，加强引导，加大投入，建设一批休闲旅游精品景点。建设美丽休闲乡村，依托种养业、田园风光、绿水青山、村落建筑、乡土文化、民俗风情和人居环境等资源优势，建设一批天蓝、地绿、水净、安居、乐业的美丽休闲乡村，推进产村融合发展。鼓励有条件的地区依托美丽休闲乡村，建设健康养生养老基地。建设休闲农业示范园区，根据休闲旅游消费升级的需要，促进休闲农业提档升级，建设一批功能齐全、布局合理、机制完善、带动力强的休闲农业精品园区，推介一批视觉美丽、体验美妙、内涵美好的乡村休闲旅游精品景点线路。引导有条件的休闲农业园建设中小学生实践基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提升服务水平。促进乡村休闲旅游高质量发展，要规范化管理、标准化服务，让消费者玩得开心、吃得放心、买得舒心。完善配套设施，加强乡村休闲旅游点水、电、路、讯、网等设施建设，完善餐饮、住宿、休闲、体验、购物、停车、厕所等设施条件。开展垃圾污水等废弃物综合治理，实现资源节约、环境友好。规范管理服务，引导和支持乡村休闲旅游经营主体加强从业人员培训，提高综合素质，规范服务流程，为消费者提供热情周到、贴心细致的服务。</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rPr>
      </w:pPr>
      <w:bookmarkStart w:id="40" w:name="_Toc60257858"/>
      <w:bookmarkStart w:id="41" w:name="_Toc62376956"/>
      <w:bookmarkStart w:id="42" w:name="_Toc52264531"/>
      <w:r>
        <w:rPr>
          <w:rFonts w:ascii="Times New Roman" w:hAnsi="Times New Roman" w:eastAsia="方正楷体_GBK"/>
          <w:b w:val="0"/>
        </w:rPr>
        <w:t>（五）发展乡村新型服务业</w:t>
      </w:r>
      <w:bookmarkEnd w:id="40"/>
      <w:bookmarkEnd w:id="41"/>
      <w:bookmarkEnd w:id="42"/>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乡村新型服务业是适应农村生产生活方式变化应运而生的产业，业态类型丰富，经营方式灵活，发展空间广阔。</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提升生产性服务业。扩大服务领域，支持供销、邮政、农民合作社及乡村企业等，开展农技推广、土地托管、代耕代种、烘干收储等农业生产性服务，以及市场信息、农资供应、农业废弃物资源化利用、农机作业及维修、农产品营销等服务。提高服务水平，引导各类服务主体把服务网点延伸到乡村，鼓励新型农业经营主体在城镇设立鲜活农产品直销网点，推广农超、农社（区）、农企等产销对接模式。鼓励大型农产品加工流通企业开展托管服务、专项服务、连锁服务、个性化服务等综合配套服务。支持建设“一站式”区域性农业生产性服务综合平台和综合农事服务中心，探索农业社会化服务有效形式，发展农资供应、统防统治、代耕代种、烘干收储等农业生产性服务业。</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拓展生活性服务业。丰富服务内容，改造提升餐饮住宿、商超零售、美容美发、洗浴、照相、电器维修、再生资源回收等乡村生活服务业，积极发展养老护幼、卫生保洁、文化演出、体育健身、法律咨询、信息中介、典礼司仪等乡村服务业。创新服务方式，积极发展订制服务、体验服务、智慧服务、共享服务、绿色服务等新形态，探索“线上交易+线下服务”的新模式。鼓励各类服务主体建设运营覆盖娱乐、健康、教育、家政、体育等领域的在线服务平台，推动传统服务业升级改造，为乡村居民提供高效便捷服务。</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rPr>
      </w:pPr>
      <w:bookmarkStart w:id="43" w:name="_Toc60257859"/>
      <w:bookmarkStart w:id="44" w:name="_Toc62376957"/>
      <w:r>
        <w:rPr>
          <w:rFonts w:ascii="Times New Roman" w:hAnsi="Times New Roman" w:eastAsia="方正楷体_GBK"/>
          <w:b w:val="0"/>
        </w:rPr>
        <w:t>（六）发展乡村信息产业</w:t>
      </w:r>
      <w:bookmarkEnd w:id="43"/>
      <w:bookmarkEnd w:id="44"/>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随着云计算、移动互联网、大数据、人工智能等数字技术的快速创新与应用，数字经济不仅正成为全球经济社会发展的重要引擎，而且已加速向农业农村广泛渗透，为乡村信息产业发展为提供了良好契机。</w:t>
      </w:r>
    </w:p>
    <w:p>
      <w:pPr>
        <w:overflowPunct w:val="0"/>
        <w:autoSpaceDE w:val="0"/>
        <w:autoSpaceDN w:val="0"/>
        <w:adjustRightInd w:val="0"/>
        <w:snapToGrid w:val="0"/>
        <w:spacing w:line="570" w:lineRule="exact"/>
        <w:ind w:firstLine="641"/>
        <w:rPr>
          <w:rFonts w:eastAsia="方正仿宋_GBK"/>
          <w:b/>
        </w:rPr>
      </w:pPr>
      <w:r>
        <w:rPr>
          <w:rFonts w:ascii="Times New Roman" w:hAnsi="Times New Roman" w:eastAsia="方正仿宋_GBK"/>
          <w:sz w:val="32"/>
          <w:szCs w:val="32"/>
        </w:rPr>
        <w:t>完善乡村新一代信息基础设施。加强基础设施共建共享，打造集约高效、绿色智能、安全适用的乡村信息基础设施。加快农村光纤宽带、移动互联网、数字电视网和下一代互联网发展，提升5G网络覆盖水平，探索人工智能、物联网等新型基础设施建设和应用。加快推动农村水利、公路、电力、冷链物流、农业生产加工等传统基础设施的数字化、智能化转型，推进智慧水利、智慧交通、智能电网、智慧农业、智慧物流建设。充分运用各部门在农村的已有站点资源，统筹建设乡村信息服务站点。</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乡村数字经济新业态。加快农业农村数字化转型步伐，推进现代信息技术与农业农村各领域各环节深度融合应用，推动农业生产智能化、经营网络化。推动信息化与农业装备、农机作业服务和农机管理融合应用。推进农业生产环境自动监测、生产过程智能管理，探索农业农村大数据管理应用，积极打造精准农业、智慧农业。因地制宜培育创意农业、认养农业、观光农业、都市农业等新业态。</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发展农村电子商务。培育农村电子商务主体，引导各类电子商务主体到乡村布局，构建农村购物网络平台，依托供销网点、农家店、农村综合服务社、村邮站、快递网点、农产品购销代办站等发展农村电商末端网点。改善农村电子商务环境，实施“互联网+”农产品出村进城工程，完善乡村信息网络基础设施，加快发展农产品冷链物流设施。建设农村电子商务公共服务中心，加强农村电子商务人才培养，营造良好市场环境。扩大农村电子商务应用，加快互联网技术应用与推广，促进商品在农村市场的双向流通。鼓励发展线上服务、线下体验以及现代物流融合的农业新零售模式。</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探索乡村数字治理新模式。促进信息化与乡村治理深度融合，补齐乡村治理的信息化短板，提升乡村治理智能化、精细化、专业化水平。探索“互联网+党建”、智慧党建等新模式，探索建设“网上党支部”“网上村（居）民委员会”。推动“互联网+政务服务”向乡村延伸覆盖，推进涉农服务事项在线办理，促进网上办、指尖办、马上办，提升人民群众满意度。</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完善“三农”信息服务体系。聚焦农民生产生活实际需求，积极采用适应“三农”特点的信息终端、技术产品、移动互联网应用软件，提升精细化管理和人性化服务水平。推进“互联网+医疗健康”，推动远程医疗延伸到乡镇卫生院、村卫生室。依托信息化推动基本公共服务向农村下沉，协同推进教育、生态环保、文化服务、交通运输、快递物流等各领域信息化，推动智慧广电公共服务建设，深化信息惠民服务。</w:t>
      </w:r>
    </w:p>
    <w:p>
      <w:pPr>
        <w:widowControl/>
        <w:adjustRightInd w:val="0"/>
        <w:snapToGrid w:val="0"/>
        <w:spacing w:line="570" w:lineRule="exact"/>
        <w:jc w:val="center"/>
        <w:rPr>
          <w:rFonts w:hint="eastAsia" w:ascii="方正小标宋_GBK" w:hAnsi="Times New Roman" w:eastAsia="方正小标宋_GBK"/>
          <w:b/>
          <w:sz w:val="44"/>
          <w:szCs w:val="44"/>
        </w:rPr>
      </w:pPr>
      <w:r>
        <w:rPr>
          <w:rFonts w:ascii="Times New Roman" w:hAnsi="Times New Roman"/>
          <w:b/>
          <w:sz w:val="36"/>
          <w:szCs w:val="36"/>
        </w:rPr>
        <w:br w:type="page"/>
      </w:r>
      <w:bookmarkStart w:id="45" w:name="_Toc60257860"/>
    </w:p>
    <w:p>
      <w:pPr>
        <w:overflowPunct w:val="0"/>
        <w:adjustRightInd w:val="0"/>
        <w:snapToGrid w:val="0"/>
        <w:spacing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五、高品位建设生态宜居美丽乡村</w:t>
      </w:r>
      <w:bookmarkEnd w:id="45"/>
    </w:p>
    <w:p>
      <w:pPr>
        <w:overflowPunct w:val="0"/>
        <w:adjustRightInd w:val="0"/>
        <w:snapToGrid w:val="0"/>
        <w:spacing w:line="570" w:lineRule="exact"/>
        <w:jc w:val="center"/>
        <w:rPr>
          <w:rFonts w:hint="eastAsia" w:ascii="方正小标宋_GBK" w:hAnsi="Times New Roman" w:eastAsia="方正小标宋_GBK"/>
          <w:sz w:val="44"/>
          <w:szCs w:val="44"/>
        </w:rPr>
      </w:pP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接续推进农村人居环境整治提升行动，重点抓好改厕和污水、垃圾处理。合理确定村庄布局分类，注重保护传统村落和乡村特色风貌，加强分类指导。实施乡村建设行动，继续把公共基础设施建设的重点放在农村。加强和改进乡村治理，加快构建党组织领导的乡村治理体系，深入推进平安乡村建设，创新乡村治理方式，提高乡村善治水平，促进乡村宜居宜业。</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46" w:name="_Toc60257861"/>
      <w:bookmarkStart w:id="47" w:name="_Toc62376958"/>
      <w:r>
        <w:rPr>
          <w:rFonts w:ascii="Times New Roman" w:hAnsi="Times New Roman" w:eastAsia="方正楷体_GBK"/>
          <w:b w:val="0"/>
          <w:snapToGrid w:val="0"/>
          <w:kern w:val="0"/>
        </w:rPr>
        <w:t>（一）提升农村人居环境</w:t>
      </w:r>
      <w:bookmarkEnd w:id="46"/>
      <w:bookmarkEnd w:id="47"/>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持续开展乡村垃圾处理、污水处置、厕所革命和村容村貌整治提升等，让美好人居环境成为农村亮丽底色。</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深入推进农村“厕所革命”。巩固农村户用厕所无害化建设改造成果，规范农村户厕建设改造工作，全面普及卫生厕所。强化规划引导，推进农村公厕合理布局，推动行政村村部、规模较大规划发展村庄、有乡村旅游发展等实际需求的村庄配建公共厕所。按照卫生整洁、环保美观、方便使用、管理规范、厕所性别比例合理的要求和水冲式标准，推进农村公厕和旅游厕所改造建设管理。加强农村已建公共厕所管理，促进数量增加和品质提升。实施厕所粪污同步治理、达标排放工程，全市行政村三类以上公厕全覆盖。</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推行农村生活垃圾就地分类和资源化利用。按照“减量优先、鼓励分类、城乡统筹、综合治理”原则，全面建立“户分类投放、村分拣收集、镇回收清运、有机垃圾生态处理”的分类收集处理体系，实现行政村生活垃圾分类设施全覆盖。推进再生资源回收利用网点和生活垃圾分类网点“两网融合”，探索建立垃圾分类积分奖励制度，鼓励有条件的地区将垃圾分类纳入征信系统。探索农村有机易腐垃圾就地生态处理，推动资源化利用。实现行政村生活垃圾分类设施覆盖率达到100%。</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深化农业废弃物资源化利用。健全完善以机械化还田为主体，饲料化、能源化等多种形式为补充的秸秆综合利用体系，全市秸秆综合利用率提高到97%。以肥料化利用为主攻方向，积极推广农牧结合、种养循环生态模式，继续完善畜禽粪污收集处理体系，构建完善畜禽养殖废弃物资源化利用长效机制，全市规模养殖场粪污处理设施装备配套率达100%，全市粪污资源化利用率保持在98%以上。强化市场执法监管，督促生产主体严格执行地膜国家强制性标准，加快构建地膜回收利用网络，探索推进地膜减量替代，废旧农膜回收利用率达85%。积极推广化肥、农药统一配送供应，农药包装废弃物回收实现涉农乡镇全覆盖。统筹推进美丽田园建设，加快实现田园清洁化、生态化、景观化。</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深入实施村庄清洁行动。从整体提升村容村貌、改善村庄环境入手，以“四清一治一改</w:t>
      </w:r>
      <w:r>
        <w:rPr>
          <w:rFonts w:hint="eastAsia" w:ascii="Times New Roman" w:hAnsi="Times New Roman" w:eastAsia="方正仿宋_GBK"/>
          <w:bCs/>
          <w:snapToGrid w:val="0"/>
          <w:kern w:val="0"/>
          <w:sz w:val="32"/>
          <w:szCs w:val="32"/>
        </w:rPr>
        <w:t>一管</w:t>
      </w:r>
      <w:r>
        <w:rPr>
          <w:rFonts w:ascii="Times New Roman" w:hAnsi="Times New Roman" w:eastAsia="方正仿宋_GBK"/>
          <w:bCs/>
          <w:snapToGrid w:val="0"/>
          <w:kern w:val="0"/>
          <w:sz w:val="32"/>
          <w:szCs w:val="32"/>
        </w:rPr>
        <w:t>”为重点，加大乡村公共空间治理，加快改变农民不良生活习惯，强化清洁卫生意识。深化“四好农村路”示范创建，推进规划发展村庄通等级公路，完善农村公路安全设施，开展美丽农村路建设。开展农村公路“一县一品牌、一区一特色”创建活动，清除公路两侧垃圾，实施路边绿化，提升农村公路路域环境。积极推进通村组道路、入户道路硬化。开展绿美村庄建设，鼓励庭院绿化，持续提升村庄绿化覆盖率。新增省级绿美村庄80个，林木覆盖率达到26.6%。</w:t>
      </w:r>
    </w:p>
    <w:p>
      <w:pPr>
        <w:overflowPunct w:val="0"/>
        <w:autoSpaceDE w:val="0"/>
        <w:autoSpaceDN w:val="0"/>
        <w:adjustRightInd w:val="0"/>
        <w:snapToGrid w:val="0"/>
        <w:spacing w:line="570" w:lineRule="exact"/>
        <w:ind w:firstLine="641"/>
        <w:rPr>
          <w:rFonts w:ascii="Times New Roman" w:hAnsi="Times New Roman" w:eastAsia="方正仿宋_GBK"/>
          <w:b/>
          <w:bCs/>
          <w:snapToGrid w:val="0"/>
          <w:kern w:val="0"/>
          <w:sz w:val="32"/>
          <w:szCs w:val="32"/>
        </w:rPr>
      </w:pPr>
      <w:r>
        <w:rPr>
          <w:rFonts w:ascii="Times New Roman" w:hAnsi="Times New Roman" w:eastAsia="方正仿宋_GBK"/>
          <w:bCs/>
          <w:snapToGrid w:val="0"/>
          <w:kern w:val="0"/>
          <w:sz w:val="32"/>
          <w:szCs w:val="32"/>
        </w:rPr>
        <w:t>统筹治理农村生活污水。编制新一轮县域农村生活污水处理专项规划</w:t>
      </w:r>
      <w:r>
        <w:rPr>
          <w:rFonts w:hint="eastAsia" w:ascii="Times New Roman" w:hAnsi="Times New Roman" w:eastAsia="方正仿宋_GBK"/>
          <w:bCs/>
          <w:snapToGrid w:val="0"/>
          <w:kern w:val="0"/>
          <w:sz w:val="32"/>
          <w:szCs w:val="32"/>
        </w:rPr>
        <w:t>。积极推广污水治理新技术，优先采用运行费用低、管护简便的治理模式，稳步扩大农村生活污水治理覆盖面，推进农村生活污水减量化、资源化、循环利用。加快老旧设施提升改造，提高污水处理设施收集管网入户率。2025年末，全市农村生活污水治理率力争达60%以上。</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完善落实长效管护制度。坚持建管并重，全面推行农村河道、道路交通、绿化美化、环境保洁、公共设施“五位一体”综合管护，健全农村人居环境长效管护机制。建立健全公共厕所日常维护保洁的长效机制，提高精细化管理水平。推进农村公共厕所市场化服务运营机制，推进公共厕所日常管理专业化和服务标准。完善农村环境基础设施长效机制，制定出台农村环境设施管护的政策意见，推广村庄环境综合化、社会化管护模式，建立健全长效管护机制，鼓励专业化、市场化建设和运行管护，探索建立垃圾污水处理等农村人居环境整治农户付费制度。大力推进农村地区水环境综合整治和长效管护，加快推动河长制向村级和微小水体拓展延伸。健全村民环境自治机制，将农村环境卫生要求纳入村规民约。支持村级组织、农村“工匠”带头人等，承接村庄环境整治、村内道路、植树造林等小型工程。将惠民、利民、便民贯穿农村人居环境提升行动全过程，把村民培养成为运行维护的重要力量，实现民建、民管、民享。</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48" w:name="_Toc60257862"/>
      <w:bookmarkStart w:id="49" w:name="_Toc62376959"/>
      <w:r>
        <w:rPr>
          <w:rFonts w:ascii="Times New Roman" w:hAnsi="Times New Roman" w:eastAsia="方正楷体_GBK"/>
          <w:b w:val="0"/>
          <w:snapToGrid w:val="0"/>
          <w:kern w:val="0"/>
        </w:rPr>
        <w:t>（二）推进美丽乡村示范建设</w:t>
      </w:r>
      <w:bookmarkEnd w:id="48"/>
      <w:bookmarkEnd w:id="49"/>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着力推进“五区二十五点”市级美丽乡村示范项目建设，对标先进地区，坚持以点带面、连线成片，推进美丽乡村建设，形成点上出彩、线上成景、面上美丽的全域美丽乡村骨干体系，实现规划发展村“美丽宜居乡村”全覆盖。</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bCs/>
          <w:snapToGrid w:val="0"/>
          <w:kern w:val="0"/>
          <w:sz w:val="32"/>
          <w:szCs w:val="32"/>
        </w:rPr>
        <w:t>推动“一处美”向“全域美”转变。坚持规划引领，进一步细化</w:t>
      </w:r>
      <w:r>
        <w:rPr>
          <w:rFonts w:ascii="Times New Roman" w:hAnsi="Times New Roman" w:eastAsia="方正仿宋_GBK"/>
          <w:snapToGrid w:val="0"/>
          <w:kern w:val="0"/>
          <w:sz w:val="32"/>
          <w:szCs w:val="32"/>
        </w:rPr>
        <w:t>完善我市《全域美丽乡村建设总体规划》，各辖市、区同步做好相关规划，确保规划一张图、建设一盘棋。突出示范带动，用好《美丽乡村实施评估报告》《美丽乡村建设实用手册》。继续深入推进“五区二十五点”市级美丽乡村示范项目建设，抓好特色田园乡村建设，开展美丽庭院示范村建设，着力解决好区域发展不平衡问题，打造更多具有地方特色、形态各异的美丽乡村。各辖市、区和镇、村层面，充分发挥主观能动性，统筹培育不同层级的示范建设项目，以点带面，形成重点示范、梯次开花、竞相发展的美丽乡村建设生动局面。</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bCs/>
          <w:snapToGrid w:val="0"/>
          <w:kern w:val="0"/>
          <w:sz w:val="32"/>
          <w:szCs w:val="32"/>
        </w:rPr>
        <w:t>推动“环境美”向“发展美”转变。坚持以农业供给侧结构性改</w:t>
      </w:r>
      <w:r>
        <w:rPr>
          <w:rFonts w:ascii="Times New Roman" w:hAnsi="Times New Roman" w:eastAsia="方正仿宋_GBK"/>
          <w:snapToGrid w:val="0"/>
          <w:kern w:val="0"/>
          <w:sz w:val="32"/>
          <w:szCs w:val="32"/>
        </w:rPr>
        <w:t>革为主线，突出绿色发展、创新发展、融合发展，构建和延伸农业“接二连三”的产业链和价值链，加快打造“产业结构优、质量效益高、经营主体强、技术装备精、路径模式新”的乡村产业体系。持续推进农业农村重大项目建设，进一步加大向上争取和招商引资力度，实现项目梯次推进、滚动发展。大力实施现代农业“310”提升行动，打造更多具有常州特色和区域影响力的载体平台、市场主体和农业品牌，特别要加快农业企业股改上市步伐，全力打造资本市场“常州农业板块”。加快培育壮大新型农业经营主体，推进乡村产业深度融合，强化科技创新驱动，加快发展绿色农业，提高农业发展质量效益，打造现代农业高质量发展样板区。</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bCs/>
          <w:snapToGrid w:val="0"/>
          <w:kern w:val="0"/>
          <w:sz w:val="32"/>
          <w:szCs w:val="32"/>
        </w:rPr>
        <w:t>推动“外在美”向“内在美”转变。坚持文化铸魂、彰显特色，</w:t>
      </w:r>
      <w:r>
        <w:rPr>
          <w:rFonts w:ascii="Times New Roman" w:hAnsi="Times New Roman" w:eastAsia="方正仿宋_GBK"/>
          <w:snapToGrid w:val="0"/>
          <w:kern w:val="0"/>
          <w:sz w:val="32"/>
          <w:szCs w:val="32"/>
        </w:rPr>
        <w:t>结合实际，开展本地乡土文化资源普查，深入挖掘历史文化、提炼地域文化，并有机融入村庄规划和建设中，使村民记得住乡愁，不断增加认同感和归属感。加强对老旧民宅、名木古树、民俗文化、文化遗产等的发掘、保护，形成处处有景观、村村有韵味的自然文化景观。组织动员农村妇女及家庭，以庭院美、家庭美助力乡村美，寻访美丽庭院、最美家庭，开展家庭园艺、乡风文明、庭院经济等宣传培训活动，大力选树孝老爱亲、教子有方、勤俭持家、邻里友善、绿色环保等家庭典型，共建共享生态宜居、幸福和谐新农家。以乡村地区节庆活动为依托，发掘当地民俗文化和节庆文化资源，办好农民丰收节，广泛开展群众文化活动，丰富乡村文化产品供给，让美丽乡村更有“文化看点”。</w:t>
      </w:r>
    </w:p>
    <w:p>
      <w:pPr>
        <w:overflowPunct w:val="0"/>
        <w:autoSpaceDE w:val="0"/>
        <w:autoSpaceDN w:val="0"/>
        <w:adjustRightInd w:val="0"/>
        <w:snapToGrid w:val="0"/>
        <w:spacing w:line="570" w:lineRule="exact"/>
        <w:ind w:firstLine="641"/>
        <w:rPr>
          <w:rFonts w:ascii="Times New Roman" w:hAnsi="Times New Roman" w:eastAsia="方正仿宋_GBK"/>
          <w:b/>
          <w:bCs/>
          <w:snapToGrid w:val="0"/>
          <w:kern w:val="0"/>
          <w:sz w:val="32"/>
          <w:szCs w:val="32"/>
        </w:rPr>
      </w:pPr>
      <w:r>
        <w:rPr>
          <w:rFonts w:ascii="Times New Roman" w:hAnsi="Times New Roman" w:eastAsia="方正仿宋_GBK"/>
          <w:bCs/>
          <w:snapToGrid w:val="0"/>
          <w:kern w:val="0"/>
          <w:sz w:val="32"/>
          <w:szCs w:val="32"/>
        </w:rPr>
        <w:t>推动“一时美”向“持久美”转变。坚持建管并重、常态长效，</w:t>
      </w:r>
      <w:r>
        <w:rPr>
          <w:rFonts w:ascii="Times New Roman" w:hAnsi="Times New Roman" w:eastAsia="方正仿宋_GBK"/>
          <w:snapToGrid w:val="0"/>
          <w:kern w:val="0"/>
          <w:sz w:val="32"/>
          <w:szCs w:val="32"/>
        </w:rPr>
        <w:t>根据市委、市政府印发的《常州市开启率先基本实现农业农村现代化新征程工作指引（2020—2022年）》要求，把农村人居环境整治列入抓重点、攻难点的重要内容，统筹推进道路管护、厕所革命、垃圾处理、污水处置等重点工作，积极探索完善长效管护机制，落实管护资金，明确管护主体和管护责任，提升村民素质，培育文明乡风，推动全市农村人居环境由节点向全域、由单项向综合、由整洁向美丽整体提升，到2022年，全市行政村生活垃圾分类设施覆盖达100%、林木覆盖率达26.6%，同时力争在全省率先实现农村生态保护系统化、环境治理全域化、村容村貌品质化。</w:t>
      </w:r>
    </w:p>
    <w:p>
      <w:pPr>
        <w:overflowPunct w:val="0"/>
        <w:autoSpaceDE w:val="0"/>
        <w:autoSpaceDN w:val="0"/>
        <w:adjustRightInd w:val="0"/>
        <w:snapToGrid w:val="0"/>
        <w:spacing w:line="570" w:lineRule="exact"/>
        <w:ind w:firstLine="641"/>
        <w:rPr>
          <w:rFonts w:ascii="Times New Roman" w:hAnsi="Times New Roman" w:eastAsia="仿宋_GB2312"/>
          <w:snapToGrid w:val="0"/>
          <w:kern w:val="0"/>
          <w:sz w:val="32"/>
          <w:szCs w:val="32"/>
        </w:rPr>
      </w:pPr>
      <w:r>
        <w:rPr>
          <w:rFonts w:ascii="Times New Roman" w:hAnsi="Times New Roman" w:eastAsia="方正仿宋_GBK"/>
          <w:bCs/>
          <w:snapToGrid w:val="0"/>
          <w:kern w:val="0"/>
          <w:sz w:val="32"/>
          <w:szCs w:val="32"/>
        </w:rPr>
        <w:t>推动“形态美”向“制度美”转变。坚持改革创新、健全机制，</w:t>
      </w:r>
      <w:r>
        <w:rPr>
          <w:rFonts w:ascii="Times New Roman" w:hAnsi="Times New Roman" w:eastAsia="方正仿宋_GBK"/>
          <w:snapToGrid w:val="0"/>
          <w:kern w:val="0"/>
          <w:sz w:val="32"/>
          <w:szCs w:val="32"/>
        </w:rPr>
        <w:t>认真落实第二轮土地承包到期后再延长三十年政策，进一步深化承包土地“三权分置”改革实践，做好放活承包土地经营权流转、入股、抵押文章。完善农房建设管理机制，有序推进农村住房更新改造，着力推进武进区农村宅基地管理制度和新北区闲置农房盘活利用省级改革试验，支持和推进溧阳市、武进区承担农村宅基地制度改革国家试点任务。进一步优化扶持政策、建设项目和组织形式，大力开展“万企联万村，共走振兴路”行动，鼓励引导社会资本“上山下乡”，参与村庄经营管理。积极推进溧阳、金坛国家城乡融合发展试验区建设，在农地入市、科技成果入乡、城乡产业协同、生态产品价值实现、农民持续增收等方面创新体制机制，加快推动城乡要素平等交换、公共资源均衡配置。</w:t>
      </w:r>
    </w:p>
    <w:p>
      <w:pPr>
        <w:overflowPunct w:val="0"/>
        <w:autoSpaceDE w:val="0"/>
        <w:autoSpaceDN w:val="0"/>
        <w:adjustRightInd w:val="0"/>
        <w:snapToGrid w:val="0"/>
        <w:spacing w:line="560" w:lineRule="exact"/>
        <w:ind w:firstLine="641"/>
        <w:rPr>
          <w:rFonts w:ascii="Times New Roman" w:hAnsi="Times New Roman" w:eastAsia="仿宋_GB2312"/>
          <w:snapToGrid w:val="0"/>
          <w:kern w:val="0"/>
          <w:sz w:val="32"/>
          <w:szCs w:val="32"/>
        </w:rPr>
      </w:pPr>
    </w:p>
    <w:p>
      <w:pPr>
        <w:pBdr>
          <w:top w:val="single" w:color="auto" w:sz="4" w:space="1"/>
          <w:left w:val="single" w:color="auto" w:sz="4" w:space="4"/>
          <w:bottom w:val="single" w:color="auto" w:sz="4" w:space="1"/>
          <w:right w:val="single" w:color="auto" w:sz="4" w:space="4"/>
        </w:pBdr>
        <w:overflowPunct w:val="0"/>
        <w:autoSpaceDE w:val="0"/>
        <w:autoSpaceDN w:val="0"/>
        <w:adjustRightInd w:val="0"/>
        <w:snapToGrid w:val="0"/>
        <w:spacing w:line="500" w:lineRule="exact"/>
        <w:jc w:val="center"/>
        <w:rPr>
          <w:rFonts w:ascii="Times New Roman" w:hAnsi="Times New Roman" w:eastAsia="方正黑体_GBK"/>
          <w:snapToGrid w:val="0"/>
          <w:kern w:val="0"/>
          <w:sz w:val="28"/>
          <w:szCs w:val="28"/>
        </w:rPr>
      </w:pPr>
      <w:r>
        <w:rPr>
          <w:rFonts w:ascii="Times New Roman" w:hAnsi="Times New Roman" w:eastAsia="方正黑体_GBK"/>
          <w:snapToGrid w:val="0"/>
          <w:kern w:val="0"/>
          <w:sz w:val="28"/>
          <w:szCs w:val="28"/>
        </w:rPr>
        <w:t>美丽乡村建设重点</w:t>
      </w:r>
    </w:p>
    <w:p>
      <w:pPr>
        <w:pBdr>
          <w:top w:val="single" w:color="auto" w:sz="4" w:space="1"/>
          <w:left w:val="single" w:color="auto" w:sz="4" w:space="4"/>
          <w:bottom w:val="single" w:color="auto" w:sz="4" w:space="1"/>
          <w:right w:val="single" w:color="auto" w:sz="4" w:space="4"/>
        </w:pBdr>
        <w:overflowPunct w:val="0"/>
        <w:autoSpaceDE w:val="0"/>
        <w:autoSpaceDN w:val="0"/>
        <w:adjustRightInd w:val="0"/>
        <w:snapToGrid w:val="0"/>
        <w:spacing w:line="500" w:lineRule="exact"/>
        <w:ind w:firstLine="560" w:firstLineChars="200"/>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新北美丽乡村建设示范试点、太湖湾片区美丽乡村示范区、江苏中关村美意田园建设、礼诗圩特色田园乡村提升工程。</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50" w:name="_Toc62376960"/>
      <w:bookmarkStart w:id="51" w:name="_Toc60257863"/>
      <w:r>
        <w:rPr>
          <w:rFonts w:ascii="Times New Roman" w:hAnsi="Times New Roman" w:eastAsia="方正楷体_GBK"/>
          <w:b w:val="0"/>
          <w:snapToGrid w:val="0"/>
          <w:kern w:val="0"/>
        </w:rPr>
        <w:t>（三）提升乡村基础设施</w:t>
      </w:r>
      <w:bookmarkEnd w:id="50"/>
      <w:bookmarkEnd w:id="51"/>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加快建设提升覆盖城乡的公路、电力、天然气、供水和垃圾污水收集处理等基础设施，健全市县镇村四级管理网络和建管长效机制。高质量推进“四好农村路”建设，健全乡村物流基础设施和配送网络体系，实施 “光网乡村”提升工程。农村电商配送服务行政村覆盖率达到100%，基本实现行政村5G网络全覆盖。</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构筑高效城乡交通网络。优化完善农村公路规划。强化农村公路与国省于线公路、城镇道路、机场、港口及交通枢纽的衔接，全面提升农村地区公路等级，实现乡镇一级公路覆盖率100%；统筹推进规划发展村庄通达等级公路，加强农村公路与国省干线公路互联互通，到2022年，实现乡镇至高速公路互通15分钟全覆盖。高质量推进“四好农村路”建设，提升农村通组入户道路建设水平，加强城乡公交线路与农村景点、高铁站、轨道站、机场的有效衔接，打造全域旅游公路“常州品牌”。强化农村公路安全生命防护，进一步完善公路标志标线等交通指引设施，基本完成县道、乡道及通镇村公交线路的安全隐患治理。促进城乡客运一体化发展，分类分步推进农村客运班车公司化改造，推动城市公交、市镇班线和镇村公交线路的有效衔接和融合，因地制宜采取定线定班和需求响应式等运营组织模式，探索推进符合群众出行需求的全域公交发展。加快农村物流网络节点体系和设施建设，推动“快递下乡”，打造农村现代物流企业，畅通城乡双向物流渠道。</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提升给排水设施服务能力。实施城乡一体化供水工程，加快推进溧阳、金坛区城统筹供水，对难以取缔的乡镇和农村分散式饮用水源地，加强其日常监测与监督管理，保障饮用水安全。到2022年全市区域供水入户率实现全覆盖，加快实现城乡居民饮水“同源、同网、同质、同服务”，提升农民群众饮水安全水平。加强镇村污水设施建设，完善镇村污水收集系统，强化污水联通调度，积极推动城镇污水管网向周边村庄延伸覆盖，提高村庄生活污水处理设施覆盖率。进一步完善镇区和被撤并镇集镇区雨污分流体制，科学埋设管道。</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加强乡村能源基础设施建设。加快新一轮农村电网升级改造与中压配电网主</w:t>
      </w:r>
      <w:r>
        <w:rPr>
          <w:rFonts w:hint="eastAsia" w:ascii="Times New Roman" w:hAnsi="Times New Roman" w:eastAsia="方正仿宋_GBK"/>
          <w:snapToGrid w:val="0"/>
          <w:kern w:val="0"/>
          <w:sz w:val="32"/>
          <w:szCs w:val="32"/>
        </w:rPr>
        <w:t>干</w:t>
      </w:r>
      <w:r>
        <w:rPr>
          <w:rFonts w:ascii="Times New Roman" w:hAnsi="Times New Roman" w:eastAsia="方正仿宋_GBK"/>
          <w:snapToGrid w:val="0"/>
          <w:kern w:val="0"/>
          <w:sz w:val="32"/>
          <w:szCs w:val="32"/>
        </w:rPr>
        <w:t>网建设，提高农网地区电力设施建设标准，完善电力管网系统，提高城乡电力保障均等化水平。推动供气设施向农村延伸，推进农村能源消费升级，大幅提高电能在农村能源消费中的比重，积极稳妥推进清洁利用，不断提高乡村地区管道天然气覆盖率。积极推广农村绿色节能建筑和农用节能技术、产品。</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推进农村新一代信息基础设施建设。实施“光网乡村”提升工程，健全农村综合信息服务体系，集聚各类信息服务资源，全面推进信息进村入户，弥合城乡数字鸿沟。完善邮政网点，推动邮政快递合作，促进邮政业服务农村电子商务发展。农村电商配送服务行政村覆盖率达到100%，基本实现行政村5G网络全覆盖。</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强农村防灾减灾救灾能力建设。加强农村灾害预警体系建设，加强乡村地区气象、水文、地震、地质、农业、林业、动物疾病疫源等灾害监测站网建设，强化部门间信息共享，有效提高突发灾害监测率和公众预警预报信息覆盖率，推进突发事件预警信息发布系统向农村延伸，解决农村灾害预警信息发布“最后一公里”问题。推动农村防灾减灾工程建设，继续建设一批全国综合减灾防灾示范社区，提升农村社区和农村住房抗灾能力。</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改革农村公共基础设施管护体制。进一步明确</w:t>
      </w:r>
      <w:r>
        <w:rPr>
          <w:rFonts w:hint="eastAsia" w:ascii="Times New Roman" w:hAnsi="Times New Roman" w:eastAsia="方正仿宋_GBK"/>
          <w:snapToGrid w:val="0"/>
          <w:kern w:val="0"/>
          <w:sz w:val="32"/>
          <w:szCs w:val="32"/>
        </w:rPr>
        <w:t>属地</w:t>
      </w:r>
      <w:r>
        <w:rPr>
          <w:rFonts w:ascii="Times New Roman" w:hAnsi="Times New Roman" w:eastAsia="方正仿宋_GBK"/>
          <w:snapToGrid w:val="0"/>
          <w:kern w:val="0"/>
          <w:sz w:val="32"/>
          <w:szCs w:val="32"/>
        </w:rPr>
        <w:t>以及有关部门、运行管理单位责任，加快建立有制度、有标准、有队伍、有经费、有督查的农村公共基础设施管护长效机制。深化农村公路管理养护体制改革试点，结合美丽农村路建设，完善农村公路管理体制的组织保障体系、资金保障体系、绩效考核体系。完善农村道路养护机制，建立农村公路养护管理资金投入增长机制，鼓励社会资本参与农村公路养护工作。重点完善辖市区、镇（街道）、村三级农村公路“建、管、养、运”体系。贯彻落实省农村水利设施管护的政策意见，深化农村水利工程产权制度与管理体制改革，健全基层水利服务体系，鼓励农民、村组集体、农民用水合作组织、新型农业经营主体等参与工程建设经营，促进工程长期良性运行。</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52" w:name="_Toc60257864"/>
      <w:bookmarkStart w:id="53" w:name="_Toc62376961"/>
      <w:r>
        <w:rPr>
          <w:rFonts w:ascii="Times New Roman" w:hAnsi="Times New Roman" w:eastAsia="方正楷体_GBK"/>
          <w:b w:val="0"/>
          <w:snapToGrid w:val="0"/>
          <w:kern w:val="0"/>
        </w:rPr>
        <w:t>（四）切实改善农民居住条件</w:t>
      </w:r>
      <w:bookmarkEnd w:id="52"/>
      <w:bookmarkEnd w:id="53"/>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实施农村居民住房条件改善工程，全面提升农村居住品质。按照城镇化发展需要和“四化同步”要求，结合农民对改善居住环境和住房条件的迫切愿望，充分尊重农民意愿，规划建设一批新型农村社区。新型农村社区建设要按照城乡融合发展和基本公共服务均等化、标准化要求，遵循“先地下、后地上”原则，做好供排水、道路、粪污处理、垃圾收运、供气、供电、照明、通信、绿化等设施配套，合理设置党群服务、教育医疗、文化体育、健康养老、农贸商业、金融物流等公共服务设施。有序引导农民搬入农村社区，其居住去向、建设或安置方式、房屋形式和具体户型等应由农民自主选择，重要事项须经村民代表会议审议同意，做到流程规范、政策透明、对象公开</w:t>
      </w:r>
      <w:r>
        <w:rPr>
          <w:rFonts w:hint="eastAsia" w:ascii="Times New Roman" w:hAnsi="Times New Roman" w:eastAsia="方正仿宋_GBK"/>
          <w:snapToGrid w:val="0"/>
          <w:kern w:val="0"/>
          <w:sz w:val="32"/>
          <w:szCs w:val="32"/>
        </w:rPr>
        <w:t>，</w:t>
      </w:r>
      <w:r>
        <w:rPr>
          <w:rFonts w:ascii="Times New Roman" w:hAnsi="Times New Roman" w:eastAsia="方正仿宋_GBK"/>
          <w:snapToGrid w:val="0"/>
          <w:kern w:val="0"/>
          <w:sz w:val="32"/>
          <w:szCs w:val="32"/>
        </w:rPr>
        <w:t>接受村民和社会监督。</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54" w:name="_Toc60257865"/>
      <w:bookmarkStart w:id="55" w:name="_Toc62376962"/>
      <w:r>
        <w:rPr>
          <w:rFonts w:ascii="Times New Roman" w:hAnsi="Times New Roman" w:eastAsia="方正楷体_GBK"/>
          <w:b w:val="0"/>
          <w:snapToGrid w:val="0"/>
          <w:kern w:val="0"/>
        </w:rPr>
        <w:t>（五）夯实乡村治理基础</w:t>
      </w:r>
      <w:bookmarkEnd w:id="54"/>
      <w:bookmarkEnd w:id="55"/>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突出党建引领、三治结合，深化全要素网格建设，以实施“龙城先锋”工程为抓手，强化农村基层党组织领导核心地位，加快形成自治法治德治“三治结合”、执法管理服务“三位一体”、人防物防技防“三防齐抓”的基层治理新格局，实现网络、网格“两网”融合，党建、村建“两建”融合。2021年初，完成村（社区）党组织换届、村（居）民委员会换届工作。到2022年，村民委员会依法自治达标率达到97.2%，农村群众安全感显著提升。</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强农村基层党组织建设。实施基层组织体系提质工程。强化农村基层党组织的核心领导作用，推进村党组织书记通过法定程序担任村民委员会主任和集体经济、农民合作组织负责人，推行村“两委”班子成员交叉任职。大力开展支部规范化标准化建设。突出完善标准、健全组织、规范运行，落实“三会一课”、组织生活会、民主评议党员等制度。强化农村基层党组织带头人队伍建设。把基层党组织带头人队伍建设摆在突出位置，加大从农村致富能手、外出务工经商人员、本乡本土大学毕业生、复员退伍军人中培养选拔</w:t>
      </w:r>
      <w:r>
        <w:rPr>
          <w:rFonts w:hint="eastAsia" w:ascii="Times New Roman" w:hAnsi="Times New Roman" w:eastAsia="方正仿宋_GBK"/>
          <w:snapToGrid w:val="0"/>
          <w:kern w:val="0"/>
          <w:sz w:val="32"/>
          <w:szCs w:val="32"/>
        </w:rPr>
        <w:t>人才</w:t>
      </w:r>
      <w:r>
        <w:rPr>
          <w:rFonts w:ascii="Times New Roman" w:hAnsi="Times New Roman" w:eastAsia="方正仿宋_GBK"/>
          <w:snapToGrid w:val="0"/>
          <w:kern w:val="0"/>
          <w:sz w:val="32"/>
          <w:szCs w:val="32"/>
        </w:rPr>
        <w:t>力度。加强村党群服务中心建设，加强农村党员教育、管理、监督，推进“两学一做”学习教育常态化制度化，教育引导广大党员干部自觉用习近平新时代中国特色社会主义思想武装头脑。</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构建村民自治管理体系。尊重农民的主体性，提升农民参与乡村治理的积极性。加强农村自治组织建设和管理。重视乡村社会中自下而上的内生性自治组织的培育，并通过自治组织的建设，来提升乡村社会的治理能力、重建乡村社会团结。重点是整合现代乡贤和宗族组织，凝聚乡民对于乡村社会的认同感和归属感，达到传统与现代的连接，重构乡村社会伦理，贯彻男女平等基本国策，实现乡村治理和谐有序进行。培育社会组织，发挥社会组织的作用。加大社会组织培育和管理体制改革力度，激活社会组织活力，发挥社会组织的群众动员优势，尤其在乡村基础设施建设、矛盾纠纷化解、公共服务等方面，发挥社会组织的作用，使社会组织能够成为乡村基层政府的有力帮手。</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提升乡村治理法治化水平。加大普法宣传力度，引导广大干部群众自觉守法用法。创新乡村法治宣传教育，开展专题法治教育培训，鼓励村民积极参与基层司法、法律监督等法治实践活动，提高乡村基层干部群众的法治意识，使他们形成信法守法的行为习惯。促进基层政府和基层干部依法行政</w:t>
      </w:r>
      <w:r>
        <w:rPr>
          <w:rFonts w:hint="eastAsia" w:ascii="Times New Roman" w:hAnsi="Times New Roman" w:eastAsia="方正仿宋_GBK"/>
          <w:snapToGrid w:val="0"/>
          <w:kern w:val="0"/>
          <w:sz w:val="32"/>
          <w:szCs w:val="32"/>
        </w:rPr>
        <w:t>，</w:t>
      </w:r>
      <w:r>
        <w:rPr>
          <w:rFonts w:ascii="Times New Roman" w:hAnsi="Times New Roman" w:eastAsia="方正仿宋_GBK"/>
          <w:snapToGrid w:val="0"/>
          <w:kern w:val="0"/>
          <w:sz w:val="32"/>
          <w:szCs w:val="32"/>
        </w:rPr>
        <w:t>要强化对乡村基层政府和基层干部的法律约束，依法行使职权，依法依规处理事务，依法加强对村务治理的指导、对农村各类问题的预防和监管。推进平安乡镇、平安村庄建设，开展突出治安问题专项整治，让广大农民群众感受法律力量、认知法律尊严、增强法律信仰。加快完善乡村法律服务体系。加强农村司法所、法律服务所、人民调解组织建设，推进法律援助进村、法律顾问进村，大幅度降低干部群众用法成本，引导群众以正当的途径、以法律的手段、以理性的态度，合理合法解决矛盾纠纷。</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塑造乡村德治秩序。培育和践行社会主义核心价值观，坚持教育引导、文化熏陶、舆论宣传相结合，把核心价值观融入到农村生产生活。推动乡村文化振兴，加强农村思想道德建设。深入挖掘中华优秀传统文化蕴含的思想观念、人文精神、道德规范，加强家庭家教家风建设，弘扬主旋律和社会正气，培育文明乡风、良好家风、淳朴民风，改善农民精神风貌，提高乡村社会文明程度，焕发乡村文明新气象。注重树立宣传文明家庭、五号家庭、文明好儿媳好妯娌等先进典型，营造良好的社会风尚。坚持正确的价值取向和舆论导向，开展各种模范的评选活动，用榜样的力量带动村民奋发向上，用美德的感召带动村民和睦相处，营造良好的社会氛围，提升人民群众感受美好生活能力，增强社会的价值认同和凝聚力，推动形成向善向好的社会风尚。</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深化网格化社会治理。按照规模适度、便于服务管理、便于居民自治的原则，合理设置城乡社区管辖范围和规模。建立以“网格长、专职网格员、兼职网格员、网格志愿者”为主体的全要素网格服务管理队伍，原则上由村两委班子成员担任网格长。夯实网格基础，做到网格统一规划、资源统一整合、人员统一配备、信息统一采集、服务统一标准，确保上下一致、整体联动，打通服务群众最后一公里。推进全科网、平安网、服务网等多网合一，加快“网格＋网络”两网融合，实现数据共享。</w:t>
      </w:r>
    </w:p>
    <w:p>
      <w:pPr>
        <w:overflowPunct w:val="0"/>
        <w:autoSpaceDE w:val="0"/>
        <w:autoSpaceDN w:val="0"/>
        <w:adjustRightInd w:val="0"/>
        <w:snapToGrid w:val="0"/>
        <w:spacing w:line="570" w:lineRule="exact"/>
        <w:jc w:val="center"/>
        <w:rPr>
          <w:rFonts w:hint="eastAsia" w:ascii="方正小标宋_GBK" w:hAnsi="Times New Roman" w:eastAsia="方正小标宋_GBK"/>
          <w:b/>
        </w:rPr>
      </w:pPr>
      <w:r>
        <w:rPr>
          <w:rFonts w:ascii="Times New Roman" w:hAnsi="Times New Roman"/>
          <w:b/>
          <w:bCs/>
          <w:sz w:val="36"/>
          <w:szCs w:val="36"/>
        </w:rPr>
        <w:br w:type="page"/>
      </w:r>
      <w:bookmarkStart w:id="56" w:name="_Toc60257866"/>
      <w:bookmarkStart w:id="57" w:name="_Toc62376963"/>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rPr>
      </w:pPr>
      <w:r>
        <w:rPr>
          <w:rFonts w:hint="eastAsia" w:ascii="方正小标宋_GBK" w:hAnsi="Times New Roman" w:eastAsia="方正小标宋_GBK"/>
          <w:b w:val="0"/>
        </w:rPr>
        <w:t>六、不断提升农民幸福感</w:t>
      </w:r>
      <w:bookmarkEnd w:id="56"/>
      <w:bookmarkEnd w:id="57"/>
    </w:p>
    <w:p>
      <w:pPr>
        <w:overflowPunct w:val="0"/>
        <w:adjustRightInd w:val="0"/>
        <w:snapToGrid w:val="0"/>
        <w:spacing w:line="570" w:lineRule="exact"/>
        <w:jc w:val="center"/>
        <w:rPr>
          <w:rFonts w:hint="eastAsia" w:ascii="方正小标宋_GBK" w:hAnsi="Times New Roman" w:eastAsia="方正小标宋_GBK"/>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充分尊重广大农民意愿，调动广大农民积极性、主动性、创造性，把广大农民对美好生活的向往化为推动乡村振兴的动力。</w:t>
      </w:r>
      <w:r>
        <w:rPr>
          <w:rFonts w:ascii="Times New Roman" w:hAnsi="Times New Roman" w:eastAsia="方正仿宋_GBK"/>
          <w:snapToGrid w:val="0"/>
          <w:kern w:val="0"/>
          <w:sz w:val="32"/>
          <w:szCs w:val="32"/>
        </w:rPr>
        <w:t>加强社会主义精神文明建设，加强农村思想道德建设，弘扬和践行社会主义核心价值观，普及科学知识，推进农村移风易俗，</w:t>
      </w:r>
      <w:r>
        <w:rPr>
          <w:rFonts w:ascii="Times New Roman" w:hAnsi="Times New Roman" w:eastAsia="方正仿宋_GBK"/>
          <w:bCs/>
          <w:snapToGrid w:val="0"/>
          <w:kern w:val="0"/>
          <w:sz w:val="32"/>
          <w:szCs w:val="32"/>
        </w:rPr>
        <w:t>推动形成文明乡风、良好家风、淳朴民风。在推进城乡基本公共服务均等化上持续发力，注重加强普惠性、兜底性、基础性民生建设，促进农民富裕富足。</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58" w:name="_Toc62376964"/>
      <w:bookmarkStart w:id="59" w:name="_Toc60257867"/>
      <w:r>
        <w:rPr>
          <w:rFonts w:ascii="Times New Roman" w:hAnsi="Times New Roman" w:eastAsia="方正楷体_GBK"/>
          <w:b w:val="0"/>
          <w:snapToGrid w:val="0"/>
          <w:kern w:val="0"/>
        </w:rPr>
        <w:t>（一）促进农民创业富民</w:t>
      </w:r>
      <w:bookmarkEnd w:id="58"/>
      <w:bookmarkEnd w:id="59"/>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把推动农民创业摆在更加突出的位置，激励农民自主创业、返乡创业、联合创业。抓好返乡农民工、农村能人大户、村组干部和大学生村官“四大群体”，提高农民创业成功率，充分发挥创业带动就业和促进增收的作用。</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提升农民创业能力。推进全市创业服务平台建设，实现信息发布、政策公开、实施成效等工作全流程信息化。鼓励和引导农民工、大学生、退役士兵、农业科技人员等返乡下乡人员创业创新。积极开展农民创业培训活动，探索实施“互联网＋实体”创业培训，促进电商与传统产业融合，不断增强农民创业能力。</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培育乡村创业载体。推动金坛上阮现代农业产业园、一号农场等国家级农村创业创新园区转型升级。完善创业孵化基地功能，培育乡村“创客空间”，加强创业导师队伍建设，提供创业孵化、政策咨询、开业指导、融资服务、跟踪扶持等创业帮扶，享受相关创业扶持政策，吸引更多农民自主创业、返乡创业。</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完善创业政策环境。构建覆盖城乡的创业政策体系，加大宣传推荐力度，营造农村创业创新良好氛围。充分发挥政府主体引导作用，健全政府、金融机构和农民共担共赢合作机制，拓宽创业融资渠道，加大财政创业补贴、税费减免政策、金融信贷产品、场地安排等方面对返乡农民创业的支持力度。扶持农民创办小微企业，促进农民就地就近创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优化农民创业服务。完善创业项目信息、政策咨询、开业指导、融资服务、跟踪扶持等“一条龙”创业服务。开展创业培训“进乡村”活动，帮助农村劳动者提升创业能力。加强创业项目库建设，大力开发适合农民创业的农副产品加工、资源综合利用、农村社区服务、农业休闲观光等劳动密集型创业项目。</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60" w:name="_Toc62376965"/>
      <w:bookmarkStart w:id="61" w:name="_Toc60257868"/>
      <w:r>
        <w:rPr>
          <w:rFonts w:ascii="Times New Roman" w:hAnsi="Times New Roman" w:eastAsia="方正楷体_GBK"/>
          <w:b w:val="0"/>
          <w:snapToGrid w:val="0"/>
          <w:kern w:val="0"/>
        </w:rPr>
        <w:t>（二）推进农民就业富民</w:t>
      </w:r>
      <w:bookmarkEnd w:id="60"/>
      <w:bookmarkEnd w:id="61"/>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发挥常州市工业化和城镇化水平高、吸纳农村劳动力能力强和职业教育资源丰富的优势，加快农村劳动力向二三产业和城镇转移就业。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强职业技能培训。坚持以就业为导向，强化实际操作技能训练和职业素质培养，提高农民培训就业率。实行校企合作，开展订单式培训、定向培训、定岗培训。发挥企业培训促进就业的作用，重点加强职工岗前培训、在岗技能提升培训和转岗培训，增强培训效果，提高农民就业技能。</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推进公共就业服务均等化。健全市、辖市（区）、镇（街道）、村（社区）四级公共就业服务体系，不断提升公共就业服务的制度化、专业化和信息化水平。加强线上线下人力资源市场建设，强化人力资源市场供求监测，建立企业用工需求调查、重点企业用工动态监测和失业动态监测制度。</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拓展农民就业空间。推进县域城镇化，强化县域与中心镇的增长极作用，创造更多的就业岗位；推进农村一二三产业融合发展，推动乡村产业发展壮大，瞄准家政、养老、环卫、文化等领域开发，更多适合农村劳动力转移就业的岗位，多渠道、多形式帮助农村劳动力实现就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改善进城务工农民就业环境。健全城乡劳动者平等就业制度，促进城乡劳动者平等就业、同工同酬。健全技能劳动者收入分配政策，提高农民工技能人才和农业科技人才的待遇水平和社会地位。建立农民工欠薪预警防控制，完善工资收入稳定增长和工资集体协商机制。</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62" w:name="_Toc62376966"/>
      <w:bookmarkStart w:id="63" w:name="_Toc60257869"/>
      <w:r>
        <w:rPr>
          <w:rFonts w:ascii="Times New Roman" w:hAnsi="Times New Roman" w:eastAsia="方正楷体_GBK"/>
          <w:b w:val="0"/>
          <w:snapToGrid w:val="0"/>
          <w:kern w:val="0"/>
        </w:rPr>
        <w:t>（三）发展现代农业富民</w:t>
      </w:r>
      <w:bookmarkEnd w:id="62"/>
      <w:bookmarkEnd w:id="63"/>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加快农业转型升级，深入挖掘农业内部增收潜力，让务农农民从农业生产经营中得到更多收入。</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快发展优势特色产业。大力发展优质粮油业、设施园艺业、特色水产业、休闲观光与农业旅游，提高农业生产效益，增加农民收入。打造农业增收平台，加快建设一批现代农业园区、农业特色产业基地、农业产业强镇、“一村一品”专业村。发挥常州市区位与生态环境优势，引导广大农户参与发展休闲观光农业与乡村旅游业，带动农副产品销售和家庭手工业、交通运输业、住宿餐饮业等相关产业发展。</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增强农业龙头企业带动作用。发挥龙头企业带动农民增收的重要作用，鼓励企业采取设立风险基金、价格保护、溢价收购、利润返还、股份分红等方式，健全完善农企利益联结机制，带动农民增收。鼓励发展农业产业化联合体，加强农产品加工集中区建设，延长农业产业链，提高农产品附加值。</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发展合作经济组织富民。鼓励农民专业合作社之间、合作社与相关市场主体之间进行多种形式的联合与合作，组建农村合作经济组织联合会、农民合作社联合社或农产品行业协会，发展农业品牌经济，增强农民市场参与议价能力。支持农民专业合作社自办或参股农产品加工流通企业，实现一二三产业融合发展，延长产业链条，让农民共享农产品加工流通环节的增值收益。引导有条件的合作社兴办农民资金互助组织，破解融资难题，增强带领农民致富能力。</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完善农业社会化服务富民。健全公益性为农服务体系，提高为农服务水平。培育多元化为农服务组织，支持和引导供销合作社、农业龙头企业、农民合作组织、农村集体经济组织以及其他社会服务组织提供多种形式的农业生产经营服务，丰富为农服务内容。完善公益性服务和经营性服务相结合、专项服务和综合服务相协调的新型农业社会化服务体系，以高效优质的系列化服务促进农民增收。</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64" w:name="_Toc62376967"/>
      <w:bookmarkStart w:id="65" w:name="_Toc60257870"/>
      <w:r>
        <w:rPr>
          <w:rFonts w:ascii="Times New Roman" w:hAnsi="Times New Roman" w:eastAsia="方正楷体_GBK"/>
          <w:b w:val="0"/>
          <w:snapToGrid w:val="0"/>
          <w:kern w:val="0"/>
        </w:rPr>
        <w:t>（四）发展新型农村集体经济</w:t>
      </w:r>
      <w:bookmarkEnd w:id="64"/>
      <w:bookmarkEnd w:id="65"/>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发展壮大村级集体经济实力，发挥集体组织的服务功能，增强村级集体经济对农民增收致富的带动作用。强化农民与集体经济组织、新型农业经营主体利益联结机制，让农民分享更多的产业发展成果和增值收益。</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snapToGrid w:val="0"/>
          <w:kern w:val="0"/>
          <w:sz w:val="32"/>
          <w:szCs w:val="32"/>
        </w:rPr>
        <w:t>加强农村集体资产监管。</w:t>
      </w:r>
      <w:r>
        <w:rPr>
          <w:rFonts w:ascii="Times New Roman" w:hAnsi="Times New Roman" w:eastAsia="方正仿宋_GBK"/>
          <w:bCs/>
          <w:snapToGrid w:val="0"/>
          <w:kern w:val="0"/>
          <w:sz w:val="32"/>
          <w:szCs w:val="32"/>
        </w:rPr>
        <w:t>巩固和完善农村集体资产监管体制机制，全面落实农村集体资产清产核资、村级财务预决算、资金非现金结算和财务公开等制度，提升农村集体资产信息化监管效能，推进村（居）民委员会与集体股份经济合作社的分账管理。落实农村集体资产资源流转全部进场交易，推进农村产权流转交易市场标准化建设，全面推行线上交易。</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优化农村集体经济运行机制。鼓励集体经济组织建立和完善农村集体资产经营管理、资产保值增值、责任考核和风险控制等制度，建立符合市场经济要求的集体经济运行新机制。完善集体经济组织内部激励机制，对于完成既定增收目标任务的集体经济组织，在从本年收益中提取公积金、公益金、应付福利费以及农户分配之后，可按一定比例提取部分资金用于发放集体经济组织理事长及理事会成员的奖励绩效，相关奖励激励方案必须经过成员（代表）大会讨论通过。探索聘用职业经理人，实行公司化、集团化管理等多种方式，提高市场化运营水平。</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创新发展农村新型集体经济。以拓展村集体经营收入来源、提升经营收益为核心，支持村集体盘活闲置房产设施、山林农地等各类集体资源资产，充分利用农村各项改革成果，积极开辟以资产租赁、土地入股、企业股份、农业综合开发、生产服务等多种渠道，推动村级集体经济抱团发展，通过“村社联合”“村企联合”“村村联合”等方式，实施稳定增加集体收入的经营性项目和新经济业态。</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66" w:name="_Toc60257871"/>
      <w:bookmarkStart w:id="67" w:name="_Toc62376968"/>
      <w:r>
        <w:rPr>
          <w:rFonts w:ascii="Times New Roman" w:hAnsi="Times New Roman" w:eastAsia="方正楷体_GBK"/>
          <w:b w:val="0"/>
          <w:snapToGrid w:val="0"/>
          <w:kern w:val="0"/>
        </w:rPr>
        <w:t>（五）统筹城乡社会保障体系</w:t>
      </w:r>
      <w:bookmarkEnd w:id="66"/>
      <w:bookmarkEnd w:id="67"/>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sz w:val="32"/>
          <w:szCs w:val="32"/>
        </w:rPr>
        <w:t>突出新型农村合作医疗保险、城乡居民基本养老保险、农村最低生活保障、被征地农民社会保障等对农民共享幸福生活的保障作用。</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构建城乡一体的社会保障体系，统筹完善城乡居民基本养老保险和基本医疗保险制度。</w:t>
      </w:r>
      <w:r>
        <w:rPr>
          <w:rFonts w:ascii="Times New Roman" w:hAnsi="Times New Roman" w:eastAsia="方正仿宋_GBK"/>
          <w:sz w:val="32"/>
          <w:szCs w:val="32"/>
        </w:rPr>
        <w:t>提高城乡居民养老保险待遇水平，实施城乡居民基本养老保险待遇确定和基础养老金正常调整两项机制，落实被征地农民参保政策，强化被征地农民刚性进保、即征即保。</w:t>
      </w:r>
      <w:r>
        <w:rPr>
          <w:rFonts w:ascii="Times New Roman" w:hAnsi="Times New Roman" w:eastAsia="方正仿宋_GBK"/>
          <w:bCs/>
          <w:snapToGrid w:val="0"/>
          <w:kern w:val="0"/>
          <w:sz w:val="32"/>
          <w:szCs w:val="32"/>
        </w:rPr>
        <w:t>健全统一的城乡居民基本医疗保险制度和大病保险制度，完善医疗救助政策，加强与基本医疗保险、城乡居民大病保险及相关保障制度的协同衔接，自2022年起，实现城乡居民医保市级统筹，城乡居民医保政策范围内住院费用报销比例达70%以上。健全城乡低保制度、特困人员供养、残疾人救助、“三留守”人员关爱等分类保障制度，提升托底保障能力和服务质量。构建社会保障基层服务平台和网上公共服务平台。</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r>
        <w:rPr>
          <w:rFonts w:ascii="Times New Roman" w:hAnsi="Times New Roman" w:eastAsia="方正楷体_GBK"/>
          <w:b w:val="0"/>
          <w:snapToGrid w:val="0"/>
          <w:kern w:val="0"/>
        </w:rPr>
        <w:t>（六）持续加强富民强村帮促</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坚持“四不摘”促增收。严格落实</w:t>
      </w:r>
      <w:r>
        <w:rPr>
          <w:rFonts w:hint="eastAsia" w:ascii="Times New Roman" w:hAnsi="Times New Roman" w:eastAsia="方正仿宋_GBK"/>
          <w:bCs/>
          <w:snapToGrid w:val="0"/>
          <w:kern w:val="0"/>
          <w:sz w:val="32"/>
          <w:szCs w:val="32"/>
          <w:lang w:val="en-US" w:eastAsia="zh-CN"/>
        </w:rPr>
        <w:t>习近平</w:t>
      </w:r>
      <w:bookmarkStart w:id="116" w:name="_GoBack"/>
      <w:bookmarkEnd w:id="116"/>
      <w:r>
        <w:rPr>
          <w:rFonts w:ascii="Times New Roman" w:hAnsi="Times New Roman" w:eastAsia="方正仿宋_GBK"/>
          <w:bCs/>
          <w:snapToGrid w:val="0"/>
          <w:kern w:val="0"/>
          <w:sz w:val="32"/>
          <w:szCs w:val="32"/>
        </w:rPr>
        <w:t>总书记“摘帽不摘责任、摘帽不摘政策、摘帽不摘帮扶、摘帽不摘监管”的要求，延续相关的支持政策，在乡村振兴的战略框架下，推进巩固脱贫成果的工作，确保工作、政策的延续性和稳定性。对原农村建档立卡低收入人口进行信息比对，充分考虑这部分人口的实际情况，将符合条件的纳入农村低收入人口，做到应纳尽纳。</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开展低收入农户增收行动。实施帮扶工作责任制，因户因人精准施策，增强困难群众自我发展能力。进一步加大农村公益性岗位开发力度，</w:t>
      </w:r>
      <w:r>
        <w:rPr>
          <w:rFonts w:ascii="Times New Roman" w:hAnsi="Times New Roman" w:eastAsia="方正仿宋_GBK"/>
          <w:snapToGrid w:val="0"/>
          <w:kern w:val="0"/>
          <w:sz w:val="32"/>
          <w:szCs w:val="32"/>
        </w:rPr>
        <w:t>落实公益性岗位补贴政策，对农村就业困难人员实行托底安置，实现就近就业。探索生态补偿扶贫，探索开展生态产品价值核算，鼓励建立生态产品价值实现机制，推动重点发展区向生态保护区提供经济补偿。</w:t>
      </w:r>
    </w:p>
    <w:p>
      <w:pPr>
        <w:overflowPunct w:val="0"/>
        <w:autoSpaceDE w:val="0"/>
        <w:autoSpaceDN w:val="0"/>
        <w:adjustRightInd w:val="0"/>
        <w:snapToGrid w:val="0"/>
        <w:spacing w:line="570" w:lineRule="exact"/>
        <w:ind w:firstLine="641"/>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建立健全帮扶机制。开展农村低收入人口认定，重点关注因病因灾因意外事故等刚性支出较大或收入大幅缩减情况，将符合条件的农村低收入人口，精准纳入最低生活保障、特困人员供养等政策保障范围，及时给予救助。在完善低保家庭、特困人员救助政策措施基础上，进一步细化低保边缘家庭和支出型困难家庭救助政策措施。建立健全解决相对贫困长效帮扶机制，组织实施新一轮茅山老区乡村振兴帮促行动。</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68" w:name="_Toc62376970"/>
      <w:bookmarkStart w:id="69" w:name="_Toc60257873"/>
      <w:r>
        <w:rPr>
          <w:rFonts w:ascii="Times New Roman" w:hAnsi="Times New Roman" w:eastAsia="方正楷体_GBK"/>
          <w:b w:val="0"/>
          <w:snapToGrid w:val="0"/>
          <w:kern w:val="0"/>
        </w:rPr>
        <w:t>（七）提升农民精神面貌</w:t>
      </w:r>
      <w:bookmarkEnd w:id="68"/>
      <w:bookmarkEnd w:id="69"/>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深入实施乡风文明提升工程，推进移风易俗行动，因地制宜培植乡村文化，广泛开展群众文化活动，持续办好农民丰收节，全面改善农民精神面貌。</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强乡村文化服务供给。加强政府购买公共文化服务，推动群众喜闻乐见、内容雅俗共赏、主题健康向上的文艺演出进村下乡，推行“订单式”“莱单式”服务。开发服务乡村的特色数字文化服务，提高数字文化资源对农村地区的供给。充分发挥戏曲在传承中华优秀传统文化、丰富群众精神文化生活、提升基层公共文化服务水平中的积极作用，把戏曲进乡村纳入公共文化服务体系建设。深化乡村学校少年宫建设，办好乡村“复兴少年宫”。关心留守儿童、困难群众及各种特殊人群，组织开展科普、健康讲座、亲子阅读等各类活动。</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提升乡村文化供给品质。完善乡村文化服务设施，全面落实乡村基本公共文化服务功能配置标准，推进城乡基本公共文化服务均等化。健全乡村公共文化服务体系，建设基层综合性文化服务中心，开展乡镇综合文化站星级评定，提升乡镇公共文化管理和服务效能。完善基层图书馆布局，推进农家书屋建设，打造书香乡村。推广实施“一卡通”工程，稳步推进农家书屋数字化建设。</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丰富村民文化活动体验。根据农村生产生活实际，精选一批为农村群众量身订制的文化活动，举办乡村文化节，吸引广大农民群众积极参与，丰富精神文化生活。深入挖掘乡村节日文化内涵，拓展内容形式，创新活动方式，让群众在广泛参与中丰富文化体验、感悟文化精髓。组织开展文化体育活动，激发群众健身热情，充实人民群众业余文化体育生活。</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全面建设新时代文明实践中心。按“以全县域为整体、县镇村三级为单元”一体化推进的要求，深化新时代文明实践中心建设，以点带面、城乡联动，推动所有辖市（区）全面建成中心、所、站，建好用好理论宣讲、教育服务、文化服务、科技与科普服务、健康促进与体育服务“五大平台”，建设三级联动智慧云平台，促进各类资源激活、整合、下沉、共享。落实县镇村三级党组织书记“重点任务清单”，实施党政主要负责同志专题述职、联席会议等制度。深化文明村镇创建，实施乡风文明提升工程，持续开展农村人居环境整治，深入推进移风易俗，开展爱国卫生运动，推行垃圾分类，开展“反对浪费、崇尚节约”文明行动，破除陈规陋习，坚持自治、法治、德治相结合，开展封建迷信、厚葬薄养、高额彩礼、黄赌毒、非法宗教等专项整治，提升农村精神文明建设水平。</w:t>
      </w:r>
    </w:p>
    <w:p>
      <w:pPr>
        <w:overflowPunct w:val="0"/>
        <w:autoSpaceDE w:val="0"/>
        <w:autoSpaceDN w:val="0"/>
        <w:adjustRightInd w:val="0"/>
        <w:snapToGrid w:val="0"/>
        <w:spacing w:line="570" w:lineRule="exact"/>
        <w:ind w:firstLine="641"/>
        <w:rPr>
          <w:rFonts w:ascii="Times New Roman" w:hAnsi="Times New Roman" w:eastAsia="仿宋_GB2312"/>
          <w:snapToGrid w:val="0"/>
          <w:kern w:val="0"/>
          <w:sz w:val="32"/>
          <w:szCs w:val="32"/>
        </w:rPr>
      </w:pPr>
      <w:r>
        <w:rPr>
          <w:rFonts w:ascii="Times New Roman" w:hAnsi="Times New Roman" w:eastAsia="方正仿宋_GBK"/>
          <w:snapToGrid w:val="0"/>
          <w:kern w:val="0"/>
          <w:sz w:val="32"/>
          <w:szCs w:val="32"/>
        </w:rPr>
        <w:t>提升乡村文化队伍建设。构建完善的乡村文化人才提升机制，定期选派人员到高校或乡村文化工作示范点参加培训与学习，学习先进的乡村文化宣传方式、人才培养和管理模式。充分利用现代化网络技术，定期开展网络培训与教育，拓展工作思路，增强乡村文化工作人员的自主创新能力。多种渠道扩充人才，每个村（社区）设立不少于l个文化公益岗位。</w:t>
      </w:r>
    </w:p>
    <w:p>
      <w:pPr>
        <w:widowControl/>
        <w:adjustRightInd w:val="0"/>
        <w:snapToGrid w:val="0"/>
        <w:spacing w:line="570" w:lineRule="exact"/>
        <w:jc w:val="center"/>
        <w:rPr>
          <w:rFonts w:hint="eastAsia" w:ascii="方正小标宋_GBK" w:hAnsi="Times New Roman" w:eastAsia="方正小标宋_GBK"/>
        </w:rPr>
      </w:pPr>
      <w:bookmarkStart w:id="70" w:name="_Toc60257874"/>
      <w:bookmarkStart w:id="71" w:name="_Toc62376971"/>
      <w:r>
        <w:rPr>
          <w:rFonts w:ascii="Times New Roman" w:hAnsi="Times New Roman" w:eastAsia="方正小标宋简体"/>
          <w:b/>
        </w:rPr>
        <w:br w:type="page"/>
      </w:r>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rPr>
      </w:pPr>
      <w:r>
        <w:rPr>
          <w:rFonts w:hint="eastAsia" w:ascii="方正小标宋_GBK" w:hAnsi="Times New Roman" w:eastAsia="方正小标宋_GBK"/>
          <w:b w:val="0"/>
        </w:rPr>
        <w:t>七、不断创新农业农村发展体制机制</w:t>
      </w:r>
      <w:bookmarkEnd w:id="70"/>
      <w:bookmarkEnd w:id="71"/>
    </w:p>
    <w:p>
      <w:pPr>
        <w:overflowPunct w:val="0"/>
        <w:adjustRightInd w:val="0"/>
        <w:snapToGrid w:val="0"/>
        <w:spacing w:line="570" w:lineRule="exact"/>
        <w:jc w:val="center"/>
        <w:rPr>
          <w:rFonts w:hint="eastAsia" w:ascii="方正小标宋_GBK" w:hAnsi="Times New Roman" w:eastAsia="方正小标宋_GBK"/>
          <w:sz w:val="44"/>
          <w:szCs w:val="44"/>
        </w:rPr>
      </w:pPr>
    </w:p>
    <w:p>
      <w:pPr>
        <w:tabs>
          <w:tab w:val="left" w:pos="1221"/>
          <w:tab w:val="left" w:pos="1274"/>
        </w:tabs>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推动城乡融合发展见实效，健全城乡融合发展体制机制。深化农村改革，加快推进农村重点领域和关键环节改革，激发农村资源要素活力，完善农业支持保护制度，尊重基层和群众创造，推动改革不断取得新突破。</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72" w:name="_Toc60257875"/>
      <w:bookmarkStart w:id="73" w:name="_Toc62376972"/>
      <w:r>
        <w:rPr>
          <w:rFonts w:ascii="Times New Roman" w:hAnsi="Times New Roman" w:eastAsia="方正楷体_GBK"/>
          <w:b w:val="0"/>
          <w:snapToGrid w:val="0"/>
          <w:kern w:val="0"/>
        </w:rPr>
        <w:t>（一）建立和完善农业农村优先发展的体制机制</w:t>
      </w:r>
      <w:bookmarkEnd w:id="72"/>
      <w:bookmarkEnd w:id="73"/>
    </w:p>
    <w:p>
      <w:pPr>
        <w:tabs>
          <w:tab w:val="left" w:pos="1221"/>
          <w:tab w:val="left" w:pos="1274"/>
        </w:tabs>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坚持农业农村优先发展，树立以“四个优先”为核心的政策导向，真正做到在干部配备上优先考虑，在要素配置上优先满足，在公共财政投入上优先保障，在公共服务上优先安排，建立健全优先发展的体制机制和政策体系，推动形成工农互促、城乡互补、协调发展、共同繁荣的新型工农城乡关系</w:t>
      </w:r>
    </w:p>
    <w:p>
      <w:pPr>
        <w:tabs>
          <w:tab w:val="left" w:pos="1221"/>
          <w:tab w:val="left" w:pos="1274"/>
        </w:tabs>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在干部配备上优先考虑。懂农业、爱农村、爱农民的农业农村干部是推进农业农村现代化的主力军，适应乡村振兴新任务新要求，要进一步选优配强这支战斗队。加强对“三农”干部的培养、配备、管理和使用，把优秀干部特别是年轻干部充实到农业农村战线，把精锐力量充实到基层一线，把到农民中间开展工作作为锻炼干部的重要途径，注重选拔熟悉“三农”工作的干部充实地方各级党政班子。</w:t>
      </w:r>
    </w:p>
    <w:p>
      <w:pPr>
        <w:tabs>
          <w:tab w:val="left" w:pos="1221"/>
          <w:tab w:val="left" w:pos="1274"/>
        </w:tabs>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在要素配置上优先满足。破除妨碍城乡要素自由流动、平等交换的体制机制壁垒，积极探索城乡要素自由流动、优先满足乡村发展需要的政策创设，推动资金、管理、技术、知识、人才等要素向农村流动，为农业农村发展强筋健骨、输血造血，不断激发乡村发展的内生动力。</w:t>
      </w:r>
    </w:p>
    <w:p>
      <w:pPr>
        <w:tabs>
          <w:tab w:val="left" w:pos="1221"/>
          <w:tab w:val="left" w:pos="1274"/>
        </w:tabs>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在资金投入上优先保障。将“三农”公共财政的政策目标进行优先考量、政策体系进行优先设计，把农业农村作为财政优先保障领域和金融优先服务领域，公共财政更大力度向“三农”倾斜。地方政府债券资金要安排一定比例用于支持农村人居环境整治、村庄基础设施建设等重点领域。</w:t>
      </w:r>
    </w:p>
    <w:p>
      <w:pPr>
        <w:tabs>
          <w:tab w:val="left" w:pos="1221"/>
          <w:tab w:val="left" w:pos="1274"/>
        </w:tabs>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在公共服务上优先安排。推进城乡基本公共服务标准统一、制度并轨，实现从形式上的普惠向实质上的公平转变。在服务体系建设上，优先考虑农村农民需要，拿出实实在在的政策“大礼包”和常态化、制度化、法律化的综合方案，从规划、政策、投入、项目等各方面重视农村、倾向农民，全面提升农村公共服务水平。</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74" w:name="_Toc62376973"/>
      <w:bookmarkStart w:id="75" w:name="_Toc60257876"/>
      <w:r>
        <w:rPr>
          <w:rFonts w:ascii="Times New Roman" w:hAnsi="Times New Roman" w:eastAsia="方正楷体_GBK"/>
          <w:b w:val="0"/>
          <w:snapToGrid w:val="0"/>
          <w:kern w:val="0"/>
        </w:rPr>
        <w:t>（二）创新优化土地资源配置</w:t>
      </w:r>
      <w:bookmarkEnd w:id="74"/>
      <w:bookmarkEnd w:id="75"/>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土地是农村最重要的要素，要继续深化农村土地制度改革，积极探索放活的有效路径，激活乡村沉睡的资产、盘活乡村闲置的资源，提高配置效率。完善农村承包地“三权分置”制度，健全经营权流转市场运行机制。</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科学编制实施“多规合一”的村庄规划。强化规划引领，分区分类组织村庄规划的编制与实施，确保农村居民户有所居、户有宜居。对于城郊融合类村庄，结合工业化、城镇化和村庄自身发展需要，加快推进城乡产业融合发展，基础设施互联互通，公共服务共建共享；对于集聚提升类村庄、特色保护类村庄，结合生态保护红线、永久基本农田划定等要求，合理确定村庄形态，优化农村生产、生活、生态空间；对于搬迁撤并类村庄，结合农村土地综合整治、城乡建设用地增减挂钩项目，加快推进所涉及农户的搬迁安置，推进“五优农居”示范工程建设。科学引导镇村住房建设，不断改善农村住房条件与人居环境。编制《农民住房设</w:t>
      </w:r>
      <w:r>
        <w:rPr>
          <w:rFonts w:ascii="Times New Roman" w:hAnsi="Times New Roman" w:eastAsia="方正仿宋_GBK"/>
          <w:snapToGrid w:val="0"/>
          <w:spacing w:val="-6"/>
          <w:kern w:val="0"/>
          <w:sz w:val="32"/>
          <w:szCs w:val="32"/>
        </w:rPr>
        <w:t>计导则》，对村庄内部的道路、公共空间、配套设施、建筑风貌、建筑单体设计要点等作出明确规定，并对农房建设进行规范引导。</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深入实施农村土地资源统筹配置，依法推进集体经营性建设用地入市改革，着力抓好试点地区闲置宅基地、农房盘活利用等改革。加大农业农村用地支持力度，</w:t>
      </w:r>
      <w:r>
        <w:rPr>
          <w:rFonts w:ascii="Times New Roman" w:hAnsi="Times New Roman" w:eastAsia="方正仿宋_GBK"/>
          <w:snapToGrid w:val="0"/>
          <w:kern w:val="0"/>
          <w:sz w:val="32"/>
          <w:szCs w:val="32"/>
          <w:shd w:val="clear" w:color="auto" w:fill="FFFFFF"/>
        </w:rPr>
        <w:t>市、辖市（区）每年单列不低于5%的新增建设用地计划支持农村一二三产业融合发展，做好设施农业用地保障需求</w:t>
      </w:r>
      <w:r>
        <w:rPr>
          <w:rFonts w:ascii="Times New Roman" w:hAnsi="Times New Roman" w:eastAsia="方正仿宋_GBK"/>
          <w:snapToGrid w:val="0"/>
          <w:kern w:val="0"/>
          <w:sz w:val="32"/>
          <w:szCs w:val="32"/>
        </w:rPr>
        <w:t>。建立城乡统一的建设用地市场，加快破解农村建设用地自己“用不了、用不好”的困局；基本完成房地一体的宅基地确权，探索宅基地“三权分置”；探索将村庄整治、宅基地整理等节约的建设用地或农房，以入股、联营、出租等方</w:t>
      </w:r>
      <w:r>
        <w:rPr>
          <w:rFonts w:ascii="Times New Roman" w:hAnsi="Times New Roman" w:eastAsia="方正仿宋_GBK"/>
          <w:snapToGrid w:val="0"/>
          <w:spacing w:val="-6"/>
          <w:kern w:val="0"/>
          <w:sz w:val="32"/>
          <w:szCs w:val="32"/>
        </w:rPr>
        <w:t>式，发展乡村休闲旅游养老等产业和农村三产融合项目。有序有效释放土地红利，让土地资源活化起来，持续为乡村振兴累积动能。</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探索多元化的宅基地退出模式。多渠道开辟宅基地退出补偿资金来源，探索“拆迁安置”“指标置换”“资产置换”“货币补偿”等多种宅基地退出模式，为农户提供多种选择，并积极培育宅基地流转市场。通过经营性建设用地入市和宅基地有偿使用，聚集宅基地退出所需补偿资金。</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因地制宜选择闲置宅基地和农房盘活方式。统筹考虑村庄的资源禀赋、区位条件和产业发展基础，在城市郊区，重点通过宅基地使用权租赁、作价入股等方式发展二三产业；在农村腹地，与村庄布局重构、城乡建设用地增减挂钩等结合，开展宅基地整理复垦、置换与退出；在旅游资源丰富的地区，通过宅基地使用权租赁、入股、退出等方式，重点发展休闲农业、乡村旅游、文化创意等产业。积极引导集体经济组织、农民个体、企业和社会组织有序参与闲置宅基地和农房盘活利用。鼓励有一定经济实力的农村集体经济组织与相关机构合作，对闲置宅基地和闲置农房统一收储利用。</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76" w:name="_Toc62376974"/>
      <w:bookmarkStart w:id="77" w:name="_Toc60257877"/>
      <w:r>
        <w:rPr>
          <w:rFonts w:ascii="Times New Roman" w:hAnsi="Times New Roman" w:eastAsia="方正楷体_GBK"/>
          <w:b w:val="0"/>
          <w:snapToGrid w:val="0"/>
          <w:kern w:val="0"/>
        </w:rPr>
        <w:t>（三）创新优化财政金融支持</w:t>
      </w:r>
      <w:bookmarkEnd w:id="76"/>
      <w:bookmarkEnd w:id="77"/>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巩固完善具有常州特色的财政、基金、银行、保险、担保“五位一体”的财政金融协同支农机制和多元投入保障制度。加大财政“三农”资金的投入，加强涉农资金统筹整合，优化涉农基金运作管理，扩大涉农金融业务的范围和规模，推进政策性农业保险增品、扩面、提标，支持保险机构创新地方特色险种，广泛引导社会资本、工商资本深度参与农业农村现代化。</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不断拓宽“三农”投入渠道，完善多元投入保障机制。保持“三农”投入稳定增长，确保财政投入与推进乡村振兴任务相适应。抓好提高土地出让收益用于农业农村比例的政策落实，制定出台实施办法，发挥资金整体优势，更好用于乡村建设关键领域。建立地方多投入市级多补助、社会资本多投入财政多支持机制。</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不断完善涉农资金统筹整合长效机制。认真贯彻落实常州市关于探索建立涉农资金统筹整合长效机制的意见，进一步推动实施“大专项+任务清单”管理模式，切实运用好资金统筹整合权限，构建形成权责匹配、相互协调、上下联动、步调一致的涉农资金统筹整合长效机制。利用互联网、大数据等信息化手段，探索建立涉农资金管理领域的大数据管理平台，推动农口部门政务数据与涉农部门数据、社会数据、互联网数据等关联分析和融合利用，进一步提高涉农资金统筹整合效率，拓展涉农资金整合范围，实行“互联网+监管”新模式。</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进一步提高资金使用效益。建立健全涉农资金全过程绩效管理机制，推进绩效管理与预算编制、执行、监督有机融合，将预算绩效管理职责落实到资金使用终端，对重大项目责任人实行绩效终身责任追究制。坚持目标导向、问题导向、结果导向，强化激励约束，不断提升涉农资金配置效率和使用效益。</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更好发挥政府投资基金的引导作用。坚持政策定位和目标导向，发挥财政资金杠杆和引导作用，积极带动金融和社会资本服务乡村振兴。着力提升政府投资基金的使用效能，继续完善基金内部治理结构，在项目储备上下好绣花功夫，完善项目库，加快基金投资进度，提高基金运作效率，减少资金闲置。加强风险防范，对基金投资项目偏离目标领域、达不到预期效果、投资进度缓慢或资金长期闲置的，要及时纠正或退出。加强信息披露，实现内外监督，把风险防控做实做细，提高财政出资效益，促进基金有序运行。</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充分发挥政策性农业信贷担保主力军作用。始终坚持为农惠农的政策性定位，出“实招”着力解决农业融资难、融资贵、融资慢问题，努力扩大业务规模和覆盖面，充分发挥农担风险资金池引导效应，撬动金融资本不断涌入支持乡村振兴的广阔“田野”。充分发挥财政金融协同支农的政策性平台功能，促进农担服务与我市农业、财政、金融相关政策的协同，发挥政策合力及叠加效用，聚集各方资源要素促进我市乡村振兴战略顺利实施。</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快农业保险高质量发展。推进政策性农业保险改革试点，在增强农业保险产品内在吸引力的基础上，稳步扩大粮食等重要保供农产品保险覆盖面，提高小农户农业保险投保率。优化调整三大主粮和油菜基础保险保费财政补贴政策，探索建立享受农业财政奖补政策与参与农业保险联动机制。因地制宜开展优势特色农产品保险，逐步提高其占农业保险的比重。建立农业保险保障水平动态调整机制，推动农业保险“保价格、保收入”，防范自然灾害和市场变动双重风险。稳妥有序推进收入保险，促进农户收入稳定。探索构建涵盖财政补贴基本险、商业险和附加险等的农业保险产品体系，探索开展一揽子综合险，将农机大棚、农房仓库等农业生产设施设备纳入保障范围。开发满足新型农业经营主体需求的保险产品。创新开展环境污染责任险、农产品质量险。推进农业保险与信贷、担保、期货（权）等金融工具联动，扩大“保险+期货”试点，探索“订单农业+保险+期货（权）”试点。</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积极引导鼓励社会资本投资农业农村。综合运用财政、土地、金融、税收等政策手段，发挥政策综合效应，创新政策落实路径，加快构建支持社会资本投入乡村振兴的政策体系。全面加强政府服务农业农村领域项目平台建设，为社会资本投资乡村振兴提供项目信息、规划、融资、建设、运营等一揽子服务，提高社会资本投资效率，降低社会资本投资风险。积极探索农业重点领域投融资新机制新模式，建立社会资本投入乡村振兴“负面清单”制度。深入推进“万企联万村共走振兴路”行动，鼓励引导企业、商会、协会等社会力量投身乡村振兴，推动村企要素互换、共同发展。加大农业农村项目和投资招引力度，推动更多的农业农村重大项目加快落地实施。</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78" w:name="_Toc62376975"/>
      <w:bookmarkStart w:id="79" w:name="_Toc60257878"/>
      <w:r>
        <w:rPr>
          <w:rFonts w:ascii="Times New Roman" w:hAnsi="Times New Roman" w:eastAsia="方正楷体_GBK"/>
          <w:b w:val="0"/>
          <w:snapToGrid w:val="0"/>
          <w:kern w:val="0"/>
        </w:rPr>
        <w:t>（四）创新乡村人才培育引进使用机制</w:t>
      </w:r>
      <w:bookmarkEnd w:id="78"/>
      <w:bookmarkEnd w:id="79"/>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实现农业农村现代化，人才支撑是关键。充分利用现有各种措施、制度和意见，深入推进农业农村人才发展体制机制改革，</w:t>
      </w:r>
      <w:r>
        <w:rPr>
          <w:rFonts w:ascii="Times New Roman" w:hAnsi="Times New Roman" w:eastAsia="方正仿宋_GBK"/>
          <w:snapToGrid w:val="0"/>
          <w:spacing w:val="-6"/>
          <w:kern w:val="0"/>
          <w:sz w:val="32"/>
          <w:szCs w:val="32"/>
        </w:rPr>
        <w:t>健全完善乡村人才引进、培养、评价、激励、流动等机制，构建政府扶持、面向市场、多元化的乡村人才体系，大力推进人才强农。</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完善立体多元的人才培养机制。深化实施“百名现代农业精英人才培养计划”“龙城英才农业乡土人才选拔培养计划”等，进一步加强对“土专家”“田秀才”的选拔、培养和使用。健全以高素质农民为主体的乡村实用人才培养支持机制，组织实施新型职业农民培育工程，做好高职扩招等培养高素质农民工作，就地培养爱农业、懂技术、善经营的新型职业农民。完善农村实用人才带头人示范培训机制，充分挖掘农村中有胆识、有魄力的乡贤能人，使其成为乡村发展的“领头雁”。完善多方参与的“订单”式人才培养体系，大力推行“学历+技能+创业”立体化培育模式。</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构建积极开放的人才引进机制。定期评估乡村人才需求，加强人才引进的总体设计，实现精准引才。统筹整合各方面的资源与政策，吸引高水平的人才团队和领军人才投身乡村振兴中，充分发挥人才团队的整体效能。注重柔性引才，通过兼职、挂职、入股合作、担任荣誉职务方式，引进一批乡村规划师、科技带头人、职业经理人、“乡村工匠”等急需紧缺人才。积极引导农业科技人员、大中专院校毕业生、“农二代”、企业家、退役军人等新群体返乡创业。</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创新精准科学的人才评价机制。建立完善乡村人才分类评价体系，根据乡村不同工作领域分类设置评价标准，注重考察岗位工作绩效、实际贡献度。建立乡村人才职称评审机制，创新“以赛代评”“以项目代评”“学分银行”等方式，推动形成各类乡村人才职业素养水平同技能等级、职称资格相挂钩机制。建立乡村人才职业技能等级认定制度，开展乡土技能人才技师和高级技师直接认定。乡村人才服务乡村期限视为基层工作经历，可作为职称评审、岗位聘用的依据。</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实施灵活有效的人才激励机制。建立科技成果入乡转化机制，综合实施农技人员岗位扩招、提升培训、离岗创业、农业科研成果权益分配等制度，激发农业科技人员新动能。建立有利于涉农科研成果转化推广的激励机制与利益分享机制，健全涉农技术创新市场导向机制和产学研用合作机制，支持创建技术转移机构和技术服务网络，探索农业科技人员到乡村、涉农企业离岗创业、技术入股、兼职兼薪等。完善公益性和经营性农技推广融合发展机制，允许农技人员通过提供增值服务合理取酬。要为留在</w:t>
      </w:r>
      <w:r>
        <w:rPr>
          <w:rFonts w:ascii="Times New Roman" w:hAnsi="Times New Roman" w:eastAsia="方正仿宋_GBK"/>
          <w:snapToGrid w:val="0"/>
          <w:spacing w:val="-6"/>
          <w:kern w:val="0"/>
          <w:sz w:val="32"/>
          <w:szCs w:val="32"/>
        </w:rPr>
        <w:t>农村的青年人创造发展的基本条件，提供医疗、养老等社会保障，要从税收政策和奖励机制上鼓励企业和各类人才参与农村发展等。</w:t>
      </w:r>
    </w:p>
    <w:p>
      <w:pPr>
        <w:overflowPunct w:val="0"/>
        <w:autoSpaceDE w:val="0"/>
        <w:autoSpaceDN w:val="0"/>
        <w:adjustRightInd w:val="0"/>
        <w:snapToGrid w:val="0"/>
        <w:spacing w:line="570" w:lineRule="exact"/>
        <w:ind w:firstLine="641"/>
        <w:rPr>
          <w:rFonts w:ascii="Times New Roman" w:hAnsi="Times New Roman" w:eastAsia="仿宋_GB2312"/>
          <w:snapToGrid w:val="0"/>
          <w:kern w:val="0"/>
          <w:sz w:val="32"/>
          <w:szCs w:val="32"/>
        </w:rPr>
      </w:pPr>
      <w:r>
        <w:rPr>
          <w:rFonts w:ascii="Times New Roman" w:hAnsi="Times New Roman" w:eastAsia="方正仿宋_GBK"/>
          <w:snapToGrid w:val="0"/>
          <w:kern w:val="0"/>
          <w:sz w:val="32"/>
          <w:szCs w:val="32"/>
        </w:rPr>
        <w:t>建立城乡融合的人才流动机制。建立城乡人才合作交流机制，打破人才的编制壁垒、行业壁垒，探索通过岗编适度分离、农村集体经济组织人才加入等方式，建立城市人才、乡村人才融合发展的双向流动机制。建立城市人才定期服务乡村的机制，鼓励引导规划师、建筑师、教师、医生下乡服务锻炼，促进城乡人才交流共享。支持选拔一批乡村产业、乡村治理领军人才受聘到高校兼职从事教学科研，推动高校和地方人才相互兼职、交流共享，形成人才城乡环流态势，发挥人才的集聚效应。吸引支持专家学者、成功企业家、党政干部及技能人才等流向农村，成为乡村的补充性建设力量。</w:t>
      </w:r>
    </w:p>
    <w:p>
      <w:pPr>
        <w:widowControl/>
        <w:adjustRightInd w:val="0"/>
        <w:snapToGrid w:val="0"/>
        <w:spacing w:line="570" w:lineRule="exact"/>
        <w:jc w:val="center"/>
        <w:rPr>
          <w:rFonts w:hint="eastAsia" w:ascii="方正小标宋_GBK" w:hAnsi="Times New Roman" w:eastAsia="方正小标宋_GBK"/>
          <w:b/>
        </w:rPr>
      </w:pPr>
      <w:r>
        <w:rPr>
          <w:rFonts w:ascii="Times New Roman" w:hAnsi="Times New Roman" w:eastAsia="仿宋_GB2312"/>
          <w:snapToGrid w:val="0"/>
          <w:kern w:val="0"/>
          <w:sz w:val="32"/>
          <w:szCs w:val="32"/>
        </w:rPr>
        <w:br w:type="page"/>
      </w:r>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rPr>
      </w:pPr>
      <w:bookmarkStart w:id="80" w:name="_Toc60257879"/>
      <w:bookmarkStart w:id="81" w:name="_Toc62376976"/>
      <w:r>
        <w:rPr>
          <w:rFonts w:hint="eastAsia" w:ascii="方正小标宋_GBK" w:hAnsi="Times New Roman" w:eastAsia="方正小标宋_GBK"/>
          <w:b w:val="0"/>
        </w:rPr>
        <w:t>八、高质量实施十大重点工程</w:t>
      </w:r>
      <w:bookmarkEnd w:id="80"/>
      <w:bookmarkEnd w:id="81"/>
    </w:p>
    <w:p>
      <w:pPr>
        <w:overflowPunct w:val="0"/>
        <w:adjustRightInd w:val="0"/>
        <w:snapToGrid w:val="0"/>
        <w:spacing w:line="570" w:lineRule="exact"/>
        <w:jc w:val="center"/>
        <w:rPr>
          <w:rFonts w:hint="eastAsia" w:ascii="方正小标宋_GBK" w:hAnsi="Times New Roman" w:eastAsia="方正小标宋_GBK"/>
          <w:sz w:val="44"/>
          <w:szCs w:val="44"/>
        </w:rPr>
      </w:pP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82" w:name="_Toc60257880"/>
      <w:bookmarkStart w:id="83" w:name="_Toc62376977"/>
      <w:r>
        <w:rPr>
          <w:rFonts w:ascii="Times New Roman" w:hAnsi="Times New Roman" w:eastAsia="方正楷体_GBK"/>
          <w:b w:val="0"/>
          <w:snapToGrid w:val="0"/>
          <w:kern w:val="0"/>
        </w:rPr>
        <w:t>（一）现代农业“310”提升工程</w:t>
      </w:r>
      <w:bookmarkEnd w:id="82"/>
      <w:bookmarkEnd w:id="83"/>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聚焦现代农业园区高质量发展，突出产业强园、科技兴园、生态立园、创新活园，全面提升现代农业产业园区（示范园）建设水平。重点推动农业龙头企业实施股份制改革，加快构建现代企业制度，拓宽融资渠道，借力资本市场做大做强，打造一批具有核心竞争力的股改上市农业企业。按照“整合资源、集中力量、强化培育、扶优扶强”的原则，着力打造一批品质优良、产品竞争力强、市场美誉度高的“常”字号农产品知名品牌。</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到2025年，努力新增1个国家现代农业产业示范园、3个以上省现代农业产业示范园，建成10个以上高水平的现代农业产业园区（示范园），培育股改上市和新三板挂牌企业10家以上，十大农产品品牌知名度显著提升，为全市农业园区建设、龙头企业和产品品牌发展树立新标杆，引领全市现代农业高质高效发展。</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84" w:name="_Toc60257881"/>
      <w:bookmarkStart w:id="85" w:name="_Toc62376978"/>
      <w:r>
        <w:rPr>
          <w:rFonts w:ascii="Times New Roman" w:hAnsi="Times New Roman" w:eastAsia="方正楷体_GBK"/>
          <w:b w:val="0"/>
          <w:snapToGrid w:val="0"/>
          <w:kern w:val="0"/>
        </w:rPr>
        <w:t>（二）新型经营主体培优育强工程</w:t>
      </w:r>
      <w:bookmarkEnd w:id="84"/>
      <w:bookmarkEnd w:id="85"/>
    </w:p>
    <w:p>
      <w:pPr>
        <w:overflowPunct w:val="0"/>
        <w:autoSpaceDE w:val="0"/>
        <w:autoSpaceDN w:val="0"/>
        <w:adjustRightInd w:val="0"/>
        <w:snapToGrid w:val="0"/>
        <w:spacing w:line="570" w:lineRule="exact"/>
        <w:ind w:firstLine="641"/>
        <w:rPr>
          <w:rFonts w:ascii="Times New Roman" w:hAnsi="Times New Roman" w:eastAsia="方正仿宋_GBK"/>
          <w:snapToGrid w:val="0"/>
          <w:spacing w:val="-6"/>
          <w:kern w:val="0"/>
          <w:sz w:val="32"/>
          <w:szCs w:val="32"/>
        </w:rPr>
      </w:pPr>
      <w:r>
        <w:rPr>
          <w:rFonts w:ascii="Times New Roman" w:hAnsi="Times New Roman" w:eastAsia="方正仿宋_GBK"/>
          <w:snapToGrid w:val="0"/>
          <w:spacing w:val="-6"/>
          <w:kern w:val="0"/>
          <w:sz w:val="32"/>
          <w:szCs w:val="32"/>
        </w:rPr>
        <w:t>注重高素质农民和新型农业经营主体培育，实施农民职业技能培育计划，开展家庭农场、农民专业合作社示范提质行动。加快扶持一批管理规范、运营良好、联农带农能力强的农民合作社、家庭农场和农业龙头企业，鼓励引导农业经营主体发展新产业、新业态，创新联农带农的利益联结机制。发展多样化的联合与合作，培育发展一批带农作用突出的农业产业化联合体，引导、带领小农生产进入现代农业发展轨道，增强乡村产业发展的内生动力。</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到2025年，培育专业化、市场化水平高，经济、社会、生态效益好的市级以上示范家庭农场100家以上；打造制度健全、运作正常、管理规范、带动能力强的市级以上农民专业合作示范社100家以上；建设市级以上农业龙头企业150家；鼓励各类新型农业经营主体融合发展，建立形成关联紧密、分工明确、链条完整、利益共享的农业产业化联合体30家左右。</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86" w:name="_Toc62376979"/>
      <w:bookmarkStart w:id="87" w:name="_Toc60257882"/>
      <w:r>
        <w:rPr>
          <w:rFonts w:ascii="Times New Roman" w:hAnsi="Times New Roman" w:eastAsia="方正楷体_GBK"/>
          <w:b w:val="0"/>
          <w:snapToGrid w:val="0"/>
          <w:kern w:val="0"/>
        </w:rPr>
        <w:t>（三）农业物质装备能力提升工程</w:t>
      </w:r>
      <w:bookmarkEnd w:id="86"/>
      <w:bookmarkEnd w:id="87"/>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实行最严格的耕地保护制度，落实耕地保护主体责任和激励机制，严守耕地保护红线，坚决遏制耕地“非农化”，防止“非粮化”，到2025年全市耕地保有量、永久基本农田保护任务不低于国家、省下达目标。全面做好粮食生产功能区和重要农产品生产保护区保护和建设，率先建立健全精准化建设、管理、维护和支持制度。坚持政策引导、政府支持、主体建设的导向，以强化发展基础、改善生产手段、促进提质增效、确保粮食等重要农产品保供为目标，通过集聚相关资源，整合相关资金，以改进农田基础设施、农业生产设施、农机装备设施为重点，推进高标准农田、高标准蔬菜基地、高标准池塘、高标准牧场建设，着力提升农业生产的集约化、设施化、机械化水平。加快完善农产品流通体系，完善农产品市场骨干网络和冷链物流基础设施，提升农产品流通现代化水平。</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到2025年，新建高标准农田10万亩以上，池塘生态化改造占比达到60%以上，农作物耕种收综合机械化率达到87%，其中主要粮食作物耕种收综合机械化率稳定在97%以上，设施农业、畜牧养殖、水产养殖、果茶和农产品初加工机械化率总体达到70%左右。</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88" w:name="_Toc60257883"/>
      <w:bookmarkStart w:id="89" w:name="_Toc62376980"/>
      <w:r>
        <w:rPr>
          <w:rFonts w:ascii="Times New Roman" w:hAnsi="Times New Roman" w:eastAsia="方正楷体_GBK"/>
          <w:b w:val="0"/>
          <w:snapToGrid w:val="0"/>
          <w:kern w:val="0"/>
        </w:rPr>
        <w:t>（四）科技和人才强农工程</w:t>
      </w:r>
      <w:bookmarkEnd w:id="88"/>
      <w:bookmarkEnd w:id="89"/>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完善科研院所、高校、企业等创新主体协同创新机制，建立现代农业产业技术体系、创新联盟、创新基地“三位一体”的创新平台，围绕“节本增效、质量安全、生态安全”三个短板，聚焦现代种业、集约化种养殖、生态循环农业、农产品精深加工、现代农业装备、农业污染防治、智慧农业等，开展科技创新、合作与集成应用，建立全产业链的创新驱动型增长模式。高水平建设常州国家农业科技园、武进水稻研究所和金坛国家农业科技示范综合展示基地等创新基地。引导和支持企业（合作社）开展技术创新，加强农技推广体系建设，深化农科教企联合协作推广，加快推动科技成果下乡，实施一批农业科技计划项目，鼓励开展农业产学研活动，推进农业科技发展重大平台载体建设，培育壮大农业科技服务业。深化实施“百名精英人才培养”“龙城英才乡土人才”“乡土人才三带”等行动计划，统筹推动教育、医卫、文化、科技等领域人才下乡，加强乡村教师、基层医卫人员、农业科技特派员等队伍建设，全面建立乡土人才职称评审制度，健全城乡人才交流共享机制。大力弘扬武进水稻所精神，激励各类人才奉献“三农”。</w:t>
      </w:r>
    </w:p>
    <w:p>
      <w:pPr>
        <w:overflowPunct w:val="0"/>
        <w:autoSpaceDE w:val="0"/>
        <w:autoSpaceDN w:val="0"/>
        <w:adjustRightInd w:val="0"/>
        <w:snapToGrid w:val="0"/>
        <w:spacing w:line="570" w:lineRule="exact"/>
        <w:ind w:firstLine="641"/>
        <w:rPr>
          <w:rFonts w:ascii="Times New Roman" w:hAnsi="Times New Roman" w:eastAsia="方正仿宋_GBK"/>
          <w:snapToGrid w:val="0"/>
          <w:spacing w:val="-6"/>
          <w:kern w:val="0"/>
          <w:sz w:val="32"/>
          <w:szCs w:val="32"/>
        </w:rPr>
      </w:pPr>
      <w:r>
        <w:rPr>
          <w:rFonts w:ascii="Times New Roman" w:hAnsi="Times New Roman" w:eastAsia="方正仿宋_GBK"/>
          <w:snapToGrid w:val="0"/>
          <w:spacing w:val="-6"/>
          <w:kern w:val="0"/>
          <w:sz w:val="32"/>
          <w:szCs w:val="32"/>
        </w:rPr>
        <w:t>到2025年，新增5个以上省级农业产业技术创新战略联盟、现代农业产业技术体系和共性关键技术创新团队、涉农高新技术企业和省级以上农业科技示范展示基地，完善农业科技创新体系、成果转化和推广应用体系，全市农业科技进步贡献率提高至74%以上；新增100名高素质农业农村专业人才、1000名“新农人”“农创客”等创新创业人才和10000名新型职业农民和乡村专业人才。</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90" w:name="_Toc60257884"/>
      <w:bookmarkStart w:id="91" w:name="_Toc62376981"/>
      <w:r>
        <w:rPr>
          <w:rFonts w:ascii="Times New Roman" w:hAnsi="Times New Roman" w:eastAsia="方正楷体_GBK"/>
          <w:b w:val="0"/>
          <w:snapToGrid w:val="0"/>
          <w:kern w:val="0"/>
        </w:rPr>
        <w:t>（五）农业绿色发展工程</w:t>
      </w:r>
      <w:bookmarkEnd w:id="90"/>
      <w:bookmarkEnd w:id="91"/>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积极发展生态农业，推动农业绿色生产。深入开展农业面源污染治理、农用地土壤污染防治、水产养殖尾水治理等，推动农业废弃物基本实现资源化利用，消除农业环境安全隐患。实施化肥农药减量增效行动。创新农业绿色发展的政策体系和技术体系，积极构建绿色农业产业体系、生产体系和经营体系，推进农业绿色服务产业化，实现投入品减量化、生产清洁化、废弃物资源化、产业模式生态化。巩固国家农产品质量安全市的创建成果，优化农产品质量安全管控体系，让绿色优质农产品成为常州乡村产业发展的新名片。</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到2025年，形成产业生态布局、生产清洁可控、废物循环利用、产品优质高效、田园整洁优美的现代农业发展格局，化肥和农药使用持续减量，畜禽养殖排泄物及死亡动物、农作物秸秆、农药废弃包装物及废弃农膜本得到资源化利用或无害化处理，农业废弃物综合利用率达到98%以上，绿色优质农产品比重达到75%以上，耕地质量不断提升。</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92" w:name="_Toc60257885"/>
      <w:bookmarkStart w:id="93" w:name="_Toc62376982"/>
      <w:r>
        <w:rPr>
          <w:rFonts w:ascii="Times New Roman" w:hAnsi="Times New Roman" w:eastAsia="方正楷体_GBK"/>
          <w:b w:val="0"/>
          <w:snapToGrid w:val="0"/>
          <w:kern w:val="0"/>
        </w:rPr>
        <w:t>（六）</w:t>
      </w:r>
      <w:bookmarkEnd w:id="92"/>
      <w:r>
        <w:rPr>
          <w:rFonts w:ascii="Times New Roman" w:hAnsi="Times New Roman" w:eastAsia="方正楷体_GBK"/>
          <w:b w:val="0"/>
          <w:snapToGrid w:val="0"/>
          <w:kern w:val="0"/>
        </w:rPr>
        <w:t>数字农业农村发展工程</w:t>
      </w:r>
      <w:bookmarkEnd w:id="93"/>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积极发展智慧农业，完善农业科技创新体系，推进新一代信息技术、生物技术、智能技术、智慧气象与农业深度融合。完善建设农业大数据中心。推动新一代信息技术与种植业、畜牧业、渔业生产、农机作业、农产品加工等深度融合，支持金坛智慧渔场建设，积极开展农业物联网技术示范应用，加大农业智能装备应用，建设智慧农业服务体系、智慧乡村流通服务体系，提升乡村治理数字化水平，建设智慧农业示范村，提升生产智能化、经营网络化、管理高效化、服务便捷化水平。</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到2025年，建成市级农业大数据中心，建设推广农业物联网应用点50个以上、农业信息化覆盖率达到70%以上，数字农业农村发展水平达70%以上。</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94" w:name="_Toc60257886"/>
      <w:bookmarkStart w:id="95" w:name="_Toc62376983"/>
      <w:r>
        <w:rPr>
          <w:rFonts w:ascii="Times New Roman" w:hAnsi="Times New Roman" w:eastAsia="方正楷体_GBK"/>
          <w:b w:val="0"/>
          <w:snapToGrid w:val="0"/>
          <w:kern w:val="0"/>
        </w:rPr>
        <w:t>（七）生态宜居美丽乡村建设工程</w:t>
      </w:r>
      <w:bookmarkEnd w:id="94"/>
      <w:bookmarkEnd w:id="95"/>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统筹城镇和村庄规划建设，强化规划引领，统筹城乡发展和农村生产生活生态，优化乡村山水、田园、村落空间。加快建设提升覆盖城乡的公路、电力、天然气、供水和垃圾污水收集处理等基础设施，健全市县镇村四级管理网络和建管长效机制。高质量推进“四好农村路”建设，健全乡村物流基础设施和配送网络体系，实施“光网乡村”提升工程。深入推进农村厕所革命、污水革命、垃圾革命，彻底消除脏乱差、根治污泥浊水，持续改善和提升乡村人居环境。强化示范引领，统筹推进特色田园乡村、美丽乡村建设，提升乡村风貌。完善农房建设管理机制，有序推进农村住房更新改造，提高房屋安全性、美观性和实用性，建设具有乡土气息、常州韵味的新型农村集中居住区。</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到2025年，农村电商配送服务行政村覆盖率达到100%，行政村5G网络全覆盖；实现行政村生活垃圾分类处理占比100%，行政村三类以上公厕覆盖率达到100%，农村生活污水治理率超过</w:t>
      </w:r>
      <w:r>
        <w:rPr>
          <w:rFonts w:hint="eastAsia" w:ascii="Times New Roman" w:hAnsi="Times New Roman" w:eastAsia="方正仿宋_GBK"/>
          <w:snapToGrid w:val="0"/>
          <w:kern w:val="0"/>
          <w:sz w:val="32"/>
          <w:szCs w:val="32"/>
        </w:rPr>
        <w:t>6</w:t>
      </w:r>
      <w:r>
        <w:rPr>
          <w:rFonts w:ascii="Times New Roman" w:hAnsi="Times New Roman" w:eastAsia="方正仿宋_GBK"/>
          <w:snapToGrid w:val="0"/>
          <w:kern w:val="0"/>
          <w:sz w:val="32"/>
          <w:szCs w:val="32"/>
        </w:rPr>
        <w:t>0%，村庄绿化覆盖率达到27%；全市规划发展村庄均建设成为美丽宜居乡村，其中省级特色田园乡村30个左右。</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96" w:name="_Toc60257887"/>
      <w:bookmarkStart w:id="97" w:name="_Toc62376984"/>
      <w:r>
        <w:rPr>
          <w:rFonts w:ascii="Times New Roman" w:hAnsi="Times New Roman" w:eastAsia="方正楷体_GBK"/>
          <w:b w:val="0"/>
          <w:snapToGrid w:val="0"/>
          <w:kern w:val="0"/>
        </w:rPr>
        <w:t>（八）乡村文明善治工程</w:t>
      </w:r>
      <w:bookmarkEnd w:id="96"/>
      <w:bookmarkEnd w:id="97"/>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强农村基层党组织建设，充分发挥党建在现代化建设中的引领作用。健全党建引领、自治法治德治智治融合、村级集体经济充分发展的乡村治理体系。加强村级党群服务中心建设，深化网格化社会治理，完善农村基层民主制度，发挥农村社会组织在服务农民、树立新风等方面的积极作用。以培育和践行社会主义核心价值观为根本，实施文明村镇创建、农村文明家庭建设，推进乡村移风易俗，传承发展农村优秀传统文化，丰富农民群众文化生活，开展农村全民健身活动。大力加强农村思想道德和公共文化建设，提振农村精气神，孕育社会好风尚。深入开展平安乡村建设行动。着力推进村民自治实践，切实加强乡村法治建设。开展群众性道德教育实践活动，加强和创新乡村治理，持续推进乡村治理体系和治理能力现代化。</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到2025年，文明村镇覆盖率达到70%，新时代文明实践中心（站）、乡村社区网格化管理和农村社区“一站式”综合服务平台实现全覆盖，村民委员会依法自治达标率和平安乡村建设达标率达到98%以上。</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98" w:name="_Toc60257888"/>
      <w:bookmarkStart w:id="99" w:name="_Toc62376985"/>
      <w:r>
        <w:rPr>
          <w:rFonts w:ascii="Times New Roman" w:hAnsi="Times New Roman" w:eastAsia="方正楷体_GBK"/>
          <w:b w:val="0"/>
          <w:snapToGrid w:val="0"/>
          <w:kern w:val="0"/>
        </w:rPr>
        <w:t>（九）强村富民工程</w:t>
      </w:r>
      <w:bookmarkEnd w:id="98"/>
      <w:bookmarkEnd w:id="99"/>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snapToGrid w:val="0"/>
          <w:kern w:val="0"/>
        </w:rPr>
      </w:pPr>
      <w:bookmarkStart w:id="100" w:name="_Toc62376986"/>
      <w:r>
        <w:rPr>
          <w:rFonts w:ascii="Times New Roman" w:hAnsi="Times New Roman" w:eastAsia="方正仿宋_GBK"/>
          <w:b w:val="0"/>
          <w:snapToGrid w:val="0"/>
          <w:kern w:val="0"/>
        </w:rPr>
        <w:t>持续深化农村集体产权制度改革，积极探索股权继承、转让、抵押担保等后续制度安排。推进集体资产集中经营、委托管理等资产运营新机制，通过市场化配置手段实现集体资产资源保值增值。支持农村集体经济组织以出租、联营、入股等方式盘活利用空闲农房及宅基地。推动村级集体经济差别化、错位式发展，鼓励支持村集体参与新业态、新载体建设，通过市场手段提升资源利用水平和效益。到2025年全市村均集体经营性收入达480万元。</w:t>
      </w:r>
      <w:bookmarkEnd w:id="100"/>
      <w:r>
        <w:rPr>
          <w:rFonts w:ascii="Times New Roman" w:hAnsi="Times New Roman" w:eastAsia="方正仿宋_GBK"/>
          <w:b w:val="0"/>
          <w:snapToGrid w:val="0"/>
          <w:kern w:val="0"/>
        </w:rPr>
        <w:t>持续深化供销合作社综合改革，推动生产、供销、信用“三位一体”综合合作，加快成为服务农民生产生活的综合平台。</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仿宋_GBK"/>
          <w:b w:val="0"/>
          <w:i/>
          <w:snapToGrid w:val="0"/>
          <w:kern w:val="0"/>
        </w:rPr>
      </w:pPr>
      <w:bookmarkStart w:id="101" w:name="_Toc62376987"/>
      <w:r>
        <w:rPr>
          <w:rFonts w:ascii="Times New Roman" w:hAnsi="Times New Roman" w:eastAsia="方正仿宋_GBK"/>
          <w:b w:val="0"/>
          <w:snapToGrid w:val="0"/>
          <w:kern w:val="0"/>
        </w:rPr>
        <w:t>深入推进产业富民、就业富民、创业富民、改革富民，切实提升农民就业质量、农民创业能力、农业经营效益和农村改革效能。到2025年，农民人均可支配收入比2020年新增1万元以上。</w:t>
      </w:r>
      <w:bookmarkEnd w:id="101"/>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102" w:name="_Toc62376988"/>
      <w:bookmarkStart w:id="103" w:name="_Toc60257889"/>
      <w:r>
        <w:rPr>
          <w:rFonts w:ascii="Times New Roman" w:hAnsi="Times New Roman" w:eastAsia="方正楷体_GBK"/>
          <w:b w:val="0"/>
          <w:snapToGrid w:val="0"/>
          <w:kern w:val="0"/>
        </w:rPr>
        <w:t>（十）城乡融合创新工程</w:t>
      </w:r>
      <w:bookmarkEnd w:id="102"/>
      <w:bookmarkEnd w:id="103"/>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加快溧阳、金坛国家城乡融合发展试验区建设。推进县域城镇化，强化县城综合服务能力。高质量培育产城融合特色小镇，加强重点中心镇和特色小城镇建设，提升被撤并乡镇集镇区整体面貌。重点建设综合发展先导示范区、殷杏泰融合发展示范区。优化发展农村教育、健康、医疗、养老、文化等公共服务，加快农村学校标准化建设，推进农村区域性医疗卫生中心、紧密型县域医共体和基层特色科室建设，提高乡村文化和体育服务水平。落实城乡居民基本养老保险待遇确定和基础养老金正常调整机制，全面缩小城乡社会保障差距。促进人才、资金、医疗、教育、科技、文化等各类要素资源更多向乡村流动，推动城乡更加均衡发展。</w:t>
      </w:r>
      <w:bookmarkStart w:id="104" w:name="_Toc60257890"/>
      <w:bookmarkStart w:id="105" w:name="_Toc62376989"/>
    </w:p>
    <w:p>
      <w:pPr>
        <w:overflowPunct w:val="0"/>
        <w:adjustRightInd w:val="0"/>
        <w:snapToGrid w:val="0"/>
        <w:spacing w:line="570" w:lineRule="exact"/>
        <w:jc w:val="center"/>
        <w:rPr>
          <w:rFonts w:hint="eastAsia" w:ascii="方正小标宋_GBK" w:hAnsi="Times New Roman" w:eastAsia="方正小标宋_GBK"/>
          <w:b/>
          <w:snapToGrid w:val="0"/>
          <w:kern w:val="0"/>
        </w:rPr>
      </w:pPr>
      <w:r>
        <w:rPr>
          <w:rFonts w:ascii="Times New Roman" w:hAnsi="Times New Roman" w:eastAsia="仿宋_GB2312"/>
          <w:snapToGrid w:val="0"/>
          <w:kern w:val="0"/>
          <w:sz w:val="32"/>
          <w:szCs w:val="32"/>
        </w:rPr>
        <w:br w:type="page"/>
      </w:r>
    </w:p>
    <w:p>
      <w:pPr>
        <w:pStyle w:val="2"/>
        <w:keepNext w:val="0"/>
        <w:keepLines w:val="0"/>
        <w:overflowPunct w:val="0"/>
        <w:adjustRightInd w:val="0"/>
        <w:snapToGrid w:val="0"/>
        <w:spacing w:before="0" w:after="0" w:line="570" w:lineRule="exact"/>
        <w:jc w:val="center"/>
        <w:rPr>
          <w:rFonts w:hint="eastAsia" w:ascii="方正小标宋_GBK" w:hAnsi="Times New Roman" w:eastAsia="方正小标宋_GBK"/>
          <w:b w:val="0"/>
          <w:snapToGrid w:val="0"/>
          <w:kern w:val="0"/>
        </w:rPr>
      </w:pPr>
      <w:r>
        <w:rPr>
          <w:rFonts w:hint="eastAsia" w:ascii="方正小标宋_GBK" w:hAnsi="Times New Roman" w:eastAsia="方正小标宋_GBK"/>
          <w:b w:val="0"/>
          <w:snapToGrid w:val="0"/>
          <w:kern w:val="0"/>
        </w:rPr>
        <w:t>九、保障措施</w:t>
      </w:r>
      <w:bookmarkEnd w:id="104"/>
      <w:bookmarkEnd w:id="105"/>
    </w:p>
    <w:p>
      <w:pPr>
        <w:overflowPunct w:val="0"/>
        <w:adjustRightInd w:val="0"/>
        <w:snapToGrid w:val="0"/>
        <w:spacing w:line="570" w:lineRule="exact"/>
        <w:jc w:val="center"/>
        <w:rPr>
          <w:rFonts w:hint="eastAsia" w:ascii="方正小标宋_GBK" w:hAnsi="Times New Roman" w:eastAsia="方正小标宋_GBK"/>
          <w:sz w:val="44"/>
          <w:szCs w:val="44"/>
        </w:rPr>
      </w:pP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106" w:name="_Toc60257891"/>
      <w:bookmarkStart w:id="107" w:name="_Toc62376990"/>
      <w:r>
        <w:rPr>
          <w:rFonts w:ascii="Times New Roman" w:hAnsi="Times New Roman" w:eastAsia="方正楷体_GBK"/>
          <w:b w:val="0"/>
          <w:snapToGrid w:val="0"/>
          <w:kern w:val="0"/>
        </w:rPr>
        <w:t>（一）加强党的领导</w:t>
      </w:r>
      <w:bookmarkEnd w:id="106"/>
      <w:bookmarkEnd w:id="107"/>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全面贯彻落实《中国共产党农村工作条例》，严格遵循党的农村工作基本原则，加强党对“三农”工作的全面领导。强化五级书记抓乡村振兴，落实农业农村优先发展的方针，以更大力度推动乡村振兴。健全市委全面负责、各辖市（区）党委抓落实、镇（街道）党委和村（社区）党组织具体实施的农村工作领导体制。县委书记要把主要精力放在“三农”工作上，当好乡村振兴的“一线总指挥”。发挥农村工作领导小组牵头抓总、统筹协调、考核监督等作用，研究协调“三农”重大问题。建立市领导挂钩联系乡村振兴工作常态化机制。各辖市（区）、市级各部门要按照职责，加强工作指导，强化资源要素支持和制度供给，做好协同配合，形成乡村振兴工作合力。</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108" w:name="_Toc62376991"/>
      <w:bookmarkStart w:id="109" w:name="_Toc60257892"/>
      <w:r>
        <w:rPr>
          <w:rFonts w:ascii="Times New Roman" w:hAnsi="Times New Roman" w:eastAsia="方正楷体_GBK"/>
          <w:b w:val="0"/>
          <w:snapToGrid w:val="0"/>
          <w:kern w:val="0"/>
        </w:rPr>
        <w:t>（二）加强组织建设</w:t>
      </w:r>
      <w:bookmarkEnd w:id="108"/>
      <w:bookmarkEnd w:id="109"/>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全面贯彻新时代党的建设总要求，严格落实党建工作主体责任，大力加强农村基层党组织建设，不断提升政治引领力、思想凝聚力、组织战斗力、队伍创造力、基础保障力，为农业农村现代化夯实组织基础。突出抓基层、强基础、固基本的工作导向，推动各类资源向基层下沉，为基层干事创业创造更好条件。选优配强乡镇领导班子、村“两委”成员特别是村党支部书记。持续推动村党组织书记、村委会主任“一肩挑”工作，培育更多一线优秀带头人。加强“三农”工作干部队伍的培养、配备、管理、使用，在干部配备上优先考虑，选派一批优秀干部到乡村振兴一线岗位，把乡村振兴作为培养锻炼干部的广阔舞台，建设一支政治过硬、本领过硬、作风过硬的乡村振兴干部队伍。</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r>
        <w:rPr>
          <w:rFonts w:ascii="Times New Roman" w:hAnsi="Times New Roman" w:eastAsia="方正楷体_GBK"/>
          <w:b w:val="0"/>
          <w:snapToGrid w:val="0"/>
          <w:kern w:val="0"/>
        </w:rPr>
        <w:t>（三）强化法治保障</w:t>
      </w:r>
    </w:p>
    <w:p>
      <w:pPr>
        <w:shd w:val="clear" w:color="auto" w:fill="FFFFFF"/>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认真贯彻《中华人民共和国乡村振兴促进法》，充分发挥法治对农业农村高质量发展的支撑作用、对农村改革的引领作用、对乡村治理的保障作用和对政府职能转变的促进作用。依法支持</w:t>
      </w:r>
      <w:r>
        <w:rPr>
          <w:rFonts w:ascii="Times New Roman" w:hAnsi="Times New Roman" w:eastAsia="方正仿宋_GBK"/>
          <w:snapToGrid w:val="0"/>
          <w:spacing w:val="-6"/>
          <w:kern w:val="0"/>
          <w:sz w:val="32"/>
          <w:szCs w:val="32"/>
        </w:rPr>
        <w:t>农业农村部门充分履行统筹协调、指导和监督检查等重要职责，严格按照法律中产业发展、人才支撑、文化传承、生态保护、组织建设、城乡融合、扶持措施等要求，抓好规划统筹、实施指导、协调督促、考核评价等重点任务落实，形成推动乡村振兴的强大合力。</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110" w:name="_Toc62376993"/>
      <w:bookmarkStart w:id="111" w:name="_Toc60257894"/>
      <w:r>
        <w:rPr>
          <w:rFonts w:ascii="Times New Roman" w:hAnsi="Times New Roman" w:eastAsia="方正楷体_GBK"/>
          <w:b w:val="0"/>
          <w:snapToGrid w:val="0"/>
          <w:kern w:val="0"/>
        </w:rPr>
        <w:t>（四）广泛宣传发动</w:t>
      </w:r>
      <w:bookmarkEnd w:id="110"/>
      <w:bookmarkEnd w:id="111"/>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广泛宣传乡村振兴政策举措和创新实践，营造良好社会氛围，吸引各类人才在乡村振兴中建功立业，激发广大农民群众积极性、主动性、创造性。深入实施能人回乡、工商兴乡、社会助乡工程。鼓励更多农村青年、返乡人才和能工巧匠扎根乡村，引导工商企业向农业农村投资。打好“乡情牌”“乡愁牌”，感召更多在外的企业家、党政干部、专家学者、医生教师、技能人才等通过各种方式回馈故里、建设乡村。发挥工会、共青团、妇联、科协等群团组织的优势和力量，发挥各民主党派、工商联、无党派人士等积极作用，最大限度凝聚全社会共识和力量。充分尊重群众意愿，激发农村各类主体活力，激活乡村发展内生动力，形成全市人民群策群力、共建共享的工作新局面。</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112" w:name="_Toc62376994"/>
      <w:bookmarkStart w:id="113" w:name="_Toc60257895"/>
      <w:r>
        <w:rPr>
          <w:rFonts w:ascii="Times New Roman" w:hAnsi="Times New Roman" w:eastAsia="方正楷体_GBK"/>
          <w:b w:val="0"/>
          <w:snapToGrid w:val="0"/>
          <w:kern w:val="0"/>
        </w:rPr>
        <w:t>（五）加强考核督</w:t>
      </w:r>
      <w:bookmarkEnd w:id="112"/>
      <w:bookmarkEnd w:id="113"/>
      <w:r>
        <w:rPr>
          <w:rFonts w:ascii="Times New Roman" w:hAnsi="Times New Roman" w:eastAsia="方正楷体_GBK"/>
          <w:b w:val="0"/>
          <w:snapToGrid w:val="0"/>
          <w:kern w:val="0"/>
        </w:rPr>
        <w:t>查</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建立农业农村发展考核评价制度、工作年度报告制度和监督检查制度。以年度为单位制定考核实施方案，明确考核指标、评议评分细则等，采取工作实绩考评评分、日常监督和加减分项等定量测算与定性评价相结合的方式，对各地各部门的工作实绩进行考核和确定等次。相关结果由市委市政府在全市范围内进行通报，并与项目安排、评先评优等挂钩，同时作为选拔任用干部的重要参考。建立健全统计报表体系和工作报告制度，充分利用互联网、大数据等手段分析工作进展，切实推动工作落实。发挥农村工作领导小组议事协调作用，切实加强日常调研督查，有力协调解决问题、及时促进整改提升。</w:t>
      </w:r>
    </w:p>
    <w:p>
      <w:pPr>
        <w:pStyle w:val="3"/>
        <w:keepNext w:val="0"/>
        <w:keepLines w:val="0"/>
        <w:overflowPunct w:val="0"/>
        <w:autoSpaceDE w:val="0"/>
        <w:autoSpaceDN w:val="0"/>
        <w:adjustRightInd w:val="0"/>
        <w:snapToGrid w:val="0"/>
        <w:spacing w:before="0" w:after="0" w:line="570" w:lineRule="exact"/>
        <w:ind w:firstLine="641"/>
        <w:rPr>
          <w:rFonts w:ascii="Times New Roman" w:hAnsi="Times New Roman" w:eastAsia="方正楷体_GBK"/>
          <w:b w:val="0"/>
          <w:snapToGrid w:val="0"/>
          <w:kern w:val="0"/>
        </w:rPr>
      </w:pPr>
      <w:bookmarkStart w:id="114" w:name="_Toc60257896"/>
      <w:bookmarkStart w:id="115" w:name="_Toc62376995"/>
      <w:r>
        <w:rPr>
          <w:rFonts w:ascii="Times New Roman" w:hAnsi="Times New Roman" w:eastAsia="方正楷体_GBK"/>
          <w:b w:val="0"/>
          <w:snapToGrid w:val="0"/>
          <w:kern w:val="0"/>
        </w:rPr>
        <w:t>（六）科学有序推进</w:t>
      </w:r>
      <w:bookmarkEnd w:id="114"/>
      <w:bookmarkEnd w:id="115"/>
    </w:p>
    <w:p>
      <w:pPr>
        <w:shd w:val="clear" w:color="auto" w:fill="FFFFFF"/>
        <w:overflowPunct w:val="0"/>
        <w:autoSpaceDE w:val="0"/>
        <w:autoSpaceDN w:val="0"/>
        <w:adjustRightInd w:val="0"/>
        <w:snapToGrid w:val="0"/>
        <w:spacing w:line="570" w:lineRule="exact"/>
        <w:ind w:firstLine="641"/>
        <w:rPr>
          <w:rFonts w:ascii="Times New Roman" w:hAnsi="Times New Roman" w:eastAsia="仿宋_GB2312"/>
          <w:snapToGrid w:val="0"/>
          <w:kern w:val="0"/>
          <w:sz w:val="32"/>
          <w:szCs w:val="32"/>
        </w:rPr>
      </w:pPr>
      <w:r>
        <w:rPr>
          <w:rFonts w:ascii="Times New Roman" w:hAnsi="Times New Roman" w:eastAsia="方正仿宋_GBK"/>
          <w:snapToGrid w:val="0"/>
          <w:kern w:val="0"/>
          <w:sz w:val="32"/>
          <w:szCs w:val="32"/>
        </w:rPr>
        <w:t>坚持从实际出发，循序渐进、量力而行，统筹谋划、典型带动，平稳有序。聚焦阶段任务，突出规划引领，加快补齐短腿短板，推动政策创新。科学把握节奏力度，立足经济社会发展水平和工作基础，合理设定任务目标任务。不贪大求快，不急功近利，不搞一刀切，加强分类指导，杜绝形象工程，力戒形式主义。发挥典型引路作用，形成可复制可推广的经验做法，以点带面、示范引领，按照规划目标有序推进农业农村现代化。</w:t>
      </w:r>
    </w:p>
    <w:p>
      <w:pPr>
        <w:spacing w:before="240" w:after="240" w:line="560" w:lineRule="exact"/>
        <w:jc w:val="center"/>
        <w:rPr>
          <w:rFonts w:ascii="Times New Roman" w:hAnsi="Times New Roman" w:eastAsia="方正小标宋简体"/>
          <w:sz w:val="44"/>
          <w:szCs w:val="44"/>
        </w:rPr>
        <w:sectPr>
          <w:footerReference r:id="rId3" w:type="default"/>
          <w:footerReference r:id="rId4" w:type="even"/>
          <w:pgSz w:w="11906" w:h="16838"/>
          <w:pgMar w:top="1440" w:right="1080" w:bottom="1440" w:left="1080" w:header="709" w:footer="1361" w:gutter="0"/>
          <w:pgNumType w:start="1"/>
          <w:cols w:space="425" w:num="1"/>
          <w:docGrid w:linePitch="312" w:charSpace="0"/>
        </w:sectPr>
      </w:pPr>
    </w:p>
    <w:p>
      <w:pPr>
        <w:adjustRightInd w:val="0"/>
        <w:snapToGrid w:val="0"/>
        <w:spacing w:before="240" w:after="240"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《常州市“十四五”农业农村现代化规划》重点项目（工作）</w:t>
      </w:r>
    </w:p>
    <w:tbl>
      <w:tblPr>
        <w:tblStyle w:val="6"/>
        <w:tblW w:w="141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73"/>
        <w:gridCol w:w="2403"/>
        <w:gridCol w:w="6054"/>
        <w:gridCol w:w="1692"/>
        <w:gridCol w:w="1745"/>
        <w:gridCol w:w="160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4" w:hRule="atLeast"/>
          <w:tblHeader/>
          <w:jc w:val="center"/>
        </w:trPr>
        <w:tc>
          <w:tcPr>
            <w:tcW w:w="675" w:type="dxa"/>
            <w:noWrap w:val="0"/>
            <w:vAlign w:val="center"/>
          </w:tcPr>
          <w:p>
            <w:pPr>
              <w:spacing w:line="320" w:lineRule="exact"/>
              <w:jc w:val="center"/>
              <w:rPr>
                <w:rFonts w:ascii="Times New Roman" w:hAnsi="Times New Roman" w:eastAsia="方正黑体_GBK"/>
                <w:szCs w:val="21"/>
              </w:rPr>
            </w:pPr>
            <w:r>
              <w:rPr>
                <w:rFonts w:ascii="Times New Roman" w:hAnsi="Times New Roman" w:eastAsia="方正黑体_GBK"/>
                <w:szCs w:val="21"/>
              </w:rPr>
              <w:t>序号</w:t>
            </w:r>
          </w:p>
        </w:tc>
        <w:tc>
          <w:tcPr>
            <w:tcW w:w="2410" w:type="dxa"/>
            <w:noWrap w:val="0"/>
            <w:vAlign w:val="center"/>
          </w:tcPr>
          <w:p>
            <w:pPr>
              <w:spacing w:line="320" w:lineRule="exact"/>
              <w:jc w:val="center"/>
              <w:rPr>
                <w:rFonts w:ascii="Times New Roman" w:hAnsi="Times New Roman" w:eastAsia="方正黑体_GBK"/>
                <w:szCs w:val="21"/>
              </w:rPr>
            </w:pPr>
            <w:r>
              <w:rPr>
                <w:rFonts w:ascii="Times New Roman" w:hAnsi="Times New Roman" w:eastAsia="方正黑体_GBK"/>
                <w:szCs w:val="21"/>
              </w:rPr>
              <w:t>重点项目（重点工作）</w:t>
            </w:r>
          </w:p>
        </w:tc>
        <w:tc>
          <w:tcPr>
            <w:tcW w:w="6076" w:type="dxa"/>
            <w:noWrap w:val="0"/>
            <w:vAlign w:val="center"/>
          </w:tcPr>
          <w:p>
            <w:pPr>
              <w:spacing w:line="320" w:lineRule="exact"/>
              <w:jc w:val="center"/>
              <w:rPr>
                <w:rFonts w:ascii="Times New Roman" w:hAnsi="Times New Roman" w:eastAsia="方正黑体_GBK"/>
                <w:szCs w:val="21"/>
              </w:rPr>
            </w:pPr>
            <w:r>
              <w:rPr>
                <w:rFonts w:ascii="Times New Roman" w:hAnsi="Times New Roman" w:eastAsia="方正黑体_GBK"/>
                <w:szCs w:val="21"/>
              </w:rPr>
              <w:t>主要内容</w:t>
            </w:r>
          </w:p>
        </w:tc>
        <w:tc>
          <w:tcPr>
            <w:tcW w:w="1694" w:type="dxa"/>
            <w:noWrap w:val="0"/>
            <w:vAlign w:val="center"/>
          </w:tcPr>
          <w:p>
            <w:pPr>
              <w:spacing w:line="320" w:lineRule="exact"/>
              <w:jc w:val="center"/>
              <w:rPr>
                <w:rFonts w:ascii="Times New Roman" w:hAnsi="Times New Roman" w:eastAsia="方正黑体_GBK"/>
                <w:szCs w:val="21"/>
              </w:rPr>
            </w:pPr>
            <w:r>
              <w:rPr>
                <w:rFonts w:ascii="Times New Roman" w:hAnsi="Times New Roman" w:eastAsia="方正黑体_GBK"/>
                <w:szCs w:val="21"/>
              </w:rPr>
              <w:t>建设周期</w:t>
            </w:r>
          </w:p>
        </w:tc>
        <w:tc>
          <w:tcPr>
            <w:tcW w:w="1750" w:type="dxa"/>
            <w:noWrap w:val="0"/>
            <w:vAlign w:val="center"/>
          </w:tcPr>
          <w:p>
            <w:pPr>
              <w:spacing w:line="320" w:lineRule="exact"/>
              <w:jc w:val="center"/>
              <w:rPr>
                <w:rFonts w:ascii="Times New Roman" w:hAnsi="Times New Roman" w:eastAsia="方正黑体_GBK"/>
                <w:szCs w:val="21"/>
              </w:rPr>
            </w:pPr>
            <w:r>
              <w:rPr>
                <w:rFonts w:ascii="Times New Roman" w:hAnsi="Times New Roman" w:eastAsia="方正黑体_GBK"/>
                <w:szCs w:val="21"/>
              </w:rPr>
              <w:t>牵头单位</w:t>
            </w:r>
          </w:p>
        </w:tc>
        <w:tc>
          <w:tcPr>
            <w:tcW w:w="1613" w:type="dxa"/>
            <w:noWrap w:val="0"/>
            <w:vAlign w:val="center"/>
          </w:tcPr>
          <w:p>
            <w:pPr>
              <w:spacing w:line="320" w:lineRule="exact"/>
              <w:jc w:val="center"/>
              <w:rPr>
                <w:rFonts w:ascii="Times New Roman" w:hAnsi="Times New Roman" w:eastAsia="方正黑体_GBK"/>
                <w:szCs w:val="21"/>
              </w:rPr>
            </w:pPr>
            <w:r>
              <w:rPr>
                <w:rFonts w:ascii="Times New Roman" w:hAnsi="Times New Roman" w:eastAsia="方正黑体_GBK"/>
                <w:szCs w:val="21"/>
              </w:rPr>
              <w:t>责任单位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w:t>
            </w:r>
          </w:p>
        </w:tc>
        <w:tc>
          <w:tcPr>
            <w:tcW w:w="2410" w:type="dxa"/>
            <w:noWrap w:val="0"/>
            <w:vAlign w:val="center"/>
          </w:tcPr>
          <w:p>
            <w:pPr>
              <w:spacing w:line="320" w:lineRule="exact"/>
              <w:jc w:val="left"/>
              <w:rPr>
                <w:rFonts w:ascii="Times New Roman" w:hAnsi="Times New Roman"/>
                <w:szCs w:val="21"/>
              </w:rPr>
            </w:pPr>
            <w:r>
              <w:rPr>
                <w:rFonts w:ascii="Times New Roman" w:hAnsi="宋体"/>
                <w:szCs w:val="21"/>
              </w:rPr>
              <w:t>重要农产品稳产保供</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稳定粮食面积，优质良种应用率</w:t>
            </w:r>
            <w:r>
              <w:rPr>
                <w:rFonts w:ascii="Times New Roman" w:hAnsi="Times New Roman"/>
                <w:szCs w:val="21"/>
              </w:rPr>
              <w:t>95%</w:t>
            </w:r>
            <w:r>
              <w:rPr>
                <w:rFonts w:ascii="Times New Roman" w:hAnsi="宋体"/>
                <w:szCs w:val="21"/>
              </w:rPr>
              <w:t>以上，建设优质粮食生产基地</w:t>
            </w:r>
            <w:r>
              <w:rPr>
                <w:rFonts w:ascii="Times New Roman" w:hAnsi="Times New Roman"/>
                <w:szCs w:val="21"/>
              </w:rPr>
              <w:t>30</w:t>
            </w:r>
            <w:r>
              <w:rPr>
                <w:rFonts w:ascii="Times New Roman" w:hAnsi="宋体"/>
                <w:szCs w:val="21"/>
              </w:rPr>
              <w:t>个以上，培育优质稻米区域和知名品牌</w:t>
            </w:r>
            <w:r>
              <w:rPr>
                <w:rFonts w:ascii="Times New Roman" w:hAnsi="Times New Roman"/>
                <w:szCs w:val="21"/>
              </w:rPr>
              <w:t>10</w:t>
            </w:r>
            <w:r>
              <w:rPr>
                <w:rFonts w:ascii="Times New Roman" w:hAnsi="宋体"/>
                <w:szCs w:val="21"/>
              </w:rPr>
              <w:t>个。稳定生猪生产，全市生猪自给率达</w:t>
            </w:r>
            <w:r>
              <w:rPr>
                <w:rFonts w:ascii="Times New Roman" w:hAnsi="Times New Roman"/>
                <w:szCs w:val="21"/>
              </w:rPr>
              <w:t>30%</w:t>
            </w:r>
            <w:r>
              <w:rPr>
                <w:rFonts w:ascii="Times New Roman" w:hAnsi="宋体"/>
                <w:szCs w:val="21"/>
              </w:rPr>
              <w:t>。</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市农业农村局</w:t>
            </w:r>
          </w:p>
        </w:tc>
        <w:tc>
          <w:tcPr>
            <w:tcW w:w="1613" w:type="dxa"/>
            <w:noWrap w:val="0"/>
            <w:vAlign w:val="center"/>
          </w:tcPr>
          <w:p>
            <w:pPr>
              <w:spacing w:line="320" w:lineRule="exact"/>
              <w:jc w:val="center"/>
              <w:rPr>
                <w:rFonts w:ascii="Times New Roman" w:hAnsi="Times New Roman"/>
                <w:szCs w:val="21"/>
              </w:rPr>
            </w:pPr>
            <w:r>
              <w:rPr>
                <w:rFonts w:ascii="Times New Roman" w:hAnsi="宋体"/>
                <w:szCs w:val="21"/>
              </w:rPr>
              <w:t>各辖市区</w:t>
            </w:r>
          </w:p>
          <w:p>
            <w:pPr>
              <w:spacing w:line="320" w:lineRule="exact"/>
              <w:jc w:val="center"/>
              <w:rPr>
                <w:rFonts w:ascii="Times New Roman" w:hAnsi="Times New Roman"/>
                <w:szCs w:val="21"/>
              </w:rPr>
            </w:pPr>
            <w:r>
              <w:rPr>
                <w:rFonts w:ascii="Times New Roman" w:hAnsi="宋体"/>
                <w:szCs w:val="21"/>
              </w:rPr>
              <w:t>相关部门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2</w:t>
            </w:r>
          </w:p>
        </w:tc>
        <w:tc>
          <w:tcPr>
            <w:tcW w:w="2410" w:type="dxa"/>
            <w:noWrap w:val="0"/>
            <w:vAlign w:val="center"/>
          </w:tcPr>
          <w:p>
            <w:pPr>
              <w:spacing w:line="320" w:lineRule="exact"/>
              <w:jc w:val="left"/>
              <w:rPr>
                <w:rFonts w:ascii="Times New Roman" w:hAnsi="Times New Roman"/>
                <w:szCs w:val="21"/>
              </w:rPr>
            </w:pPr>
            <w:r>
              <w:rPr>
                <w:rFonts w:ascii="Times New Roman" w:hAnsi="宋体"/>
                <w:szCs w:val="21"/>
              </w:rPr>
              <w:t>种业与农业科技创新</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培育水稻、家禽、生猪、河蟹、青虾等区域育种集群，打造十大农业科技创新中心，加快建设市级智能化</w:t>
            </w:r>
            <w:r>
              <w:rPr>
                <w:rFonts w:ascii="Times New Roman" w:hAnsi="Times New Roman"/>
                <w:szCs w:val="21"/>
              </w:rPr>
              <w:t>“</w:t>
            </w:r>
            <w:r>
              <w:rPr>
                <w:rFonts w:ascii="Times New Roman" w:hAnsi="宋体"/>
                <w:szCs w:val="21"/>
              </w:rPr>
              <w:t>未来农场</w:t>
            </w:r>
            <w:r>
              <w:rPr>
                <w:rFonts w:ascii="Times New Roman" w:hAnsi="Times New Roman"/>
                <w:szCs w:val="21"/>
              </w:rPr>
              <w:t>”</w:t>
            </w:r>
            <w:r>
              <w:rPr>
                <w:rFonts w:ascii="Times New Roman" w:hAnsi="宋体"/>
                <w:szCs w:val="21"/>
              </w:rPr>
              <w:t>、粮食生产</w:t>
            </w:r>
            <w:r>
              <w:rPr>
                <w:rFonts w:ascii="Times New Roman" w:hAnsi="Times New Roman"/>
                <w:szCs w:val="21"/>
              </w:rPr>
              <w:t>“</w:t>
            </w:r>
            <w:r>
              <w:rPr>
                <w:rFonts w:ascii="Times New Roman" w:hAnsi="宋体"/>
                <w:szCs w:val="21"/>
              </w:rPr>
              <w:t>智能化农场</w:t>
            </w:r>
            <w:r>
              <w:rPr>
                <w:rFonts w:ascii="Times New Roman" w:hAnsi="Times New Roman"/>
                <w:szCs w:val="21"/>
              </w:rPr>
              <w:t>”</w:t>
            </w:r>
            <w:r>
              <w:rPr>
                <w:rFonts w:ascii="Times New Roman" w:hAnsi="宋体"/>
                <w:szCs w:val="21"/>
              </w:rPr>
              <w:t>和特色农业生产全程机械化示范基地，创建全国率先基本实现主要农作物生产全程机械化示范市。</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市农业农村局</w:t>
            </w:r>
          </w:p>
        </w:tc>
        <w:tc>
          <w:tcPr>
            <w:tcW w:w="1613" w:type="dxa"/>
            <w:noWrap w:val="0"/>
            <w:vAlign w:val="center"/>
          </w:tcPr>
          <w:p>
            <w:pPr>
              <w:spacing w:line="320" w:lineRule="exact"/>
              <w:jc w:val="center"/>
              <w:rPr>
                <w:rFonts w:ascii="Times New Roman" w:hAnsi="Times New Roman"/>
                <w:szCs w:val="21"/>
              </w:rPr>
            </w:pPr>
            <w:r>
              <w:rPr>
                <w:rFonts w:ascii="Times New Roman" w:hAnsi="宋体"/>
                <w:szCs w:val="21"/>
              </w:rPr>
              <w:t>各辖市区</w:t>
            </w:r>
          </w:p>
          <w:p>
            <w:pPr>
              <w:spacing w:line="320" w:lineRule="exact"/>
              <w:jc w:val="center"/>
              <w:rPr>
                <w:rFonts w:ascii="Times New Roman" w:hAnsi="Times New Roman"/>
                <w:szCs w:val="21"/>
              </w:rPr>
            </w:pPr>
            <w:r>
              <w:rPr>
                <w:rFonts w:ascii="Times New Roman" w:hAnsi="宋体"/>
                <w:szCs w:val="21"/>
              </w:rPr>
              <w:t>常州经开区</w:t>
            </w:r>
          </w:p>
          <w:p>
            <w:pPr>
              <w:spacing w:line="320" w:lineRule="exact"/>
              <w:jc w:val="center"/>
              <w:rPr>
                <w:rFonts w:ascii="Times New Roman" w:hAnsi="Times New Roman"/>
                <w:szCs w:val="21"/>
              </w:rPr>
            </w:pPr>
            <w:r>
              <w:rPr>
                <w:rFonts w:ascii="Times New Roman" w:hAnsi="宋体"/>
                <w:szCs w:val="21"/>
              </w:rPr>
              <w:t>相关部门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3</w:t>
            </w:r>
          </w:p>
        </w:tc>
        <w:tc>
          <w:tcPr>
            <w:tcW w:w="2410" w:type="dxa"/>
            <w:noWrap w:val="0"/>
            <w:vAlign w:val="center"/>
          </w:tcPr>
          <w:p>
            <w:pPr>
              <w:adjustRightInd w:val="0"/>
              <w:snapToGrid w:val="0"/>
              <w:spacing w:line="320" w:lineRule="exact"/>
              <w:jc w:val="left"/>
              <w:rPr>
                <w:rFonts w:ascii="Times New Roman" w:hAnsi="Times New Roman"/>
                <w:szCs w:val="21"/>
              </w:rPr>
            </w:pPr>
            <w:r>
              <w:rPr>
                <w:rFonts w:ascii="Times New Roman" w:hAnsi="宋体"/>
                <w:szCs w:val="21"/>
              </w:rPr>
              <w:t>现代农业园区建设</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创成</w:t>
            </w:r>
            <w:r>
              <w:rPr>
                <w:rFonts w:ascii="Times New Roman" w:hAnsi="Times New Roman"/>
                <w:szCs w:val="21"/>
              </w:rPr>
              <w:t>10</w:t>
            </w:r>
            <w:r>
              <w:rPr>
                <w:rFonts w:ascii="Times New Roman" w:hAnsi="宋体"/>
                <w:szCs w:val="21"/>
              </w:rPr>
              <w:t>个省级现代农业产业园（示范园），建成常州国家农业科技园区，争创</w:t>
            </w:r>
            <w:r>
              <w:rPr>
                <w:rFonts w:ascii="Times New Roman" w:hAnsi="Times New Roman"/>
                <w:szCs w:val="21"/>
              </w:rPr>
              <w:t>1</w:t>
            </w:r>
            <w:r>
              <w:rPr>
                <w:rFonts w:ascii="Times New Roman" w:hAnsi="宋体"/>
                <w:szCs w:val="21"/>
              </w:rPr>
              <w:t>个国家现代农业产业园。</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市农业农村局</w:t>
            </w:r>
          </w:p>
          <w:p>
            <w:pPr>
              <w:spacing w:line="320" w:lineRule="exact"/>
              <w:jc w:val="center"/>
              <w:rPr>
                <w:rFonts w:ascii="Times New Roman" w:hAnsi="Times New Roman"/>
                <w:szCs w:val="21"/>
              </w:rPr>
            </w:pPr>
            <w:r>
              <w:rPr>
                <w:rFonts w:ascii="Times New Roman" w:hAnsi="宋体"/>
                <w:szCs w:val="21"/>
              </w:rPr>
              <w:t>市科技局</w:t>
            </w:r>
          </w:p>
        </w:tc>
        <w:tc>
          <w:tcPr>
            <w:tcW w:w="1613" w:type="dxa"/>
            <w:noWrap w:val="0"/>
            <w:vAlign w:val="center"/>
          </w:tcPr>
          <w:p>
            <w:pPr>
              <w:spacing w:line="320" w:lineRule="exact"/>
              <w:jc w:val="center"/>
              <w:rPr>
                <w:rFonts w:ascii="Times New Roman" w:hAnsi="Times New Roman"/>
                <w:szCs w:val="21"/>
              </w:rPr>
            </w:pPr>
            <w:r>
              <w:rPr>
                <w:rFonts w:ascii="Times New Roman" w:hAnsi="宋体"/>
                <w:szCs w:val="21"/>
              </w:rPr>
              <w:t>各辖市区</w:t>
            </w:r>
          </w:p>
          <w:p>
            <w:pPr>
              <w:spacing w:line="320" w:lineRule="exact"/>
              <w:jc w:val="center"/>
              <w:rPr>
                <w:rFonts w:ascii="Times New Roman" w:hAnsi="Times New Roman"/>
                <w:szCs w:val="21"/>
              </w:rPr>
            </w:pPr>
            <w:r>
              <w:rPr>
                <w:rFonts w:ascii="Times New Roman" w:hAnsi="宋体"/>
                <w:szCs w:val="21"/>
              </w:rPr>
              <w:t>常州经开区</w:t>
            </w:r>
          </w:p>
          <w:p>
            <w:pPr>
              <w:spacing w:line="320" w:lineRule="exact"/>
              <w:jc w:val="center"/>
              <w:rPr>
                <w:rFonts w:ascii="Times New Roman" w:hAnsi="Times New Roman"/>
                <w:szCs w:val="21"/>
              </w:rPr>
            </w:pPr>
            <w:r>
              <w:rPr>
                <w:rFonts w:ascii="Times New Roman" w:hAnsi="宋体"/>
                <w:szCs w:val="21"/>
              </w:rPr>
              <w:t>相关部门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4</w:t>
            </w:r>
          </w:p>
        </w:tc>
        <w:tc>
          <w:tcPr>
            <w:tcW w:w="2410" w:type="dxa"/>
            <w:noWrap w:val="0"/>
            <w:vAlign w:val="center"/>
          </w:tcPr>
          <w:p>
            <w:pPr>
              <w:adjustRightInd w:val="0"/>
              <w:snapToGrid w:val="0"/>
              <w:spacing w:line="320" w:lineRule="exact"/>
              <w:jc w:val="left"/>
              <w:rPr>
                <w:rFonts w:ascii="Times New Roman" w:hAnsi="Times New Roman"/>
                <w:szCs w:val="21"/>
              </w:rPr>
            </w:pPr>
            <w:r>
              <w:rPr>
                <w:rFonts w:ascii="Times New Roman" w:hAnsi="宋体"/>
                <w:szCs w:val="21"/>
              </w:rPr>
              <w:t>国家农产品质量</w:t>
            </w:r>
          </w:p>
          <w:p>
            <w:pPr>
              <w:adjustRightInd w:val="0"/>
              <w:snapToGrid w:val="0"/>
              <w:spacing w:line="320" w:lineRule="exact"/>
              <w:jc w:val="left"/>
              <w:rPr>
                <w:rFonts w:ascii="Times New Roman" w:hAnsi="Times New Roman"/>
                <w:szCs w:val="21"/>
              </w:rPr>
            </w:pPr>
            <w:r>
              <w:rPr>
                <w:rFonts w:ascii="Times New Roman" w:hAnsi="宋体"/>
                <w:szCs w:val="21"/>
              </w:rPr>
              <w:t>安全市提升行动</w:t>
            </w:r>
          </w:p>
        </w:tc>
        <w:tc>
          <w:tcPr>
            <w:tcW w:w="6076" w:type="dxa"/>
            <w:noWrap w:val="0"/>
            <w:vAlign w:val="center"/>
          </w:tcPr>
          <w:p>
            <w:pPr>
              <w:adjustRightInd w:val="0"/>
              <w:snapToGrid w:val="0"/>
              <w:spacing w:line="320" w:lineRule="exact"/>
              <w:jc w:val="left"/>
              <w:rPr>
                <w:rFonts w:ascii="Times New Roman" w:hAnsi="Times New Roman"/>
                <w:szCs w:val="21"/>
              </w:rPr>
            </w:pPr>
            <w:r>
              <w:rPr>
                <w:rFonts w:ascii="Times New Roman" w:hAnsi="宋体"/>
                <w:szCs w:val="21"/>
              </w:rPr>
              <w:t>实现</w:t>
            </w:r>
            <w:r>
              <w:rPr>
                <w:rFonts w:ascii="Times New Roman" w:hAnsi="Times New Roman"/>
                <w:szCs w:val="21"/>
              </w:rPr>
              <w:t>3</w:t>
            </w:r>
            <w:r>
              <w:rPr>
                <w:rFonts w:ascii="Times New Roman" w:hAnsi="宋体"/>
                <w:szCs w:val="21"/>
              </w:rPr>
              <w:t>万家生产主体纳入省追溯平台，建成市农产品质量安全监管村级服务示范站</w:t>
            </w:r>
            <w:r>
              <w:rPr>
                <w:rFonts w:ascii="Times New Roman" w:hAnsi="Times New Roman"/>
                <w:szCs w:val="21"/>
              </w:rPr>
              <w:t>100</w:t>
            </w:r>
            <w:r>
              <w:rPr>
                <w:rFonts w:ascii="Times New Roman" w:hAnsi="宋体"/>
                <w:szCs w:val="21"/>
              </w:rPr>
              <w:t>个，开具食用农产品合格证</w:t>
            </w:r>
            <w:r>
              <w:rPr>
                <w:rFonts w:ascii="Times New Roman" w:hAnsi="Times New Roman"/>
                <w:szCs w:val="21"/>
              </w:rPr>
              <w:t>1500</w:t>
            </w:r>
            <w:r>
              <w:rPr>
                <w:rFonts w:ascii="Times New Roman" w:hAnsi="宋体"/>
                <w:szCs w:val="21"/>
              </w:rPr>
              <w:t>万张以上，建成四星级乡镇农产品质量安全监管站</w:t>
            </w:r>
            <w:r>
              <w:rPr>
                <w:rFonts w:ascii="Times New Roman" w:hAnsi="Times New Roman"/>
                <w:szCs w:val="21"/>
              </w:rPr>
              <w:t>30</w:t>
            </w:r>
            <w:r>
              <w:rPr>
                <w:rFonts w:ascii="Times New Roman" w:hAnsi="宋体"/>
                <w:szCs w:val="21"/>
              </w:rPr>
              <w:t>个、五星级乡镇农产品质量安全监管站</w:t>
            </w:r>
            <w:r>
              <w:rPr>
                <w:rFonts w:ascii="Times New Roman" w:hAnsi="Times New Roman"/>
                <w:szCs w:val="21"/>
              </w:rPr>
              <w:t>5</w:t>
            </w:r>
            <w:r>
              <w:rPr>
                <w:rFonts w:ascii="Times New Roman" w:hAnsi="宋体"/>
                <w:szCs w:val="21"/>
              </w:rPr>
              <w:t>个。</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2021-2023</w:t>
            </w:r>
            <w:r>
              <w:rPr>
                <w:rFonts w:ascii="Times New Roman" w:hAnsi="宋体"/>
                <w:szCs w:val="21"/>
              </w:rPr>
              <w:t>年</w:t>
            </w:r>
          </w:p>
        </w:tc>
        <w:tc>
          <w:tcPr>
            <w:tcW w:w="1750"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市农业农村局</w:t>
            </w:r>
          </w:p>
        </w:tc>
        <w:tc>
          <w:tcPr>
            <w:tcW w:w="1613" w:type="dxa"/>
            <w:noWrap w:val="0"/>
            <w:vAlign w:val="center"/>
          </w:tcPr>
          <w:p>
            <w:pPr>
              <w:adjustRightInd w:val="0"/>
              <w:snapToGrid w:val="0"/>
              <w:spacing w:line="320" w:lineRule="exact"/>
              <w:jc w:val="center"/>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5</w:t>
            </w:r>
          </w:p>
        </w:tc>
        <w:tc>
          <w:tcPr>
            <w:tcW w:w="2410" w:type="dxa"/>
            <w:noWrap w:val="0"/>
            <w:vAlign w:val="center"/>
          </w:tcPr>
          <w:p>
            <w:pPr>
              <w:spacing w:line="320" w:lineRule="exact"/>
              <w:jc w:val="left"/>
              <w:rPr>
                <w:rFonts w:ascii="Times New Roman" w:hAnsi="Times New Roman"/>
                <w:szCs w:val="21"/>
              </w:rPr>
            </w:pPr>
            <w:r>
              <w:rPr>
                <w:rFonts w:ascii="Times New Roman" w:hAnsi="宋体"/>
                <w:spacing w:val="-6"/>
                <w:szCs w:val="21"/>
              </w:rPr>
              <w:t>农村一二三产业融合发展</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培育百家示范型家庭农场和百家示范型农民专业合作社，推进农业企业股改上市，培育十大农产品区域公用品牌，争创全国农业产业强镇、</w:t>
            </w:r>
            <w:r>
              <w:rPr>
                <w:rFonts w:ascii="Times New Roman" w:hAnsi="Times New Roman"/>
                <w:szCs w:val="21"/>
              </w:rPr>
              <w:t>“</w:t>
            </w:r>
            <w:r>
              <w:rPr>
                <w:rFonts w:ascii="Times New Roman" w:hAnsi="宋体"/>
                <w:szCs w:val="21"/>
              </w:rPr>
              <w:t>一村一品</w:t>
            </w:r>
            <w:r>
              <w:rPr>
                <w:rFonts w:ascii="Times New Roman" w:hAnsi="Times New Roman"/>
                <w:szCs w:val="21"/>
              </w:rPr>
              <w:t>”</w:t>
            </w:r>
            <w:r>
              <w:rPr>
                <w:rFonts w:ascii="Times New Roman" w:hAnsi="宋体"/>
                <w:szCs w:val="21"/>
              </w:rPr>
              <w:t>示范村镇、农村一二三产融合发展先导区和中国美丽休闲乡村。</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市发改委</w:t>
            </w:r>
          </w:p>
          <w:p>
            <w:pPr>
              <w:spacing w:line="320" w:lineRule="exact"/>
              <w:jc w:val="center"/>
              <w:rPr>
                <w:rFonts w:ascii="Times New Roman" w:hAnsi="Times New Roman"/>
                <w:szCs w:val="21"/>
              </w:rPr>
            </w:pPr>
            <w:r>
              <w:rPr>
                <w:rFonts w:ascii="Times New Roman" w:hAnsi="宋体"/>
                <w:szCs w:val="21"/>
              </w:rPr>
              <w:t>市农业农村局</w:t>
            </w:r>
          </w:p>
        </w:tc>
        <w:tc>
          <w:tcPr>
            <w:tcW w:w="1613" w:type="dxa"/>
            <w:noWrap w:val="0"/>
            <w:vAlign w:val="center"/>
          </w:tcPr>
          <w:p>
            <w:pPr>
              <w:spacing w:line="320" w:lineRule="exact"/>
              <w:jc w:val="center"/>
              <w:rPr>
                <w:rFonts w:ascii="Times New Roman" w:hAnsi="Times New Roman"/>
                <w:szCs w:val="21"/>
              </w:rPr>
            </w:pPr>
            <w:r>
              <w:rPr>
                <w:rFonts w:ascii="Times New Roman" w:hAnsi="宋体"/>
                <w:szCs w:val="21"/>
              </w:rPr>
              <w:t>相关部门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6</w:t>
            </w:r>
          </w:p>
        </w:tc>
        <w:tc>
          <w:tcPr>
            <w:tcW w:w="2410" w:type="dxa"/>
            <w:noWrap w:val="0"/>
            <w:vAlign w:val="center"/>
          </w:tcPr>
          <w:p>
            <w:pPr>
              <w:adjustRightInd w:val="0"/>
              <w:spacing w:line="320" w:lineRule="exact"/>
              <w:jc w:val="left"/>
              <w:rPr>
                <w:rFonts w:ascii="Times New Roman" w:hAnsi="Times New Roman"/>
                <w:szCs w:val="21"/>
              </w:rPr>
            </w:pPr>
            <w:r>
              <w:rPr>
                <w:rFonts w:ascii="Times New Roman" w:hAnsi="宋体"/>
                <w:szCs w:val="21"/>
              </w:rPr>
              <w:t>全域美丽乡村建设</w:t>
            </w:r>
          </w:p>
        </w:tc>
        <w:tc>
          <w:tcPr>
            <w:tcW w:w="6076" w:type="dxa"/>
            <w:noWrap w:val="0"/>
            <w:vAlign w:val="center"/>
          </w:tcPr>
          <w:p>
            <w:pPr>
              <w:adjustRightInd w:val="0"/>
              <w:spacing w:line="320" w:lineRule="exact"/>
              <w:jc w:val="left"/>
              <w:rPr>
                <w:rFonts w:ascii="Times New Roman" w:hAnsi="Times New Roman"/>
                <w:szCs w:val="21"/>
              </w:rPr>
            </w:pPr>
            <w:r>
              <w:rPr>
                <w:rFonts w:ascii="Times New Roman" w:hAnsi="宋体"/>
                <w:szCs w:val="21"/>
              </w:rPr>
              <w:t>构建</w:t>
            </w:r>
            <w:r>
              <w:rPr>
                <w:rFonts w:ascii="Times New Roman" w:hAnsi="Times New Roman"/>
                <w:szCs w:val="21"/>
              </w:rPr>
              <w:t>“</w:t>
            </w:r>
            <w:r>
              <w:rPr>
                <w:rFonts w:ascii="Times New Roman" w:hAnsi="宋体"/>
                <w:szCs w:val="21"/>
              </w:rPr>
              <w:t>三山三湖四田园，三环六线百美村</w:t>
            </w:r>
            <w:r>
              <w:rPr>
                <w:rFonts w:ascii="Times New Roman" w:hAnsi="Times New Roman"/>
                <w:szCs w:val="21"/>
              </w:rPr>
              <w:t>”</w:t>
            </w:r>
            <w:r>
              <w:rPr>
                <w:rFonts w:ascii="Times New Roman" w:hAnsi="宋体"/>
                <w:szCs w:val="21"/>
              </w:rPr>
              <w:t>美丽乡村特色体系，推动全域美丽乡村建设，全面完成</w:t>
            </w:r>
            <w:r>
              <w:rPr>
                <w:rFonts w:ascii="Times New Roman" w:hAnsi="Times New Roman"/>
                <w:szCs w:val="21"/>
              </w:rPr>
              <w:t>“5</w:t>
            </w:r>
            <w:r>
              <w:rPr>
                <w:rFonts w:ascii="Times New Roman" w:hAnsi="宋体"/>
                <w:szCs w:val="21"/>
              </w:rPr>
              <w:t>区</w:t>
            </w:r>
            <w:r>
              <w:rPr>
                <w:rFonts w:ascii="Times New Roman" w:hAnsi="Times New Roman"/>
                <w:szCs w:val="21"/>
              </w:rPr>
              <w:t>25</w:t>
            </w:r>
            <w:r>
              <w:rPr>
                <w:rFonts w:ascii="Times New Roman" w:hAnsi="宋体"/>
                <w:szCs w:val="21"/>
              </w:rPr>
              <w:t>点</w:t>
            </w:r>
            <w:r>
              <w:rPr>
                <w:rFonts w:ascii="Times New Roman" w:hAnsi="Times New Roman"/>
                <w:szCs w:val="21"/>
              </w:rPr>
              <w:t>”</w:t>
            </w:r>
            <w:r>
              <w:rPr>
                <w:rFonts w:ascii="Times New Roman" w:hAnsi="宋体"/>
                <w:szCs w:val="21"/>
              </w:rPr>
              <w:t>市级美丽乡村示范项目建设，形成全域美丽乡村框架体系和空间格局。</w:t>
            </w:r>
          </w:p>
        </w:tc>
        <w:tc>
          <w:tcPr>
            <w:tcW w:w="1694" w:type="dxa"/>
            <w:noWrap w:val="0"/>
            <w:vAlign w:val="center"/>
          </w:tcPr>
          <w:p>
            <w:pPr>
              <w:adjustRightInd w:val="0"/>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adjustRightInd w:val="0"/>
              <w:spacing w:line="320" w:lineRule="exact"/>
              <w:jc w:val="center"/>
              <w:rPr>
                <w:rFonts w:ascii="Times New Roman" w:hAnsi="Times New Roman"/>
                <w:szCs w:val="21"/>
              </w:rPr>
            </w:pPr>
            <w:r>
              <w:rPr>
                <w:rFonts w:ascii="Times New Roman" w:hAnsi="宋体"/>
                <w:szCs w:val="21"/>
              </w:rPr>
              <w:t>美丽乡村</w:t>
            </w:r>
          </w:p>
          <w:p>
            <w:pPr>
              <w:adjustRightInd w:val="0"/>
              <w:spacing w:line="320" w:lineRule="exact"/>
              <w:jc w:val="center"/>
              <w:rPr>
                <w:rFonts w:ascii="Times New Roman" w:hAnsi="Times New Roman"/>
                <w:szCs w:val="21"/>
              </w:rPr>
            </w:pPr>
            <w:r>
              <w:rPr>
                <w:rFonts w:ascii="Times New Roman" w:hAnsi="宋体"/>
                <w:szCs w:val="21"/>
              </w:rPr>
              <w:t>建设指挥部</w:t>
            </w:r>
          </w:p>
        </w:tc>
        <w:tc>
          <w:tcPr>
            <w:tcW w:w="1613" w:type="dxa"/>
            <w:noWrap w:val="0"/>
            <w:vAlign w:val="center"/>
          </w:tcPr>
          <w:p>
            <w:pPr>
              <w:adjustRightInd w:val="0"/>
              <w:spacing w:line="320" w:lineRule="exact"/>
              <w:jc w:val="center"/>
              <w:rPr>
                <w:rFonts w:ascii="Times New Roman" w:hAnsi="Times New Roman"/>
                <w:szCs w:val="21"/>
              </w:rPr>
            </w:pPr>
            <w:r>
              <w:rPr>
                <w:rFonts w:ascii="Times New Roman" w:hAnsi="宋体"/>
                <w:szCs w:val="21"/>
              </w:rPr>
              <w:t>各辖市区</w:t>
            </w:r>
          </w:p>
          <w:p>
            <w:pPr>
              <w:adjustRightInd w:val="0"/>
              <w:spacing w:line="320" w:lineRule="exact"/>
              <w:jc w:val="center"/>
              <w:rPr>
                <w:rFonts w:ascii="Times New Roman" w:hAnsi="Times New Roman"/>
                <w:szCs w:val="21"/>
              </w:rPr>
            </w:pPr>
            <w:r>
              <w:rPr>
                <w:rFonts w:ascii="Times New Roman" w:hAnsi="宋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7</w:t>
            </w:r>
          </w:p>
        </w:tc>
        <w:tc>
          <w:tcPr>
            <w:tcW w:w="2410" w:type="dxa"/>
            <w:noWrap w:val="0"/>
            <w:vAlign w:val="center"/>
          </w:tcPr>
          <w:p>
            <w:pPr>
              <w:adjustRightInd w:val="0"/>
              <w:snapToGrid w:val="0"/>
              <w:spacing w:line="320" w:lineRule="exact"/>
              <w:jc w:val="left"/>
              <w:rPr>
                <w:rFonts w:ascii="Times New Roman" w:hAnsi="Times New Roman"/>
                <w:szCs w:val="21"/>
              </w:rPr>
            </w:pPr>
            <w:r>
              <w:rPr>
                <w:rFonts w:ascii="Times New Roman" w:hAnsi="宋体"/>
                <w:szCs w:val="21"/>
              </w:rPr>
              <w:t>特色田园乡村建设</w:t>
            </w:r>
          </w:p>
        </w:tc>
        <w:tc>
          <w:tcPr>
            <w:tcW w:w="6076" w:type="dxa"/>
            <w:noWrap w:val="0"/>
            <w:vAlign w:val="center"/>
          </w:tcPr>
          <w:p>
            <w:pPr>
              <w:adjustRightInd w:val="0"/>
              <w:snapToGrid w:val="0"/>
              <w:spacing w:line="320" w:lineRule="exact"/>
              <w:jc w:val="left"/>
              <w:rPr>
                <w:rFonts w:ascii="Times New Roman" w:hAnsi="Times New Roman"/>
                <w:szCs w:val="21"/>
              </w:rPr>
            </w:pPr>
            <w:r>
              <w:rPr>
                <w:rFonts w:ascii="Times New Roman" w:hAnsi="宋体"/>
                <w:szCs w:val="21"/>
              </w:rPr>
              <w:t>持续开展特色田园乡村创建工作，累计培育达</w:t>
            </w:r>
            <w:r>
              <w:rPr>
                <w:rFonts w:ascii="Times New Roman" w:hAnsi="Times New Roman"/>
                <w:szCs w:val="21"/>
              </w:rPr>
              <w:t>80</w:t>
            </w:r>
            <w:r>
              <w:rPr>
                <w:rFonts w:ascii="Times New Roman" w:hAnsi="宋体"/>
                <w:szCs w:val="21"/>
              </w:rPr>
              <w:t>个左右。</w:t>
            </w:r>
          </w:p>
        </w:tc>
        <w:tc>
          <w:tcPr>
            <w:tcW w:w="1694" w:type="dxa"/>
            <w:noWrap w:val="0"/>
            <w:vAlign w:val="center"/>
          </w:tcPr>
          <w:p>
            <w:pPr>
              <w:adjustRightInd w:val="0"/>
              <w:snapToGrid w:val="0"/>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市住建局</w:t>
            </w:r>
          </w:p>
        </w:tc>
        <w:tc>
          <w:tcPr>
            <w:tcW w:w="1613"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各辖市区</w:t>
            </w:r>
          </w:p>
          <w:p>
            <w:pPr>
              <w:adjustRightInd w:val="0"/>
              <w:snapToGrid w:val="0"/>
              <w:spacing w:line="320" w:lineRule="exact"/>
              <w:jc w:val="center"/>
              <w:rPr>
                <w:rFonts w:ascii="Times New Roman" w:hAnsi="Times New Roman"/>
                <w:szCs w:val="21"/>
              </w:rPr>
            </w:pPr>
            <w:r>
              <w:rPr>
                <w:rFonts w:ascii="Times New Roman" w:hAnsi="宋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8</w:t>
            </w:r>
          </w:p>
        </w:tc>
        <w:tc>
          <w:tcPr>
            <w:tcW w:w="2410" w:type="dxa"/>
            <w:noWrap w:val="0"/>
            <w:vAlign w:val="center"/>
          </w:tcPr>
          <w:p>
            <w:pPr>
              <w:adjustRightInd w:val="0"/>
              <w:spacing w:line="320" w:lineRule="exact"/>
              <w:jc w:val="left"/>
              <w:rPr>
                <w:rFonts w:ascii="Times New Roman" w:hAnsi="Times New Roman"/>
                <w:szCs w:val="21"/>
              </w:rPr>
            </w:pPr>
            <w:r>
              <w:rPr>
                <w:rFonts w:ascii="Times New Roman" w:hAnsi="宋体"/>
                <w:szCs w:val="21"/>
              </w:rPr>
              <w:t>农村住房改造</w:t>
            </w:r>
          </w:p>
        </w:tc>
        <w:tc>
          <w:tcPr>
            <w:tcW w:w="6076" w:type="dxa"/>
            <w:noWrap w:val="0"/>
            <w:vAlign w:val="center"/>
          </w:tcPr>
          <w:p>
            <w:pPr>
              <w:adjustRightInd w:val="0"/>
              <w:spacing w:line="320" w:lineRule="exact"/>
              <w:jc w:val="left"/>
              <w:rPr>
                <w:rFonts w:ascii="Times New Roman" w:hAnsi="Times New Roman"/>
                <w:szCs w:val="21"/>
              </w:rPr>
            </w:pPr>
            <w:r>
              <w:rPr>
                <w:rFonts w:ascii="Times New Roman" w:hAnsi="宋体"/>
                <w:szCs w:val="21"/>
              </w:rPr>
              <w:t>完成村庄改造</w:t>
            </w:r>
            <w:r>
              <w:rPr>
                <w:rFonts w:ascii="Times New Roman" w:hAnsi="Times New Roman"/>
                <w:szCs w:val="21"/>
              </w:rPr>
              <w:t>500</w:t>
            </w:r>
            <w:r>
              <w:rPr>
                <w:rFonts w:ascii="Times New Roman" w:hAnsi="宋体"/>
                <w:szCs w:val="21"/>
              </w:rPr>
              <w:t>个以上、农村住房改造</w:t>
            </w:r>
            <w:r>
              <w:rPr>
                <w:rFonts w:ascii="Times New Roman" w:hAnsi="Times New Roman"/>
                <w:szCs w:val="21"/>
              </w:rPr>
              <w:t>5</w:t>
            </w:r>
            <w:r>
              <w:rPr>
                <w:rFonts w:ascii="Times New Roman" w:hAnsi="宋体"/>
                <w:szCs w:val="21"/>
              </w:rPr>
              <w:t>万户以上，大力推进</w:t>
            </w:r>
            <w:r>
              <w:rPr>
                <w:rFonts w:ascii="Times New Roman" w:hAnsi="Times New Roman"/>
                <w:szCs w:val="21"/>
              </w:rPr>
              <w:t>“</w:t>
            </w:r>
            <w:r>
              <w:rPr>
                <w:rFonts w:ascii="Times New Roman" w:hAnsi="宋体"/>
                <w:szCs w:val="21"/>
              </w:rPr>
              <w:t>五优农居</w:t>
            </w:r>
            <w:r>
              <w:rPr>
                <w:rFonts w:ascii="Times New Roman" w:hAnsi="Times New Roman"/>
                <w:szCs w:val="21"/>
              </w:rPr>
              <w:t>”</w:t>
            </w:r>
            <w:r>
              <w:rPr>
                <w:rFonts w:ascii="Times New Roman" w:hAnsi="宋体"/>
                <w:szCs w:val="21"/>
              </w:rPr>
              <w:t>建设，呈现新时代常州新农村风貌。</w:t>
            </w:r>
          </w:p>
        </w:tc>
        <w:tc>
          <w:tcPr>
            <w:tcW w:w="1694" w:type="dxa"/>
            <w:noWrap w:val="0"/>
            <w:vAlign w:val="center"/>
          </w:tcPr>
          <w:p>
            <w:pPr>
              <w:adjustRightInd w:val="0"/>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adjustRightInd w:val="0"/>
              <w:spacing w:line="320" w:lineRule="exact"/>
              <w:jc w:val="center"/>
              <w:rPr>
                <w:rFonts w:ascii="Times New Roman" w:hAnsi="Times New Roman"/>
                <w:szCs w:val="21"/>
              </w:rPr>
            </w:pPr>
            <w:r>
              <w:rPr>
                <w:rFonts w:ascii="Times New Roman" w:hAnsi="宋体"/>
                <w:szCs w:val="21"/>
              </w:rPr>
              <w:t>市住建局</w:t>
            </w:r>
          </w:p>
          <w:p>
            <w:pPr>
              <w:adjustRightInd w:val="0"/>
              <w:spacing w:line="320" w:lineRule="exact"/>
              <w:jc w:val="center"/>
              <w:rPr>
                <w:rFonts w:ascii="Times New Roman" w:hAnsi="Times New Roman"/>
                <w:szCs w:val="21"/>
              </w:rPr>
            </w:pPr>
            <w:r>
              <w:rPr>
                <w:rFonts w:ascii="Times New Roman" w:hAnsi="宋体"/>
                <w:szCs w:val="21"/>
              </w:rPr>
              <w:t>市资规局</w:t>
            </w:r>
          </w:p>
          <w:p>
            <w:pPr>
              <w:adjustRightInd w:val="0"/>
              <w:spacing w:line="320" w:lineRule="exact"/>
              <w:jc w:val="center"/>
              <w:rPr>
                <w:rFonts w:ascii="Times New Roman" w:hAnsi="Times New Roman"/>
                <w:szCs w:val="21"/>
              </w:rPr>
            </w:pPr>
            <w:r>
              <w:rPr>
                <w:rFonts w:ascii="Times New Roman" w:hAnsi="宋体"/>
                <w:szCs w:val="21"/>
              </w:rPr>
              <w:t>市农业农村局</w:t>
            </w:r>
          </w:p>
        </w:tc>
        <w:tc>
          <w:tcPr>
            <w:tcW w:w="1613" w:type="dxa"/>
            <w:noWrap w:val="0"/>
            <w:vAlign w:val="center"/>
          </w:tcPr>
          <w:p>
            <w:pPr>
              <w:adjustRightInd w:val="0"/>
              <w:spacing w:line="320" w:lineRule="exact"/>
              <w:jc w:val="center"/>
              <w:rPr>
                <w:rFonts w:ascii="Times New Roman" w:hAnsi="Times New Roman"/>
                <w:szCs w:val="21"/>
              </w:rPr>
            </w:pPr>
            <w:r>
              <w:rPr>
                <w:rFonts w:ascii="Times New Roman" w:hAnsi="宋体"/>
                <w:szCs w:val="21"/>
              </w:rPr>
              <w:t>各辖市区</w:t>
            </w:r>
          </w:p>
          <w:p>
            <w:pPr>
              <w:adjustRightInd w:val="0"/>
              <w:spacing w:line="320" w:lineRule="exact"/>
              <w:jc w:val="center"/>
              <w:rPr>
                <w:rFonts w:ascii="Times New Roman" w:hAnsi="Times New Roman"/>
                <w:szCs w:val="21"/>
              </w:rPr>
            </w:pPr>
            <w:r>
              <w:rPr>
                <w:rFonts w:ascii="Times New Roman" w:hAnsi="宋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9</w:t>
            </w:r>
          </w:p>
        </w:tc>
        <w:tc>
          <w:tcPr>
            <w:tcW w:w="2410" w:type="dxa"/>
            <w:noWrap w:val="0"/>
            <w:vAlign w:val="center"/>
          </w:tcPr>
          <w:p>
            <w:pPr>
              <w:adjustRightInd w:val="0"/>
              <w:spacing w:line="320" w:lineRule="exact"/>
              <w:jc w:val="left"/>
              <w:rPr>
                <w:rFonts w:ascii="Times New Roman" w:hAnsi="Times New Roman"/>
                <w:szCs w:val="21"/>
              </w:rPr>
            </w:pPr>
            <w:r>
              <w:rPr>
                <w:rFonts w:ascii="Times New Roman" w:hAnsi="宋体"/>
                <w:szCs w:val="21"/>
              </w:rPr>
              <w:t>农村人居环境长效管理</w:t>
            </w:r>
          </w:p>
        </w:tc>
        <w:tc>
          <w:tcPr>
            <w:tcW w:w="6076" w:type="dxa"/>
            <w:noWrap w:val="0"/>
            <w:vAlign w:val="center"/>
          </w:tcPr>
          <w:p>
            <w:pPr>
              <w:adjustRightInd w:val="0"/>
              <w:spacing w:line="320" w:lineRule="exact"/>
              <w:jc w:val="left"/>
              <w:rPr>
                <w:rFonts w:ascii="Times New Roman" w:hAnsi="Times New Roman"/>
                <w:szCs w:val="21"/>
              </w:rPr>
            </w:pPr>
            <w:r>
              <w:rPr>
                <w:rFonts w:ascii="Times New Roman" w:hAnsi="宋体"/>
                <w:szCs w:val="21"/>
              </w:rPr>
              <w:t>全市</w:t>
            </w:r>
            <w:r>
              <w:rPr>
                <w:rFonts w:ascii="Times New Roman" w:hAnsi="Times New Roman"/>
                <w:szCs w:val="21"/>
              </w:rPr>
              <w:t>590</w:t>
            </w:r>
            <w:r>
              <w:rPr>
                <w:rFonts w:ascii="Times New Roman" w:hAnsi="宋体"/>
                <w:szCs w:val="21"/>
              </w:rPr>
              <w:t>个行政村以</w:t>
            </w:r>
            <w:r>
              <w:rPr>
                <w:rFonts w:ascii="Times New Roman" w:hAnsi="Times New Roman"/>
                <w:szCs w:val="21"/>
              </w:rPr>
              <w:t>“</w:t>
            </w:r>
            <w:r>
              <w:rPr>
                <w:rFonts w:ascii="Times New Roman" w:hAnsi="宋体"/>
                <w:szCs w:val="21"/>
              </w:rPr>
              <w:t>四清一治一改</w:t>
            </w:r>
            <w:r>
              <w:rPr>
                <w:rFonts w:hint="eastAsia" w:ascii="Times New Roman" w:hAnsi="宋体"/>
                <w:szCs w:val="21"/>
              </w:rPr>
              <w:t>一管</w:t>
            </w:r>
            <w:r>
              <w:rPr>
                <w:rFonts w:ascii="Times New Roman" w:hAnsi="Times New Roman"/>
                <w:szCs w:val="21"/>
              </w:rPr>
              <w:t>”</w:t>
            </w:r>
            <w:r>
              <w:rPr>
                <w:rFonts w:ascii="Times New Roman" w:hAnsi="宋体"/>
                <w:szCs w:val="21"/>
              </w:rPr>
              <w:t>为重点，实施村庄清洁行动，建立完善村庄人居环境长效管护机制，探索社会化运作模式，开展村庄垃圾收运处理、污水处理等共服务工作。</w:t>
            </w:r>
          </w:p>
        </w:tc>
        <w:tc>
          <w:tcPr>
            <w:tcW w:w="1694" w:type="dxa"/>
            <w:noWrap w:val="0"/>
            <w:vAlign w:val="center"/>
          </w:tcPr>
          <w:p>
            <w:pPr>
              <w:adjustRightInd w:val="0"/>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adjustRightInd w:val="0"/>
              <w:spacing w:line="320" w:lineRule="exact"/>
              <w:jc w:val="center"/>
              <w:rPr>
                <w:rFonts w:ascii="Times New Roman" w:hAnsi="Times New Roman"/>
                <w:szCs w:val="21"/>
              </w:rPr>
            </w:pPr>
            <w:r>
              <w:rPr>
                <w:rFonts w:ascii="Times New Roman" w:hAnsi="宋体"/>
                <w:szCs w:val="21"/>
              </w:rPr>
              <w:t>市委农办</w:t>
            </w:r>
          </w:p>
          <w:p>
            <w:pPr>
              <w:adjustRightInd w:val="0"/>
              <w:spacing w:line="320" w:lineRule="exact"/>
              <w:jc w:val="center"/>
              <w:rPr>
                <w:rFonts w:ascii="Times New Roman" w:hAnsi="Times New Roman"/>
                <w:szCs w:val="21"/>
              </w:rPr>
            </w:pPr>
            <w:r>
              <w:rPr>
                <w:rFonts w:ascii="Times New Roman" w:hAnsi="宋体"/>
                <w:szCs w:val="21"/>
              </w:rPr>
              <w:t>市农业农村局</w:t>
            </w:r>
          </w:p>
        </w:tc>
        <w:tc>
          <w:tcPr>
            <w:tcW w:w="1613" w:type="dxa"/>
            <w:noWrap w:val="0"/>
            <w:vAlign w:val="center"/>
          </w:tcPr>
          <w:p>
            <w:pPr>
              <w:adjustRightInd w:val="0"/>
              <w:spacing w:line="320" w:lineRule="exact"/>
              <w:jc w:val="center"/>
              <w:rPr>
                <w:rFonts w:ascii="Times New Roman" w:hAnsi="Times New Roman"/>
                <w:szCs w:val="21"/>
              </w:rPr>
            </w:pPr>
            <w:r>
              <w:rPr>
                <w:rFonts w:ascii="Times New Roman" w:hAnsi="宋体"/>
                <w:szCs w:val="21"/>
              </w:rPr>
              <w:t>各辖市区</w:t>
            </w:r>
          </w:p>
          <w:p>
            <w:pPr>
              <w:adjustRightInd w:val="0"/>
              <w:snapToGrid w:val="0"/>
              <w:spacing w:line="320" w:lineRule="exact"/>
              <w:jc w:val="center"/>
              <w:rPr>
                <w:rFonts w:ascii="Times New Roman" w:hAnsi="Times New Roman"/>
                <w:szCs w:val="21"/>
              </w:rPr>
            </w:pPr>
            <w:r>
              <w:rPr>
                <w:rFonts w:ascii="Times New Roman" w:hAnsi="宋体"/>
                <w:szCs w:val="21"/>
              </w:rPr>
              <w:t>常州经开区</w:t>
            </w:r>
          </w:p>
          <w:p>
            <w:pPr>
              <w:adjustRightInd w:val="0"/>
              <w:snapToGrid w:val="0"/>
              <w:spacing w:line="320" w:lineRule="exact"/>
              <w:jc w:val="center"/>
              <w:rPr>
                <w:rFonts w:ascii="Times New Roman" w:hAnsi="Times New Roman"/>
                <w:szCs w:val="21"/>
              </w:rPr>
            </w:pPr>
            <w:r>
              <w:rPr>
                <w:rFonts w:ascii="Times New Roman" w:hAnsi="宋体"/>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280" w:lineRule="exact"/>
              <w:jc w:val="center"/>
              <w:rPr>
                <w:rFonts w:ascii="Times New Roman" w:hAnsi="Times New Roman"/>
                <w:szCs w:val="21"/>
              </w:rPr>
            </w:pPr>
            <w:r>
              <w:rPr>
                <w:rFonts w:ascii="Times New Roman" w:hAnsi="Times New Roman"/>
                <w:szCs w:val="21"/>
              </w:rPr>
              <w:t>10</w:t>
            </w:r>
          </w:p>
        </w:tc>
        <w:tc>
          <w:tcPr>
            <w:tcW w:w="2410" w:type="dxa"/>
            <w:noWrap w:val="0"/>
            <w:vAlign w:val="center"/>
          </w:tcPr>
          <w:p>
            <w:pPr>
              <w:spacing w:line="280" w:lineRule="exact"/>
              <w:jc w:val="left"/>
              <w:rPr>
                <w:rFonts w:ascii="Times New Roman" w:hAnsi="Times New Roman"/>
                <w:szCs w:val="21"/>
              </w:rPr>
            </w:pPr>
            <w:r>
              <w:rPr>
                <w:rFonts w:ascii="Times New Roman" w:hAnsi="宋体"/>
                <w:szCs w:val="21"/>
              </w:rPr>
              <w:t>乡村旅游品质提升</w:t>
            </w:r>
          </w:p>
        </w:tc>
        <w:tc>
          <w:tcPr>
            <w:tcW w:w="6076" w:type="dxa"/>
            <w:noWrap w:val="0"/>
            <w:vAlign w:val="center"/>
          </w:tcPr>
          <w:p>
            <w:pPr>
              <w:spacing w:line="280" w:lineRule="exact"/>
              <w:jc w:val="left"/>
              <w:rPr>
                <w:rFonts w:ascii="Times New Roman" w:hAnsi="Times New Roman"/>
                <w:szCs w:val="21"/>
              </w:rPr>
            </w:pPr>
            <w:r>
              <w:rPr>
                <w:rFonts w:ascii="Times New Roman" w:hAnsi="宋体"/>
                <w:szCs w:val="21"/>
              </w:rPr>
              <w:t>推进溧阳悠然南山特色田园乡村建设，武进壹方创意休闲现代农业产业及休闲旅游配套建设，钟楼殷村乡村研学旅游整体提升，常州原丘生态农业建设等。</w:t>
            </w:r>
          </w:p>
        </w:tc>
        <w:tc>
          <w:tcPr>
            <w:tcW w:w="1694" w:type="dxa"/>
            <w:noWrap w:val="0"/>
            <w:vAlign w:val="center"/>
          </w:tcPr>
          <w:p>
            <w:pPr>
              <w:spacing w:line="28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280" w:lineRule="exact"/>
              <w:jc w:val="center"/>
              <w:rPr>
                <w:rFonts w:ascii="Times New Roman" w:hAnsi="Times New Roman"/>
                <w:szCs w:val="21"/>
              </w:rPr>
            </w:pPr>
            <w:r>
              <w:rPr>
                <w:rFonts w:ascii="Times New Roman" w:hAnsi="宋体"/>
                <w:szCs w:val="21"/>
              </w:rPr>
              <w:t>市文广旅局</w:t>
            </w:r>
          </w:p>
        </w:tc>
        <w:tc>
          <w:tcPr>
            <w:tcW w:w="1613" w:type="dxa"/>
            <w:noWrap w:val="0"/>
            <w:vAlign w:val="center"/>
          </w:tcPr>
          <w:p>
            <w:pPr>
              <w:spacing w:line="280" w:lineRule="exact"/>
              <w:jc w:val="center"/>
              <w:rPr>
                <w:rFonts w:ascii="Times New Roman" w:hAnsi="Times New Roman"/>
                <w:szCs w:val="21"/>
              </w:rPr>
            </w:pPr>
            <w:r>
              <w:rPr>
                <w:rFonts w:ascii="Times New Roman" w:hAnsi="宋体"/>
                <w:szCs w:val="21"/>
              </w:rPr>
              <w:t>溧阳市</w:t>
            </w:r>
          </w:p>
          <w:p>
            <w:pPr>
              <w:spacing w:line="280" w:lineRule="exact"/>
              <w:jc w:val="center"/>
              <w:rPr>
                <w:rFonts w:ascii="Times New Roman" w:hAnsi="Times New Roman"/>
                <w:szCs w:val="21"/>
              </w:rPr>
            </w:pPr>
            <w:r>
              <w:rPr>
                <w:rFonts w:ascii="Times New Roman" w:hAnsi="宋体"/>
                <w:szCs w:val="21"/>
              </w:rPr>
              <w:t>武进区</w:t>
            </w:r>
          </w:p>
          <w:p>
            <w:pPr>
              <w:spacing w:line="280" w:lineRule="exact"/>
              <w:jc w:val="center"/>
              <w:rPr>
                <w:rFonts w:ascii="Times New Roman" w:hAnsi="Times New Roman"/>
                <w:szCs w:val="21"/>
              </w:rPr>
            </w:pPr>
            <w:r>
              <w:rPr>
                <w:rFonts w:ascii="Times New Roman" w:hAnsi="宋体"/>
                <w:szCs w:val="21"/>
              </w:rPr>
              <w:t>钟楼区</w:t>
            </w:r>
          </w:p>
          <w:p>
            <w:pPr>
              <w:spacing w:line="280" w:lineRule="exact"/>
              <w:jc w:val="center"/>
              <w:rPr>
                <w:rFonts w:ascii="Times New Roman" w:hAnsi="Times New Roman"/>
                <w:szCs w:val="21"/>
              </w:rPr>
            </w:pPr>
            <w:r>
              <w:rPr>
                <w:rFonts w:ascii="Times New Roman" w:hAnsi="宋体"/>
                <w:szCs w:val="21"/>
              </w:rPr>
              <w:t>金坛区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11</w:t>
            </w:r>
          </w:p>
        </w:tc>
        <w:tc>
          <w:tcPr>
            <w:tcW w:w="2410" w:type="dxa"/>
            <w:noWrap w:val="0"/>
            <w:vAlign w:val="center"/>
          </w:tcPr>
          <w:p>
            <w:pPr>
              <w:adjustRightInd w:val="0"/>
              <w:spacing w:line="320" w:lineRule="exact"/>
              <w:jc w:val="left"/>
              <w:rPr>
                <w:rFonts w:ascii="Times New Roman" w:hAnsi="Times New Roman"/>
                <w:szCs w:val="21"/>
              </w:rPr>
            </w:pPr>
            <w:r>
              <w:rPr>
                <w:rFonts w:ascii="Times New Roman" w:hAnsi="Times New Roman"/>
                <w:szCs w:val="21"/>
              </w:rPr>
              <w:t>“</w:t>
            </w:r>
            <w:r>
              <w:rPr>
                <w:rFonts w:ascii="Times New Roman" w:hAnsi="宋体"/>
                <w:szCs w:val="21"/>
              </w:rPr>
              <w:t>农村公路</w:t>
            </w:r>
            <w:r>
              <w:rPr>
                <w:rFonts w:ascii="Times New Roman" w:hAnsi="Times New Roman"/>
                <w:szCs w:val="21"/>
              </w:rPr>
              <w:t>+”</w:t>
            </w:r>
            <w:r>
              <w:rPr>
                <w:rFonts w:ascii="Times New Roman" w:hAnsi="宋体"/>
                <w:szCs w:val="21"/>
              </w:rPr>
              <w:t>创新提升</w:t>
            </w:r>
          </w:p>
        </w:tc>
        <w:tc>
          <w:tcPr>
            <w:tcW w:w="6076" w:type="dxa"/>
            <w:noWrap w:val="0"/>
            <w:vAlign w:val="center"/>
          </w:tcPr>
          <w:p>
            <w:pPr>
              <w:adjustRightInd w:val="0"/>
              <w:spacing w:line="320" w:lineRule="exact"/>
              <w:jc w:val="left"/>
              <w:rPr>
                <w:rFonts w:ascii="Times New Roman" w:hAnsi="Times New Roman"/>
                <w:szCs w:val="21"/>
              </w:rPr>
            </w:pPr>
            <w:r>
              <w:rPr>
                <w:rFonts w:ascii="Times New Roman" w:hAnsi="宋体"/>
                <w:szCs w:val="21"/>
              </w:rPr>
              <w:t>争创</w:t>
            </w:r>
            <w:r>
              <w:rPr>
                <w:rFonts w:ascii="Times New Roman" w:hAnsi="Times New Roman"/>
                <w:szCs w:val="21"/>
              </w:rPr>
              <w:t>“</w:t>
            </w:r>
            <w:r>
              <w:rPr>
                <w:rFonts w:ascii="Times New Roman" w:hAnsi="宋体"/>
                <w:szCs w:val="21"/>
              </w:rPr>
              <w:t>四好农村路</w:t>
            </w:r>
            <w:r>
              <w:rPr>
                <w:rFonts w:ascii="Times New Roman" w:hAnsi="Times New Roman"/>
                <w:szCs w:val="21"/>
              </w:rPr>
              <w:t>”</w:t>
            </w:r>
            <w:r>
              <w:rPr>
                <w:rFonts w:ascii="Times New Roman" w:hAnsi="宋体"/>
                <w:szCs w:val="21"/>
              </w:rPr>
              <w:t>全国示范市，携手打造环太湖一体化示范路。出台农村公路管理养护体制改革办法，指导溧阳做好全国试点工作。推进城乡客运一体化发展，提升农村物流水平。</w:t>
            </w:r>
          </w:p>
        </w:tc>
        <w:tc>
          <w:tcPr>
            <w:tcW w:w="1694" w:type="dxa"/>
            <w:noWrap w:val="0"/>
            <w:vAlign w:val="center"/>
          </w:tcPr>
          <w:p>
            <w:pPr>
              <w:adjustRightInd w:val="0"/>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adjustRightInd w:val="0"/>
              <w:spacing w:line="320" w:lineRule="exact"/>
              <w:jc w:val="center"/>
              <w:rPr>
                <w:rFonts w:ascii="Times New Roman" w:hAnsi="Times New Roman"/>
                <w:szCs w:val="21"/>
              </w:rPr>
            </w:pPr>
            <w:r>
              <w:rPr>
                <w:rFonts w:ascii="Times New Roman" w:hAnsi="宋体"/>
                <w:szCs w:val="21"/>
              </w:rPr>
              <w:t>市交通运输局</w:t>
            </w:r>
          </w:p>
        </w:tc>
        <w:tc>
          <w:tcPr>
            <w:tcW w:w="1613" w:type="dxa"/>
            <w:noWrap w:val="0"/>
            <w:vAlign w:val="center"/>
          </w:tcPr>
          <w:p>
            <w:pPr>
              <w:adjustRightInd w:val="0"/>
              <w:spacing w:line="320" w:lineRule="exact"/>
              <w:jc w:val="center"/>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12</w:t>
            </w:r>
          </w:p>
        </w:tc>
        <w:tc>
          <w:tcPr>
            <w:tcW w:w="2410" w:type="dxa"/>
            <w:noWrap w:val="0"/>
            <w:vAlign w:val="center"/>
          </w:tcPr>
          <w:p>
            <w:pPr>
              <w:spacing w:line="320" w:lineRule="exact"/>
              <w:jc w:val="left"/>
              <w:rPr>
                <w:rFonts w:ascii="Times New Roman" w:hAnsi="Times New Roman"/>
                <w:szCs w:val="21"/>
              </w:rPr>
            </w:pPr>
            <w:r>
              <w:rPr>
                <w:rFonts w:ascii="Times New Roman" w:hAnsi="宋体"/>
                <w:szCs w:val="21"/>
              </w:rPr>
              <w:t>农村生活污水治理</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开展</w:t>
            </w:r>
            <w:r>
              <w:rPr>
                <w:rFonts w:ascii="Times New Roman" w:hAnsi="Times New Roman"/>
                <w:szCs w:val="21"/>
              </w:rPr>
              <w:t>4364</w:t>
            </w:r>
            <w:r>
              <w:rPr>
                <w:rFonts w:ascii="Times New Roman" w:hAnsi="宋体"/>
                <w:szCs w:val="21"/>
              </w:rPr>
              <w:t>个自然村农村生活污水治理，农村生活污水治理率达到</w:t>
            </w:r>
            <w:r>
              <w:rPr>
                <w:rFonts w:ascii="Times New Roman" w:hAnsi="Times New Roman"/>
                <w:szCs w:val="21"/>
              </w:rPr>
              <w:t>90%</w:t>
            </w:r>
            <w:r>
              <w:rPr>
                <w:rFonts w:ascii="Times New Roman" w:hAnsi="宋体"/>
                <w:szCs w:val="21"/>
              </w:rPr>
              <w:t>以上。</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市生态环境局</w:t>
            </w:r>
          </w:p>
        </w:tc>
        <w:tc>
          <w:tcPr>
            <w:tcW w:w="1613" w:type="dxa"/>
            <w:noWrap w:val="0"/>
            <w:vAlign w:val="center"/>
          </w:tcPr>
          <w:p>
            <w:pPr>
              <w:spacing w:line="320" w:lineRule="exact"/>
              <w:jc w:val="center"/>
              <w:rPr>
                <w:rFonts w:ascii="Times New Roman" w:hAnsi="Times New Roman"/>
                <w:szCs w:val="21"/>
              </w:rPr>
            </w:pPr>
            <w:r>
              <w:rPr>
                <w:rFonts w:ascii="Times New Roman" w:hAnsi="宋体"/>
                <w:szCs w:val="21"/>
              </w:rPr>
              <w:t>各辖市区</w:t>
            </w:r>
          </w:p>
          <w:p>
            <w:pPr>
              <w:spacing w:line="320" w:lineRule="exact"/>
              <w:jc w:val="center"/>
              <w:rPr>
                <w:rFonts w:ascii="Times New Roman" w:hAnsi="Times New Roman"/>
                <w:szCs w:val="21"/>
              </w:rPr>
            </w:pPr>
            <w:r>
              <w:rPr>
                <w:rFonts w:ascii="Times New Roman" w:hAnsi="宋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13</w:t>
            </w:r>
          </w:p>
        </w:tc>
        <w:tc>
          <w:tcPr>
            <w:tcW w:w="2410" w:type="dxa"/>
            <w:noWrap w:val="0"/>
            <w:vAlign w:val="center"/>
          </w:tcPr>
          <w:p>
            <w:pPr>
              <w:spacing w:line="320" w:lineRule="exact"/>
              <w:jc w:val="left"/>
              <w:rPr>
                <w:rFonts w:ascii="Times New Roman" w:hAnsi="Times New Roman"/>
                <w:szCs w:val="21"/>
              </w:rPr>
            </w:pPr>
            <w:r>
              <w:rPr>
                <w:rFonts w:ascii="Times New Roman" w:hAnsi="宋体"/>
                <w:szCs w:val="21"/>
              </w:rPr>
              <w:t>深化创业就业富民行动</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开展创业培训</w:t>
            </w:r>
            <w:r>
              <w:rPr>
                <w:rFonts w:ascii="Times New Roman" w:hAnsi="Times New Roman"/>
                <w:szCs w:val="21"/>
              </w:rPr>
              <w:t>3</w:t>
            </w:r>
            <w:r>
              <w:rPr>
                <w:rFonts w:ascii="Times New Roman" w:hAnsi="宋体"/>
                <w:szCs w:val="21"/>
              </w:rPr>
              <w:t>万人，就业技能培训</w:t>
            </w:r>
            <w:r>
              <w:rPr>
                <w:rFonts w:ascii="Times New Roman" w:hAnsi="Times New Roman"/>
                <w:szCs w:val="21"/>
              </w:rPr>
              <w:t>10</w:t>
            </w:r>
            <w:r>
              <w:rPr>
                <w:rFonts w:ascii="Times New Roman" w:hAnsi="宋体"/>
                <w:szCs w:val="21"/>
              </w:rPr>
              <w:t>万人，扶持创业</w:t>
            </w:r>
            <w:r>
              <w:rPr>
                <w:rFonts w:ascii="Times New Roman" w:hAnsi="Times New Roman"/>
                <w:szCs w:val="21"/>
              </w:rPr>
              <w:t>6</w:t>
            </w:r>
            <w:r>
              <w:rPr>
                <w:rFonts w:ascii="Times New Roman" w:hAnsi="宋体"/>
                <w:szCs w:val="21"/>
              </w:rPr>
              <w:t>万人，带动就业</w:t>
            </w:r>
            <w:r>
              <w:rPr>
                <w:rFonts w:ascii="Times New Roman" w:hAnsi="Times New Roman"/>
                <w:szCs w:val="21"/>
              </w:rPr>
              <w:t>24</w:t>
            </w:r>
            <w:r>
              <w:rPr>
                <w:rFonts w:ascii="Times New Roman" w:hAnsi="宋体"/>
                <w:szCs w:val="21"/>
              </w:rPr>
              <w:t>万人。新增城镇就业</w:t>
            </w:r>
            <w:r>
              <w:rPr>
                <w:rFonts w:ascii="Times New Roman" w:hAnsi="Times New Roman"/>
                <w:szCs w:val="21"/>
              </w:rPr>
              <w:t>50</w:t>
            </w:r>
            <w:r>
              <w:rPr>
                <w:rFonts w:ascii="Times New Roman" w:hAnsi="宋体"/>
                <w:szCs w:val="21"/>
              </w:rPr>
              <w:t>万人，援助困难群体就业</w:t>
            </w:r>
            <w:r>
              <w:rPr>
                <w:rFonts w:ascii="Times New Roman" w:hAnsi="Times New Roman"/>
                <w:szCs w:val="21"/>
              </w:rPr>
              <w:t>3.5</w:t>
            </w:r>
            <w:r>
              <w:rPr>
                <w:rFonts w:ascii="Times New Roman" w:hAnsi="宋体"/>
                <w:szCs w:val="21"/>
              </w:rPr>
              <w:t>万人，城镇登记失业率持续保持在低位运行。新增</w:t>
            </w:r>
            <w:r>
              <w:rPr>
                <w:rFonts w:ascii="Times New Roman" w:hAnsi="Times New Roman"/>
                <w:szCs w:val="21"/>
              </w:rPr>
              <w:t>2</w:t>
            </w:r>
            <w:r>
              <w:rPr>
                <w:rFonts w:ascii="Times New Roman" w:hAnsi="宋体"/>
                <w:szCs w:val="21"/>
              </w:rPr>
              <w:t>万名灵活就业人员纳入住房公积金保障范围。</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市人社局</w:t>
            </w:r>
          </w:p>
        </w:tc>
        <w:tc>
          <w:tcPr>
            <w:tcW w:w="1613" w:type="dxa"/>
            <w:noWrap w:val="0"/>
            <w:vAlign w:val="center"/>
          </w:tcPr>
          <w:p>
            <w:pPr>
              <w:spacing w:line="320" w:lineRule="exact"/>
              <w:jc w:val="center"/>
              <w:rPr>
                <w:rFonts w:ascii="Times New Roman" w:hAnsi="Times New Roman"/>
                <w:szCs w:val="21"/>
              </w:rPr>
            </w:pPr>
            <w:r>
              <w:rPr>
                <w:rFonts w:ascii="Times New Roman" w:hAnsi="宋体"/>
                <w:szCs w:val="21"/>
              </w:rPr>
              <w:t>各辖市区</w:t>
            </w:r>
          </w:p>
          <w:p>
            <w:pPr>
              <w:spacing w:line="320" w:lineRule="exact"/>
              <w:jc w:val="center"/>
              <w:rPr>
                <w:rFonts w:ascii="Times New Roman" w:hAnsi="Times New Roman"/>
                <w:szCs w:val="21"/>
              </w:rPr>
            </w:pPr>
            <w:r>
              <w:rPr>
                <w:rFonts w:ascii="Times New Roman" w:hAnsi="宋体"/>
                <w:szCs w:val="21"/>
              </w:rPr>
              <w:t>常州经开区</w:t>
            </w:r>
          </w:p>
          <w:p>
            <w:pPr>
              <w:spacing w:line="320" w:lineRule="exact"/>
              <w:jc w:val="center"/>
              <w:rPr>
                <w:rFonts w:ascii="Times New Roman" w:hAnsi="Times New Roman"/>
                <w:szCs w:val="21"/>
              </w:rPr>
            </w:pPr>
            <w:r>
              <w:rPr>
                <w:rFonts w:ascii="Times New Roman" w:hAnsi="宋体"/>
                <w:szCs w:val="21"/>
              </w:rPr>
              <w:t>市公积金中心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14</w:t>
            </w:r>
          </w:p>
        </w:tc>
        <w:tc>
          <w:tcPr>
            <w:tcW w:w="2410" w:type="dxa"/>
            <w:noWrap w:val="0"/>
            <w:vAlign w:val="center"/>
          </w:tcPr>
          <w:p>
            <w:pPr>
              <w:adjustRightInd w:val="0"/>
              <w:snapToGrid w:val="0"/>
              <w:spacing w:line="320" w:lineRule="exact"/>
              <w:jc w:val="left"/>
              <w:rPr>
                <w:rFonts w:ascii="Times New Roman" w:hAnsi="Times New Roman"/>
                <w:szCs w:val="21"/>
              </w:rPr>
            </w:pPr>
            <w:r>
              <w:rPr>
                <w:rFonts w:ascii="Times New Roman" w:hAnsi="宋体"/>
                <w:szCs w:val="21"/>
              </w:rPr>
              <w:t>优化基本养老服务供给</w:t>
            </w:r>
          </w:p>
        </w:tc>
        <w:tc>
          <w:tcPr>
            <w:tcW w:w="6076" w:type="dxa"/>
            <w:noWrap w:val="0"/>
            <w:vAlign w:val="center"/>
          </w:tcPr>
          <w:p>
            <w:pPr>
              <w:adjustRightInd w:val="0"/>
              <w:snapToGrid w:val="0"/>
              <w:spacing w:line="320" w:lineRule="exact"/>
              <w:jc w:val="left"/>
              <w:rPr>
                <w:rFonts w:ascii="Times New Roman" w:hAnsi="Times New Roman"/>
                <w:szCs w:val="21"/>
              </w:rPr>
            </w:pPr>
            <w:r>
              <w:rPr>
                <w:rFonts w:ascii="Times New Roman" w:hAnsi="宋体"/>
                <w:szCs w:val="21"/>
              </w:rPr>
              <w:t>完善基本养老服务，优先对经济困难的高龄、空巢独居、失能（失智）、计划生育特殊家庭等老年人给予服务补贴和福利保障。对</w:t>
            </w:r>
            <w:r>
              <w:rPr>
                <w:rFonts w:ascii="Times New Roman" w:hAnsi="Times New Roman"/>
                <w:szCs w:val="21"/>
              </w:rPr>
              <w:t>80</w:t>
            </w:r>
            <w:r>
              <w:rPr>
                <w:rFonts w:ascii="Times New Roman" w:hAnsi="宋体"/>
                <w:szCs w:val="21"/>
              </w:rPr>
              <w:t>周岁以上老年人发放尊老金。对符合条件的老年人开展居家养老援助服务。</w:t>
            </w:r>
          </w:p>
        </w:tc>
        <w:tc>
          <w:tcPr>
            <w:tcW w:w="1694" w:type="dxa"/>
            <w:noWrap w:val="0"/>
            <w:vAlign w:val="center"/>
          </w:tcPr>
          <w:p>
            <w:pPr>
              <w:adjustRightInd w:val="0"/>
              <w:snapToGrid w:val="0"/>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市民政局</w:t>
            </w:r>
          </w:p>
        </w:tc>
        <w:tc>
          <w:tcPr>
            <w:tcW w:w="1613"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各辖市区</w:t>
            </w:r>
          </w:p>
          <w:p>
            <w:pPr>
              <w:spacing w:line="320" w:lineRule="exact"/>
              <w:jc w:val="center"/>
              <w:rPr>
                <w:rFonts w:ascii="Times New Roman" w:hAnsi="Times New Roman"/>
                <w:szCs w:val="21"/>
              </w:rPr>
            </w:pPr>
            <w:r>
              <w:rPr>
                <w:rFonts w:ascii="Times New Roman" w:hAnsi="宋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15</w:t>
            </w:r>
          </w:p>
        </w:tc>
        <w:tc>
          <w:tcPr>
            <w:tcW w:w="2410" w:type="dxa"/>
            <w:noWrap w:val="0"/>
            <w:vAlign w:val="center"/>
          </w:tcPr>
          <w:p>
            <w:pPr>
              <w:adjustRightInd w:val="0"/>
              <w:snapToGrid w:val="0"/>
              <w:spacing w:line="320" w:lineRule="exact"/>
              <w:jc w:val="left"/>
              <w:rPr>
                <w:rFonts w:ascii="Times New Roman" w:hAnsi="Times New Roman"/>
                <w:szCs w:val="21"/>
              </w:rPr>
            </w:pPr>
            <w:r>
              <w:rPr>
                <w:rFonts w:ascii="Times New Roman" w:hAnsi="宋体"/>
                <w:szCs w:val="21"/>
              </w:rPr>
              <w:t>基本民生保障</w:t>
            </w:r>
          </w:p>
        </w:tc>
        <w:tc>
          <w:tcPr>
            <w:tcW w:w="6076" w:type="dxa"/>
            <w:noWrap w:val="0"/>
            <w:vAlign w:val="center"/>
          </w:tcPr>
          <w:p>
            <w:pPr>
              <w:adjustRightInd w:val="0"/>
              <w:snapToGrid w:val="0"/>
              <w:spacing w:line="320" w:lineRule="exact"/>
              <w:jc w:val="left"/>
              <w:rPr>
                <w:rFonts w:ascii="Times New Roman" w:hAnsi="Times New Roman"/>
                <w:szCs w:val="21"/>
              </w:rPr>
            </w:pPr>
            <w:r>
              <w:rPr>
                <w:rFonts w:ascii="Times New Roman" w:hAnsi="宋体"/>
                <w:szCs w:val="21"/>
              </w:rPr>
              <w:t>稳步提高居民最低生活保障标准，对低保、特困等低收入人口，困境儿童，困难和重度残疾人，兜底基本生活保障，加强关爱帮扶服务。</w:t>
            </w:r>
          </w:p>
        </w:tc>
        <w:tc>
          <w:tcPr>
            <w:tcW w:w="1694" w:type="dxa"/>
            <w:noWrap w:val="0"/>
            <w:vAlign w:val="center"/>
          </w:tcPr>
          <w:p>
            <w:pPr>
              <w:adjustRightInd w:val="0"/>
              <w:snapToGrid w:val="0"/>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市民政局</w:t>
            </w:r>
          </w:p>
        </w:tc>
        <w:tc>
          <w:tcPr>
            <w:tcW w:w="1613"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各辖市区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16</w:t>
            </w:r>
          </w:p>
        </w:tc>
        <w:tc>
          <w:tcPr>
            <w:tcW w:w="2410" w:type="dxa"/>
            <w:noWrap w:val="0"/>
            <w:vAlign w:val="center"/>
          </w:tcPr>
          <w:p>
            <w:pPr>
              <w:spacing w:line="320" w:lineRule="exact"/>
              <w:jc w:val="left"/>
              <w:rPr>
                <w:rFonts w:ascii="Times New Roman" w:hAnsi="Times New Roman"/>
                <w:szCs w:val="21"/>
              </w:rPr>
            </w:pPr>
            <w:r>
              <w:rPr>
                <w:rFonts w:ascii="Times New Roman" w:hAnsi="宋体"/>
                <w:szCs w:val="21"/>
              </w:rPr>
              <w:t>茅山老区乡村振兴帮促行动</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到</w:t>
            </w:r>
            <w:r>
              <w:rPr>
                <w:rFonts w:ascii="Times New Roman" w:hAnsi="Times New Roman"/>
                <w:szCs w:val="21"/>
              </w:rPr>
              <w:t>2023</w:t>
            </w:r>
            <w:r>
              <w:rPr>
                <w:rFonts w:ascii="Times New Roman" w:hAnsi="宋体"/>
                <w:szCs w:val="21"/>
              </w:rPr>
              <w:t>年，老区经济相对薄弱村集体经济年稳定收入达到</w:t>
            </w:r>
            <w:r>
              <w:rPr>
                <w:rFonts w:ascii="Times New Roman" w:hAnsi="Times New Roman"/>
                <w:szCs w:val="21"/>
              </w:rPr>
              <w:t>120</w:t>
            </w:r>
            <w:r>
              <w:rPr>
                <w:rFonts w:ascii="Times New Roman" w:hAnsi="宋体"/>
                <w:szCs w:val="21"/>
              </w:rPr>
              <w:t>万元以上，年经营性收入增幅高于全市村级平均增幅。</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2021-2023</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市农业农村局</w:t>
            </w:r>
          </w:p>
        </w:tc>
        <w:tc>
          <w:tcPr>
            <w:tcW w:w="1613" w:type="dxa"/>
            <w:noWrap w:val="0"/>
            <w:vAlign w:val="center"/>
          </w:tcPr>
          <w:p>
            <w:pPr>
              <w:spacing w:line="320" w:lineRule="exact"/>
              <w:jc w:val="center"/>
              <w:rPr>
                <w:rFonts w:hint="eastAsia" w:ascii="Times New Roman" w:hAnsi="宋体"/>
                <w:szCs w:val="21"/>
              </w:rPr>
            </w:pPr>
            <w:r>
              <w:rPr>
                <w:rFonts w:ascii="Times New Roman" w:hAnsi="宋体"/>
                <w:szCs w:val="21"/>
              </w:rPr>
              <w:t>各结对挂钩</w:t>
            </w:r>
          </w:p>
          <w:p>
            <w:pPr>
              <w:spacing w:line="320" w:lineRule="exact"/>
              <w:jc w:val="center"/>
              <w:rPr>
                <w:rFonts w:ascii="Times New Roman" w:hAnsi="Times New Roman"/>
                <w:szCs w:val="21"/>
              </w:rPr>
            </w:pPr>
            <w:r>
              <w:rPr>
                <w:rFonts w:ascii="Times New Roman" w:hAnsi="宋体"/>
                <w:szCs w:val="21"/>
              </w:rPr>
              <w:t>帮促单位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17</w:t>
            </w:r>
          </w:p>
        </w:tc>
        <w:tc>
          <w:tcPr>
            <w:tcW w:w="2410" w:type="dxa"/>
            <w:noWrap w:val="0"/>
            <w:vAlign w:val="center"/>
          </w:tcPr>
          <w:p>
            <w:pPr>
              <w:spacing w:line="320" w:lineRule="exact"/>
              <w:jc w:val="left"/>
              <w:rPr>
                <w:rFonts w:ascii="Times New Roman" w:hAnsi="Times New Roman"/>
                <w:szCs w:val="21"/>
              </w:rPr>
            </w:pPr>
            <w:r>
              <w:rPr>
                <w:rFonts w:ascii="Times New Roman" w:hAnsi="宋体"/>
                <w:szCs w:val="21"/>
              </w:rPr>
              <w:t>农村集体产权</w:t>
            </w:r>
          </w:p>
          <w:p>
            <w:pPr>
              <w:spacing w:line="320" w:lineRule="exact"/>
              <w:jc w:val="left"/>
              <w:rPr>
                <w:rFonts w:ascii="Times New Roman" w:hAnsi="Times New Roman"/>
                <w:szCs w:val="21"/>
              </w:rPr>
            </w:pPr>
            <w:r>
              <w:rPr>
                <w:rFonts w:ascii="Times New Roman" w:hAnsi="宋体"/>
                <w:szCs w:val="21"/>
              </w:rPr>
              <w:t>制度改革</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深化农村集体产权制度改革，支持有需要有条件的地区稳步推进</w:t>
            </w:r>
            <w:r>
              <w:rPr>
                <w:rFonts w:ascii="Times New Roman" w:hAnsi="Times New Roman"/>
                <w:szCs w:val="21"/>
              </w:rPr>
              <w:t>“</w:t>
            </w:r>
            <w:r>
              <w:rPr>
                <w:rFonts w:ascii="Times New Roman" w:hAnsi="宋体"/>
                <w:szCs w:val="21"/>
              </w:rPr>
              <w:t>政经分开</w:t>
            </w:r>
            <w:r>
              <w:rPr>
                <w:rFonts w:ascii="Times New Roman" w:hAnsi="Times New Roman"/>
                <w:szCs w:val="21"/>
              </w:rPr>
              <w:t>”</w:t>
            </w:r>
            <w:r>
              <w:rPr>
                <w:rFonts w:ascii="Times New Roman" w:hAnsi="宋体"/>
                <w:szCs w:val="21"/>
              </w:rPr>
              <w:t>改革。</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市农业农村局</w:t>
            </w:r>
          </w:p>
        </w:tc>
        <w:tc>
          <w:tcPr>
            <w:tcW w:w="1613" w:type="dxa"/>
            <w:noWrap w:val="0"/>
            <w:vAlign w:val="center"/>
          </w:tcPr>
          <w:p>
            <w:pPr>
              <w:spacing w:line="320" w:lineRule="exact"/>
              <w:jc w:val="center"/>
              <w:rPr>
                <w:rFonts w:ascii="Times New Roman" w:hAnsi="Times New Roman"/>
                <w:szCs w:val="21"/>
              </w:rPr>
            </w:pPr>
            <w:r>
              <w:rPr>
                <w:rFonts w:ascii="Times New Roman" w:hAnsi="宋体"/>
                <w:szCs w:val="21"/>
              </w:rPr>
              <w:t>各辖市区</w:t>
            </w:r>
          </w:p>
          <w:p>
            <w:pPr>
              <w:spacing w:line="320" w:lineRule="exact"/>
              <w:jc w:val="center"/>
              <w:rPr>
                <w:rFonts w:ascii="Times New Roman" w:hAnsi="Times New Roman"/>
                <w:szCs w:val="21"/>
              </w:rPr>
            </w:pPr>
            <w:r>
              <w:rPr>
                <w:rFonts w:ascii="Times New Roman" w:hAnsi="宋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18</w:t>
            </w:r>
          </w:p>
        </w:tc>
        <w:tc>
          <w:tcPr>
            <w:tcW w:w="2410" w:type="dxa"/>
            <w:noWrap w:val="0"/>
            <w:vAlign w:val="center"/>
          </w:tcPr>
          <w:p>
            <w:pPr>
              <w:spacing w:line="320" w:lineRule="exact"/>
              <w:jc w:val="left"/>
              <w:rPr>
                <w:rFonts w:ascii="Times New Roman" w:hAnsi="Times New Roman"/>
                <w:szCs w:val="21"/>
              </w:rPr>
            </w:pPr>
            <w:r>
              <w:rPr>
                <w:rFonts w:ascii="Times New Roman" w:hAnsi="宋体"/>
                <w:szCs w:val="21"/>
              </w:rPr>
              <w:t>农村宅基地管理</w:t>
            </w:r>
          </w:p>
          <w:p>
            <w:pPr>
              <w:spacing w:line="320" w:lineRule="exact"/>
              <w:jc w:val="left"/>
              <w:rPr>
                <w:rFonts w:ascii="Times New Roman" w:hAnsi="Times New Roman"/>
                <w:szCs w:val="21"/>
              </w:rPr>
            </w:pPr>
            <w:r>
              <w:rPr>
                <w:rFonts w:ascii="Times New Roman" w:hAnsi="宋体"/>
                <w:szCs w:val="21"/>
              </w:rPr>
              <w:t>制度改革</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建立健全</w:t>
            </w:r>
            <w:r>
              <w:rPr>
                <w:rFonts w:ascii="Times New Roman" w:hAnsi="Times New Roman"/>
                <w:szCs w:val="21"/>
              </w:rPr>
              <w:t>“</w:t>
            </w:r>
            <w:r>
              <w:rPr>
                <w:rFonts w:ascii="Times New Roman" w:hAnsi="宋体"/>
                <w:szCs w:val="21"/>
              </w:rPr>
              <w:t>市县主导、乡镇主责、村级主体</w:t>
            </w:r>
            <w:r>
              <w:rPr>
                <w:rFonts w:ascii="Times New Roman" w:hAnsi="Times New Roman"/>
                <w:szCs w:val="21"/>
              </w:rPr>
              <w:t>”</w:t>
            </w:r>
            <w:r>
              <w:rPr>
                <w:rFonts w:ascii="Times New Roman" w:hAnsi="宋体"/>
                <w:szCs w:val="21"/>
              </w:rPr>
              <w:t>的农村宅基地管理机制，完善农村宅基地用地建房联审联办制度，实现镇级农村宅基地用地建房联审联办窗口全覆盖、全市农村宅基地用地和建房规划许可审批管理数字化。</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市农业农村局</w:t>
            </w:r>
          </w:p>
          <w:p>
            <w:pPr>
              <w:spacing w:line="320" w:lineRule="exact"/>
              <w:jc w:val="center"/>
              <w:rPr>
                <w:rFonts w:ascii="Times New Roman" w:hAnsi="Times New Roman"/>
                <w:szCs w:val="21"/>
              </w:rPr>
            </w:pPr>
            <w:r>
              <w:rPr>
                <w:rFonts w:ascii="Times New Roman" w:hAnsi="宋体"/>
                <w:szCs w:val="21"/>
              </w:rPr>
              <w:t>市资规局</w:t>
            </w:r>
          </w:p>
          <w:p>
            <w:pPr>
              <w:spacing w:line="320" w:lineRule="exact"/>
              <w:jc w:val="center"/>
              <w:rPr>
                <w:rFonts w:ascii="Times New Roman" w:hAnsi="Times New Roman"/>
                <w:szCs w:val="21"/>
              </w:rPr>
            </w:pPr>
            <w:r>
              <w:rPr>
                <w:rFonts w:ascii="Times New Roman" w:hAnsi="宋体"/>
                <w:szCs w:val="21"/>
              </w:rPr>
              <w:t>市住建局</w:t>
            </w:r>
          </w:p>
        </w:tc>
        <w:tc>
          <w:tcPr>
            <w:tcW w:w="1613" w:type="dxa"/>
            <w:noWrap w:val="0"/>
            <w:vAlign w:val="center"/>
          </w:tcPr>
          <w:p>
            <w:pPr>
              <w:spacing w:line="320" w:lineRule="exact"/>
              <w:jc w:val="center"/>
              <w:rPr>
                <w:rFonts w:ascii="Times New Roman" w:hAnsi="Times New Roman"/>
                <w:szCs w:val="21"/>
              </w:rPr>
            </w:pPr>
            <w:r>
              <w:rPr>
                <w:rFonts w:ascii="Times New Roman" w:hAnsi="宋体"/>
                <w:szCs w:val="21"/>
              </w:rPr>
              <w:t>各辖市区</w:t>
            </w:r>
          </w:p>
          <w:p>
            <w:pPr>
              <w:spacing w:line="320" w:lineRule="exact"/>
              <w:jc w:val="center"/>
              <w:rPr>
                <w:rFonts w:ascii="Times New Roman" w:hAnsi="Times New Roman"/>
                <w:szCs w:val="21"/>
              </w:rPr>
            </w:pPr>
            <w:r>
              <w:rPr>
                <w:rFonts w:ascii="Times New Roman" w:hAnsi="宋体"/>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19</w:t>
            </w:r>
          </w:p>
        </w:tc>
        <w:tc>
          <w:tcPr>
            <w:tcW w:w="2410" w:type="dxa"/>
            <w:noWrap w:val="0"/>
            <w:vAlign w:val="center"/>
          </w:tcPr>
          <w:p>
            <w:pPr>
              <w:spacing w:line="320" w:lineRule="exact"/>
              <w:jc w:val="left"/>
              <w:rPr>
                <w:rFonts w:ascii="Times New Roman" w:hAnsi="Times New Roman"/>
                <w:szCs w:val="21"/>
              </w:rPr>
            </w:pPr>
            <w:r>
              <w:rPr>
                <w:rFonts w:ascii="Times New Roman" w:hAnsi="宋体"/>
                <w:szCs w:val="21"/>
              </w:rPr>
              <w:t>国家城乡融合发展试验区江苏宁锡常接合片区建设</w:t>
            </w:r>
          </w:p>
        </w:tc>
        <w:tc>
          <w:tcPr>
            <w:tcW w:w="6076" w:type="dxa"/>
            <w:noWrap w:val="0"/>
            <w:vAlign w:val="center"/>
          </w:tcPr>
          <w:p>
            <w:pPr>
              <w:spacing w:line="320" w:lineRule="exact"/>
              <w:jc w:val="left"/>
              <w:rPr>
                <w:rFonts w:ascii="Times New Roman" w:hAnsi="Times New Roman"/>
                <w:szCs w:val="21"/>
              </w:rPr>
            </w:pPr>
            <w:r>
              <w:rPr>
                <w:rFonts w:ascii="Times New Roman" w:hAnsi="宋体"/>
                <w:szCs w:val="21"/>
              </w:rPr>
              <w:t>围绕农村集体经营性建设用地入市、科技成果入乡转化、城乡产业协同发展、生态产品价值实现、农民持续增收等任务推进建设，试验区城乡生产要素双向流动的制度性通道基本打通，形成可复制可推广的改革经验。</w:t>
            </w:r>
          </w:p>
        </w:tc>
        <w:tc>
          <w:tcPr>
            <w:tcW w:w="1694" w:type="dxa"/>
            <w:noWrap w:val="0"/>
            <w:vAlign w:val="center"/>
          </w:tcPr>
          <w:p>
            <w:pPr>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spacing w:line="320" w:lineRule="exact"/>
              <w:jc w:val="center"/>
              <w:rPr>
                <w:rFonts w:ascii="Times New Roman" w:hAnsi="Times New Roman"/>
                <w:szCs w:val="21"/>
              </w:rPr>
            </w:pPr>
            <w:r>
              <w:rPr>
                <w:rFonts w:ascii="Times New Roman" w:hAnsi="宋体"/>
                <w:szCs w:val="21"/>
              </w:rPr>
              <w:t>市发改委</w:t>
            </w:r>
          </w:p>
        </w:tc>
        <w:tc>
          <w:tcPr>
            <w:tcW w:w="1613" w:type="dxa"/>
            <w:noWrap w:val="0"/>
            <w:vAlign w:val="center"/>
          </w:tcPr>
          <w:p>
            <w:pPr>
              <w:spacing w:line="320" w:lineRule="exact"/>
              <w:jc w:val="center"/>
              <w:rPr>
                <w:rFonts w:ascii="Times New Roman" w:hAnsi="Times New Roman"/>
                <w:szCs w:val="21"/>
              </w:rPr>
            </w:pPr>
            <w:r>
              <w:rPr>
                <w:rFonts w:ascii="Times New Roman" w:hAnsi="宋体"/>
                <w:szCs w:val="21"/>
              </w:rPr>
              <w:t>溧阳市</w:t>
            </w:r>
          </w:p>
          <w:p>
            <w:pPr>
              <w:spacing w:line="320" w:lineRule="exact"/>
              <w:jc w:val="center"/>
              <w:rPr>
                <w:rFonts w:ascii="Times New Roman" w:hAnsi="Times New Roman"/>
                <w:szCs w:val="21"/>
              </w:rPr>
            </w:pPr>
            <w:r>
              <w:rPr>
                <w:rFonts w:ascii="Times New Roman" w:hAnsi="宋体"/>
                <w:szCs w:val="21"/>
              </w:rPr>
              <w:t>金坛区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675" w:type="dxa"/>
            <w:noWrap w:val="0"/>
            <w:vAlign w:val="center"/>
          </w:tcPr>
          <w:p>
            <w:pPr>
              <w:spacing w:line="320" w:lineRule="exact"/>
              <w:jc w:val="center"/>
              <w:rPr>
                <w:rFonts w:ascii="Times New Roman" w:hAnsi="Times New Roman"/>
                <w:szCs w:val="21"/>
              </w:rPr>
            </w:pPr>
            <w:r>
              <w:rPr>
                <w:rFonts w:ascii="Times New Roman" w:hAnsi="Times New Roman"/>
                <w:szCs w:val="21"/>
              </w:rPr>
              <w:t>20</w:t>
            </w:r>
          </w:p>
        </w:tc>
        <w:tc>
          <w:tcPr>
            <w:tcW w:w="2410" w:type="dxa"/>
            <w:noWrap w:val="0"/>
            <w:vAlign w:val="center"/>
          </w:tcPr>
          <w:p>
            <w:pPr>
              <w:adjustRightInd w:val="0"/>
              <w:spacing w:line="320" w:lineRule="exact"/>
              <w:jc w:val="left"/>
              <w:rPr>
                <w:rFonts w:ascii="Times New Roman" w:hAnsi="Times New Roman"/>
                <w:szCs w:val="21"/>
              </w:rPr>
            </w:pPr>
            <w:r>
              <w:rPr>
                <w:rFonts w:ascii="Times New Roman" w:hAnsi="宋体"/>
                <w:szCs w:val="21"/>
              </w:rPr>
              <w:t>钟楼乡村振兴</w:t>
            </w:r>
          </w:p>
          <w:p>
            <w:pPr>
              <w:adjustRightInd w:val="0"/>
              <w:spacing w:line="320" w:lineRule="exact"/>
              <w:jc w:val="left"/>
              <w:rPr>
                <w:rFonts w:ascii="Times New Roman" w:hAnsi="Times New Roman"/>
                <w:szCs w:val="21"/>
              </w:rPr>
            </w:pPr>
            <w:r>
              <w:rPr>
                <w:rFonts w:ascii="Times New Roman" w:hAnsi="宋体"/>
                <w:szCs w:val="21"/>
              </w:rPr>
              <w:t>实验区建设</w:t>
            </w:r>
          </w:p>
        </w:tc>
        <w:tc>
          <w:tcPr>
            <w:tcW w:w="6076" w:type="dxa"/>
            <w:noWrap w:val="0"/>
            <w:vAlign w:val="center"/>
          </w:tcPr>
          <w:p>
            <w:pPr>
              <w:adjustRightInd w:val="0"/>
              <w:spacing w:line="320" w:lineRule="exact"/>
              <w:jc w:val="left"/>
              <w:rPr>
                <w:rFonts w:ascii="Times New Roman" w:hAnsi="Times New Roman"/>
                <w:szCs w:val="21"/>
              </w:rPr>
            </w:pPr>
            <w:r>
              <w:rPr>
                <w:rFonts w:ascii="Times New Roman" w:hAnsi="宋体"/>
                <w:szCs w:val="21"/>
              </w:rPr>
              <w:t>规划面积</w:t>
            </w:r>
            <w:r>
              <w:rPr>
                <w:rFonts w:ascii="Times New Roman" w:hAnsi="Times New Roman"/>
                <w:szCs w:val="21"/>
              </w:rPr>
              <w:t>7.67</w:t>
            </w:r>
            <w:r>
              <w:rPr>
                <w:rFonts w:ascii="Times New Roman" w:hAnsi="宋体"/>
                <w:szCs w:val="21"/>
              </w:rPr>
              <w:t>平方公里，打造集创新教育、文创基地、创新办公、产业园区、城市商业于一体的殷杏泰产教融合试验区，形成</w:t>
            </w:r>
            <w:r>
              <w:rPr>
                <w:rFonts w:ascii="Times New Roman" w:hAnsi="Times New Roman"/>
                <w:szCs w:val="21"/>
              </w:rPr>
              <w:t>“</w:t>
            </w:r>
            <w:r>
              <w:rPr>
                <w:rFonts w:ascii="Times New Roman" w:hAnsi="宋体"/>
                <w:szCs w:val="21"/>
              </w:rPr>
              <w:t>城校乡</w:t>
            </w:r>
            <w:r>
              <w:rPr>
                <w:rFonts w:ascii="Times New Roman" w:hAnsi="Times New Roman"/>
                <w:szCs w:val="21"/>
              </w:rPr>
              <w:t>”</w:t>
            </w:r>
            <w:r>
              <w:rPr>
                <w:rFonts w:ascii="Times New Roman" w:hAnsi="宋体"/>
                <w:szCs w:val="21"/>
              </w:rPr>
              <w:t>一体的产教融合、城乡融合示范区。</w:t>
            </w:r>
          </w:p>
        </w:tc>
        <w:tc>
          <w:tcPr>
            <w:tcW w:w="1694" w:type="dxa"/>
            <w:noWrap w:val="0"/>
            <w:vAlign w:val="center"/>
          </w:tcPr>
          <w:p>
            <w:pPr>
              <w:adjustRightInd w:val="0"/>
              <w:spacing w:line="320" w:lineRule="exact"/>
              <w:jc w:val="center"/>
              <w:rPr>
                <w:rFonts w:ascii="Times New Roman" w:hAnsi="Times New Roman"/>
                <w:szCs w:val="21"/>
              </w:rPr>
            </w:pPr>
            <w:r>
              <w:rPr>
                <w:rFonts w:ascii="Times New Roman" w:hAnsi="Times New Roman"/>
                <w:szCs w:val="21"/>
              </w:rPr>
              <w:t>2021-2025</w:t>
            </w:r>
            <w:r>
              <w:rPr>
                <w:rFonts w:ascii="Times New Roman" w:hAnsi="宋体"/>
                <w:szCs w:val="21"/>
              </w:rPr>
              <w:t>年</w:t>
            </w:r>
          </w:p>
        </w:tc>
        <w:tc>
          <w:tcPr>
            <w:tcW w:w="1750" w:type="dxa"/>
            <w:noWrap w:val="0"/>
            <w:vAlign w:val="center"/>
          </w:tcPr>
          <w:p>
            <w:pPr>
              <w:adjustRightInd w:val="0"/>
              <w:spacing w:line="320" w:lineRule="exact"/>
              <w:jc w:val="center"/>
              <w:rPr>
                <w:rFonts w:ascii="Times New Roman" w:hAnsi="Times New Roman"/>
                <w:szCs w:val="21"/>
              </w:rPr>
            </w:pPr>
            <w:r>
              <w:rPr>
                <w:rFonts w:ascii="Times New Roman" w:hAnsi="宋体"/>
                <w:szCs w:val="21"/>
              </w:rPr>
              <w:t>钟楼区</w:t>
            </w:r>
          </w:p>
        </w:tc>
        <w:tc>
          <w:tcPr>
            <w:tcW w:w="1613" w:type="dxa"/>
            <w:noWrap w:val="0"/>
            <w:vAlign w:val="center"/>
          </w:tcPr>
          <w:p>
            <w:pPr>
              <w:spacing w:line="320" w:lineRule="exact"/>
              <w:jc w:val="center"/>
              <w:rPr>
                <w:rFonts w:ascii="Times New Roman" w:hAnsi="Times New Roman"/>
                <w:szCs w:val="21"/>
              </w:rPr>
            </w:pPr>
          </w:p>
        </w:tc>
      </w:tr>
    </w:tbl>
    <w:p/>
    <w:sectPr>
      <w:pgSz w:w="16838" w:h="11906" w:orient="landscape"/>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2000000000000000000"/>
    <w:charset w:val="86"/>
    <w:family w:val="script"/>
    <w:pitch w:val="default"/>
    <w:sig w:usb0="A00002BF" w:usb1="38CF7CFA" w:usb2="00082016" w:usb3="00000000" w:csb0="00040001"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楷体_GBK">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 w:name="方正仿宋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adjustRightInd w:val="0"/>
      <w:ind w:right="210" w:rightChars="100"/>
      <w:jc w:val="right"/>
      <w:rPr>
        <w:rFonts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75</w:t>
    </w:r>
    <w:r>
      <w:rPr>
        <w:rFonts w:ascii="Times New Roman" w:hAnsi="Times New Roman"/>
        <w:sz w:val="28"/>
        <w:szCs w:val="28"/>
      </w:rPr>
      <w:fldChar w:fldCharType="end"/>
    </w:r>
    <w:r>
      <w:rPr>
        <w:rFonts w:hint="eastAsia" w:ascii="Times New Roman" w:hAnsi="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adjustRightInd w:val="0"/>
      <w:ind w:left="210" w:leftChars="100"/>
      <w:rPr>
        <w:rFonts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76</w:t>
    </w:r>
    <w:r>
      <w:rPr>
        <w:rFonts w:ascii="Times New Roman" w:hAnsi="Times New Roman"/>
        <w:sz w:val="28"/>
        <w:szCs w:val="28"/>
      </w:rPr>
      <w:fldChar w:fldCharType="end"/>
    </w:r>
    <w:r>
      <w:rPr>
        <w:rFonts w:hint="eastAsia" w:ascii="Times New Roman" w:hAnsi="Times New Roman"/>
        <w:sz w:val="28"/>
        <w:szCs w:val="28"/>
      </w:rPr>
      <w:t xml:space="preserve"> —</w:t>
    </w:r>
  </w:p>
  <w:p>
    <w:pPr>
      <w:pStyle w:val="4"/>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1B6917"/>
    <w:multiLevelType w:val="multilevel"/>
    <w:tmpl w:val="321B6917"/>
    <w:lvl w:ilvl="0" w:tentative="0">
      <w:start w:val="1"/>
      <w:numFmt w:val="decimal"/>
      <w:lvlText w:val="%1"/>
      <w:lvlJc w:val="left"/>
      <w:pPr>
        <w:ind w:left="992" w:hanging="425"/>
      </w:pPr>
      <w:rPr>
        <w:rFonts w:hint="default" w:cs="Times New Roman"/>
        <w:b w:val="0"/>
        <w:bCs w:val="0"/>
        <w:i w:val="0"/>
        <w:iCs w:val="0"/>
        <w:caps w:val="0"/>
        <w:smallCaps w:val="0"/>
        <w:strike w:val="0"/>
        <w:dstrike w:val="0"/>
        <w:vanish w:val="0"/>
        <w:spacing w:val="0"/>
        <w:kern w:val="0"/>
        <w:position w:val="0"/>
        <w:sz w:val="32"/>
        <w:u w:val="none"/>
        <w:vertAlign w:val="baseline"/>
      </w:rPr>
    </w:lvl>
    <w:lvl w:ilvl="1" w:tentative="0">
      <w:start w:val="1"/>
      <w:numFmt w:val="decimal"/>
      <w:lvlText w:val="%1.%2"/>
      <w:lvlJc w:val="left"/>
      <w:pPr>
        <w:ind w:left="992" w:hanging="567"/>
      </w:pPr>
      <w:rPr>
        <w:rFonts w:hint="eastAsia" w:cs="Times New Roman"/>
      </w:rPr>
    </w:lvl>
    <w:lvl w:ilvl="2" w:tentative="0">
      <w:start w:val="1"/>
      <w:numFmt w:val="decimal"/>
      <w:suff w:val="space"/>
      <w:lvlText w:val="%1.%2.%3"/>
      <w:lvlJc w:val="left"/>
      <w:pPr>
        <w:ind w:left="1418" w:hanging="567"/>
      </w:pPr>
      <w:rPr>
        <w:rFonts w:hint="eastAsia" w:cs="Times New Roman"/>
      </w:rPr>
    </w:lvl>
    <w:lvl w:ilvl="3" w:tentative="0">
      <w:start w:val="1"/>
      <w:numFmt w:val="decimal"/>
      <w:lvlText w:val="%1.%2.%3.%4"/>
      <w:lvlJc w:val="left"/>
      <w:pPr>
        <w:ind w:left="1984" w:hanging="708"/>
      </w:pPr>
      <w:rPr>
        <w:rFonts w:hint="eastAsia" w:cs="Times New Roman"/>
      </w:rPr>
    </w:lvl>
    <w:lvl w:ilvl="4" w:tentative="0">
      <w:start w:val="1"/>
      <w:numFmt w:val="decimal"/>
      <w:lvlText w:val="%1.%2.%3.%4.%5"/>
      <w:lvlJc w:val="left"/>
      <w:pPr>
        <w:ind w:left="2551" w:hanging="850"/>
      </w:pPr>
      <w:rPr>
        <w:rFonts w:hint="eastAsia" w:cs="Times New Roman"/>
      </w:rPr>
    </w:lvl>
    <w:lvl w:ilvl="5" w:tentative="0">
      <w:start w:val="1"/>
      <w:numFmt w:val="decimal"/>
      <w:lvlText w:val="%1.%2.%3.%4.%5.%6"/>
      <w:lvlJc w:val="left"/>
      <w:pPr>
        <w:ind w:left="3260" w:hanging="1134"/>
      </w:pPr>
      <w:rPr>
        <w:rFonts w:hint="eastAsia" w:cs="Times New Roman"/>
      </w:rPr>
    </w:lvl>
    <w:lvl w:ilvl="6" w:tentative="0">
      <w:start w:val="1"/>
      <w:numFmt w:val="decimal"/>
      <w:lvlText w:val="%1.%2.%3.%4.%5.%6.%7"/>
      <w:lvlJc w:val="left"/>
      <w:pPr>
        <w:ind w:left="3827" w:hanging="1276"/>
      </w:pPr>
      <w:rPr>
        <w:rFonts w:hint="eastAsia" w:cs="Times New Roman"/>
      </w:rPr>
    </w:lvl>
    <w:lvl w:ilvl="7" w:tentative="0">
      <w:start w:val="1"/>
      <w:numFmt w:val="decimal"/>
      <w:lvlText w:val="%1.%2.%3.%4.%5.%6.%7.%8"/>
      <w:lvlJc w:val="left"/>
      <w:pPr>
        <w:ind w:left="4394" w:hanging="1418"/>
      </w:pPr>
      <w:rPr>
        <w:rFonts w:hint="eastAsia" w:cs="Times New Roman"/>
      </w:rPr>
    </w:lvl>
    <w:lvl w:ilvl="8" w:tentative="0">
      <w:start w:val="1"/>
      <w:numFmt w:val="decimal"/>
      <w:lvlText w:val="%1.%2.%3.%4.%5.%6.%7.%8.%9"/>
      <w:lvlJc w:val="left"/>
      <w:pPr>
        <w:ind w:left="5102"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jMzdkZWU4YmZkZDFhYWM4N2Y5MjM0MmMyYzg3MmIifQ=="/>
  </w:docVars>
  <w:rsids>
    <w:rsidRoot w:val="1E5312F7"/>
    <w:rsid w:val="119046D8"/>
    <w:rsid w:val="1E5312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Cambria" w:hAnsi="Cambria" w:eastAsia="宋体" w:cs="Times New Roman"/>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99"/>
    <w:rPr>
      <w:rFonts w:ascii="宋体" w:hAnsi="宋体" w:cs="宋体"/>
      <w:sz w:val="32"/>
      <w:szCs w:val="32"/>
    </w:rPr>
  </w:style>
  <w:style w:type="paragraph" w:styleId="5">
    <w:name w:val="footer"/>
    <w:basedOn w:val="1"/>
    <w:qFormat/>
    <w:uiPriority w:val="99"/>
    <w:pPr>
      <w:tabs>
        <w:tab w:val="center" w:pos="4153"/>
        <w:tab w:val="right" w:pos="8306"/>
      </w:tabs>
      <w:snapToGrid w:val="0"/>
      <w:jc w:val="left"/>
    </w:pPr>
    <w:rPr>
      <w:sz w:val="18"/>
    </w:rPr>
  </w:style>
  <w:style w:type="paragraph" w:customStyle="1" w:styleId="8">
    <w:name w:val="正文文本 (2)"/>
    <w:basedOn w:val="1"/>
    <w:uiPriority w:val="99"/>
    <w:pPr>
      <w:shd w:val="clear" w:color="auto" w:fill="FFFFFF"/>
      <w:spacing w:before="540" w:line="576" w:lineRule="exact"/>
      <w:ind w:hanging="460"/>
      <w:jc w:val="distribute"/>
    </w:pPr>
    <w:rPr>
      <w:rFonts w:ascii="宋体" w:hAnsi="宋体"/>
      <w:kern w:val="0"/>
      <w:sz w:val="30"/>
      <w:szCs w:val="30"/>
    </w:rPr>
  </w:style>
  <w:style w:type="paragraph" w:styleId="9">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72</Pages>
  <Words>40353</Words>
  <Characters>41167</Characters>
  <Lines>0</Lines>
  <Paragraphs>0</Paragraphs>
  <TotalTime>0</TotalTime>
  <ScaleCrop>false</ScaleCrop>
  <LinksUpToDate>false</LinksUpToDate>
  <CharactersWithSpaces>41180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2021-12-14T08:46:00Z</dcterms:created>
  <dc:creator>丹丹</dc:creator>
  <cp:lastModifiedBy>萌中有萌自然萌1412224340</cp:lastModifiedBy>
  <dcterms:modified xsi:type="dcterms:W3CDTF">2022-06-28T08:39:34Z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7E4765F6C94B4CEC8193E38BBC56E2F1</vt:lpwstr>
  </property>
</Properties>
</file>