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3D75A">
      <w:pPr>
        <w:pStyle w:val="6"/>
        <w:overflowPunct w:val="0"/>
        <w:autoSpaceDE w:val="0"/>
        <w:autoSpaceDN w:val="0"/>
        <w:spacing w:line="500" w:lineRule="exact"/>
        <w:jc w:val="both"/>
        <w:rPr>
          <w:rFonts w:ascii="Times New Roman" w:eastAsia="方正黑体_GBK"/>
          <w:snapToGrid w:val="0"/>
          <w:kern w:val="0"/>
          <w:sz w:val="32"/>
          <w:szCs w:val="32"/>
          <w:lang w:val="zh-TW" w:eastAsia="zh-CN"/>
        </w:rPr>
      </w:pPr>
      <w:r>
        <w:rPr>
          <w:rFonts w:ascii="Times New Roman" w:eastAsia="方正黑体_GBK"/>
          <w:snapToGrid w:val="0"/>
          <w:kern w:val="0"/>
          <w:sz w:val="32"/>
          <w:szCs w:val="32"/>
          <w:lang w:val="zh-TW" w:eastAsia="zh-CN"/>
        </w:rPr>
        <w:t>附件2</w:t>
      </w:r>
    </w:p>
    <w:p w14:paraId="756098CD">
      <w:pPr>
        <w:snapToGrid w:val="0"/>
        <w:spacing w:before="240" w:after="240" w:line="500" w:lineRule="exact"/>
        <w:jc w:val="center"/>
        <w:rPr>
          <w:rFonts w:ascii="方正小标宋_GBK" w:hAnsi="Times New Roman" w:eastAsia="方正小标宋_GBK"/>
          <w:color w:val="000000"/>
          <w:sz w:val="44"/>
          <w:szCs w:val="44"/>
          <w:lang w:val="zh-TW"/>
        </w:rPr>
      </w:pPr>
      <w:r>
        <w:rPr>
          <w:rFonts w:ascii="方正小标宋_GBK" w:hAnsi="Times New Roman" w:eastAsia="方正小标宋_GBK"/>
          <w:color w:val="000000"/>
          <w:sz w:val="44"/>
          <w:szCs w:val="44"/>
          <w:lang w:val="zh-TW"/>
        </w:rPr>
        <w:t>2024年重点任务清单</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05"/>
        <w:gridCol w:w="10553"/>
        <w:gridCol w:w="3336"/>
      </w:tblGrid>
      <w:tr w14:paraId="076D6B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959" w:type="dxa"/>
            <w:noWrap w:val="0"/>
            <w:vAlign w:val="center"/>
          </w:tcPr>
          <w:p w14:paraId="2489806D">
            <w:pPr>
              <w:pStyle w:val="6"/>
              <w:overflowPunct w:val="0"/>
              <w:autoSpaceDE w:val="0"/>
              <w:autoSpaceDN w:val="0"/>
              <w:spacing w:line="400" w:lineRule="exact"/>
              <w:rPr>
                <w:rFonts w:ascii="Times New Roman" w:eastAsia="方正黑体_GBK"/>
                <w:snapToGrid w:val="0"/>
                <w:kern w:val="0"/>
                <w:sz w:val="32"/>
                <w:szCs w:val="32"/>
                <w:lang w:val="zh-TW" w:eastAsia="zh-CN"/>
              </w:rPr>
            </w:pPr>
            <w:r>
              <w:rPr>
                <w:rFonts w:ascii="Times New Roman" w:eastAsia="方正黑体_GBK"/>
                <w:snapToGrid w:val="0"/>
                <w:kern w:val="0"/>
                <w:sz w:val="32"/>
                <w:szCs w:val="32"/>
                <w:lang w:val="zh-TW" w:eastAsia="zh-CN"/>
              </w:rPr>
              <w:t>序号</w:t>
            </w:r>
          </w:p>
        </w:tc>
        <w:tc>
          <w:tcPr>
            <w:tcW w:w="10074" w:type="dxa"/>
            <w:noWrap w:val="0"/>
            <w:vAlign w:val="center"/>
          </w:tcPr>
          <w:p w14:paraId="05C7FF62">
            <w:pPr>
              <w:pStyle w:val="6"/>
              <w:overflowPunct w:val="0"/>
              <w:autoSpaceDE w:val="0"/>
              <w:autoSpaceDN w:val="0"/>
              <w:spacing w:line="400" w:lineRule="exact"/>
              <w:rPr>
                <w:rFonts w:ascii="Times New Roman" w:eastAsia="方正黑体_GBK"/>
                <w:snapToGrid w:val="0"/>
                <w:kern w:val="0"/>
                <w:sz w:val="32"/>
                <w:szCs w:val="32"/>
                <w:lang w:val="zh-TW" w:eastAsia="zh-CN"/>
              </w:rPr>
            </w:pPr>
            <w:r>
              <w:rPr>
                <w:rFonts w:ascii="Times New Roman" w:eastAsia="方正黑体_GBK"/>
                <w:snapToGrid w:val="0"/>
                <w:kern w:val="0"/>
                <w:sz w:val="32"/>
                <w:szCs w:val="32"/>
                <w:lang w:val="zh-TW" w:eastAsia="zh-CN"/>
              </w:rPr>
              <w:t>推进任务</w:t>
            </w:r>
          </w:p>
        </w:tc>
        <w:tc>
          <w:tcPr>
            <w:tcW w:w="3185" w:type="dxa"/>
            <w:noWrap w:val="0"/>
            <w:vAlign w:val="center"/>
          </w:tcPr>
          <w:p w14:paraId="172789F2">
            <w:pPr>
              <w:pStyle w:val="6"/>
              <w:overflowPunct w:val="0"/>
              <w:autoSpaceDE w:val="0"/>
              <w:autoSpaceDN w:val="0"/>
              <w:spacing w:line="400" w:lineRule="exact"/>
              <w:rPr>
                <w:rFonts w:ascii="Times New Roman" w:eastAsia="方正黑体_GBK"/>
                <w:snapToGrid w:val="0"/>
                <w:kern w:val="0"/>
                <w:sz w:val="32"/>
                <w:szCs w:val="32"/>
                <w:lang w:val="zh-TW" w:eastAsia="zh-CN"/>
              </w:rPr>
            </w:pPr>
            <w:r>
              <w:rPr>
                <w:rFonts w:ascii="Times New Roman" w:eastAsia="方正黑体_GBK"/>
                <w:snapToGrid w:val="0"/>
                <w:kern w:val="0"/>
                <w:sz w:val="32"/>
                <w:szCs w:val="32"/>
                <w:lang w:val="zh-TW" w:eastAsia="zh-CN"/>
              </w:rPr>
              <w:t>责任单位</w:t>
            </w:r>
          </w:p>
        </w:tc>
      </w:tr>
      <w:tr w14:paraId="476997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18E249A9">
            <w:pPr>
              <w:autoSpaceDE w:val="0"/>
              <w:autoSpaceDN w:val="0"/>
              <w:adjustRightInd w:val="0"/>
              <w:snapToGrid w:val="0"/>
              <w:spacing w:line="400" w:lineRule="exact"/>
              <w:jc w:val="center"/>
              <w:rPr>
                <w:rFonts w:ascii="Times New Roman" w:hAnsi="Times New Roman" w:eastAsia="仿宋_GB2312"/>
                <w:color w:val="000000"/>
                <w:sz w:val="28"/>
                <w:szCs w:val="28"/>
              </w:rPr>
            </w:pPr>
            <w:r>
              <w:rPr>
                <w:rFonts w:ascii="Times New Roman" w:hAnsi="Times New Roman" w:eastAsia="仿宋_GB2312"/>
                <w:color w:val="000000"/>
                <w:sz w:val="28"/>
                <w:szCs w:val="28"/>
              </w:rPr>
              <w:t>1</w:t>
            </w:r>
          </w:p>
        </w:tc>
        <w:tc>
          <w:tcPr>
            <w:tcW w:w="10074" w:type="dxa"/>
            <w:noWrap w:val="0"/>
            <w:vAlign w:val="center"/>
          </w:tcPr>
          <w:p w14:paraId="5368A3C8">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组织开展近零碳试点申报，启动3个以上试点园区、5个以上试点工厂建设。</w:t>
            </w:r>
          </w:p>
        </w:tc>
        <w:tc>
          <w:tcPr>
            <w:tcW w:w="3185" w:type="dxa"/>
            <w:noWrap w:val="0"/>
            <w:vAlign w:val="center"/>
          </w:tcPr>
          <w:p w14:paraId="3038590B">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p w14:paraId="5DEC4A92">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市工信局</w:t>
            </w:r>
          </w:p>
        </w:tc>
      </w:tr>
      <w:tr w14:paraId="0DD436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125D1FE4">
            <w:pPr>
              <w:autoSpaceDE w:val="0"/>
              <w:autoSpaceDN w:val="0"/>
              <w:adjustRightInd w:val="0"/>
              <w:snapToGrid w:val="0"/>
              <w:spacing w:line="400" w:lineRule="exact"/>
              <w:jc w:val="center"/>
              <w:rPr>
                <w:rFonts w:ascii="Times New Roman" w:hAnsi="Times New Roman" w:eastAsia="仿宋_GB2312"/>
                <w:color w:val="000000"/>
                <w:sz w:val="28"/>
                <w:szCs w:val="28"/>
              </w:rPr>
            </w:pPr>
            <w:r>
              <w:rPr>
                <w:rFonts w:ascii="Times New Roman" w:hAnsi="Times New Roman" w:eastAsia="仿宋_GB2312"/>
                <w:color w:val="000000"/>
                <w:sz w:val="28"/>
                <w:szCs w:val="28"/>
              </w:rPr>
              <w:t>2</w:t>
            </w:r>
          </w:p>
        </w:tc>
        <w:tc>
          <w:tcPr>
            <w:tcW w:w="10074" w:type="dxa"/>
            <w:noWrap w:val="0"/>
            <w:vAlign w:val="center"/>
          </w:tcPr>
          <w:p w14:paraId="654A609C">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组织开展新型智能微电网项目申报，启动10个以上新型智能微电网试点建设。</w:t>
            </w:r>
          </w:p>
        </w:tc>
        <w:tc>
          <w:tcPr>
            <w:tcW w:w="3185" w:type="dxa"/>
            <w:noWrap w:val="0"/>
            <w:vAlign w:val="center"/>
          </w:tcPr>
          <w:p w14:paraId="529B565B">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tc>
      </w:tr>
      <w:tr w14:paraId="430DB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320AC28C">
            <w:pPr>
              <w:autoSpaceDE w:val="0"/>
              <w:autoSpaceDN w:val="0"/>
              <w:adjustRightInd w:val="0"/>
              <w:snapToGrid w:val="0"/>
              <w:spacing w:line="400" w:lineRule="exact"/>
              <w:jc w:val="center"/>
              <w:rPr>
                <w:rFonts w:ascii="Times New Roman" w:hAnsi="Times New Roman" w:eastAsia="仿宋_GB2312"/>
                <w:color w:val="000000"/>
                <w:sz w:val="28"/>
                <w:szCs w:val="28"/>
              </w:rPr>
            </w:pPr>
            <w:r>
              <w:rPr>
                <w:rFonts w:ascii="Times New Roman" w:hAnsi="Times New Roman" w:eastAsia="仿宋_GB2312"/>
                <w:color w:val="000000"/>
                <w:sz w:val="28"/>
                <w:szCs w:val="28"/>
              </w:rPr>
              <w:t>3</w:t>
            </w:r>
          </w:p>
        </w:tc>
        <w:tc>
          <w:tcPr>
            <w:tcW w:w="10074" w:type="dxa"/>
            <w:noWrap w:val="0"/>
            <w:vAlign w:val="center"/>
          </w:tcPr>
          <w:p w14:paraId="085F0C61">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制定近零碳试点财政支持政策。</w:t>
            </w:r>
          </w:p>
        </w:tc>
        <w:tc>
          <w:tcPr>
            <w:tcW w:w="3185" w:type="dxa"/>
            <w:noWrap w:val="0"/>
            <w:vAlign w:val="center"/>
          </w:tcPr>
          <w:p w14:paraId="50B778DC">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p w14:paraId="5EAEA051">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市工信局</w:t>
            </w:r>
          </w:p>
          <w:p w14:paraId="7B42AADD">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市财政局</w:t>
            </w:r>
          </w:p>
        </w:tc>
      </w:tr>
      <w:tr w14:paraId="65E83A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7DD66AC9">
            <w:pPr>
              <w:autoSpaceDE w:val="0"/>
              <w:autoSpaceDN w:val="0"/>
              <w:adjustRightInd w:val="0"/>
              <w:snapToGrid w:val="0"/>
              <w:spacing w:line="400" w:lineRule="exact"/>
              <w:jc w:val="center"/>
              <w:rPr>
                <w:rFonts w:ascii="Times New Roman" w:hAnsi="Times New Roman" w:eastAsia="仿宋_GB2312"/>
                <w:color w:val="000000"/>
                <w:sz w:val="28"/>
                <w:szCs w:val="28"/>
              </w:rPr>
            </w:pPr>
            <w:r>
              <w:rPr>
                <w:rFonts w:ascii="Times New Roman" w:hAnsi="Times New Roman" w:eastAsia="仿宋_GB2312"/>
                <w:snapToGrid w:val="0"/>
                <w:color w:val="000000"/>
                <w:kern w:val="0"/>
                <w:sz w:val="28"/>
                <w:szCs w:val="28"/>
              </w:rPr>
              <w:t>4</w:t>
            </w:r>
          </w:p>
        </w:tc>
        <w:tc>
          <w:tcPr>
            <w:tcW w:w="10074" w:type="dxa"/>
            <w:noWrap w:val="0"/>
            <w:vAlign w:val="center"/>
          </w:tcPr>
          <w:p w14:paraId="04043F9C">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推动金融机构制定支持近零碳园区、近零碳工厂建设政策，在贷款额度、利率、期限、还款方式等方面给予支持。</w:t>
            </w:r>
          </w:p>
        </w:tc>
        <w:tc>
          <w:tcPr>
            <w:tcW w:w="3185" w:type="dxa"/>
            <w:noWrap w:val="0"/>
            <w:vAlign w:val="center"/>
          </w:tcPr>
          <w:p w14:paraId="63714047">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市政府办</w:t>
            </w:r>
          </w:p>
          <w:p w14:paraId="59B7A1FE">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人民银行常州市分行</w:t>
            </w:r>
          </w:p>
        </w:tc>
      </w:tr>
      <w:tr w14:paraId="6D9DEA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452FDB20">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5</w:t>
            </w:r>
          </w:p>
        </w:tc>
        <w:tc>
          <w:tcPr>
            <w:tcW w:w="10074" w:type="dxa"/>
            <w:noWrap w:val="0"/>
            <w:vAlign w:val="center"/>
          </w:tcPr>
          <w:p w14:paraId="1099F6D5">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以试点园区为主阵地，加快推进绿色制造体系建设，组织开展企业“智改数转”诊断，推进自愿性清洁生产审核，加大新能源汽车推广力度。</w:t>
            </w:r>
          </w:p>
        </w:tc>
        <w:tc>
          <w:tcPr>
            <w:tcW w:w="3185" w:type="dxa"/>
            <w:noWrap w:val="0"/>
            <w:vAlign w:val="center"/>
          </w:tcPr>
          <w:p w14:paraId="5C0F0587">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市工信局</w:t>
            </w:r>
          </w:p>
        </w:tc>
      </w:tr>
      <w:tr w14:paraId="119D2D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490D2D89">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6</w:t>
            </w:r>
          </w:p>
        </w:tc>
        <w:tc>
          <w:tcPr>
            <w:tcW w:w="10074" w:type="dxa"/>
            <w:noWrap w:val="0"/>
            <w:vAlign w:val="center"/>
          </w:tcPr>
          <w:p w14:paraId="16F6C039">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以试点园区为主阵地，引入高校、研究机构、行业协会、专家智库、绿色低碳企业等科技创新资源，推动园区企业开展重点实验室、工程研究中心、产业（技术）创新中心等创建和绿色低碳前沿技术研发。</w:t>
            </w:r>
          </w:p>
        </w:tc>
        <w:tc>
          <w:tcPr>
            <w:tcW w:w="3185" w:type="dxa"/>
            <w:noWrap w:val="0"/>
            <w:vAlign w:val="center"/>
          </w:tcPr>
          <w:p w14:paraId="3E89A338">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市科技局</w:t>
            </w:r>
          </w:p>
        </w:tc>
      </w:tr>
      <w:tr w14:paraId="4F65E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220BF423">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7</w:t>
            </w:r>
          </w:p>
        </w:tc>
        <w:tc>
          <w:tcPr>
            <w:tcW w:w="10074" w:type="dxa"/>
            <w:noWrap w:val="0"/>
            <w:vAlign w:val="center"/>
          </w:tcPr>
          <w:p w14:paraId="6EDB1791">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对符合条件的近零碳园区和近零碳工厂，按照相关政策给予资金支持；对符合条件的企业绿电消费，按照相关政策给予资金支持。</w:t>
            </w:r>
          </w:p>
        </w:tc>
        <w:tc>
          <w:tcPr>
            <w:tcW w:w="3185" w:type="dxa"/>
            <w:noWrap w:val="0"/>
            <w:vAlign w:val="center"/>
          </w:tcPr>
          <w:p w14:paraId="34324342">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p w14:paraId="25ADB3F9">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市工信局</w:t>
            </w:r>
          </w:p>
          <w:p w14:paraId="1107405A">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市财政局</w:t>
            </w:r>
          </w:p>
        </w:tc>
      </w:tr>
      <w:tr w14:paraId="0EF4FB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786205D7">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8</w:t>
            </w:r>
          </w:p>
        </w:tc>
        <w:tc>
          <w:tcPr>
            <w:tcW w:w="10074" w:type="dxa"/>
            <w:noWrap w:val="0"/>
            <w:vAlign w:val="center"/>
          </w:tcPr>
          <w:p w14:paraId="13657476">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以试点园区为主阵地，指导园区提升环境基础设施建设水平，落实无废园区建设要求，组织开展企业强制性清洁生产审核和碳排放核查。</w:t>
            </w:r>
          </w:p>
        </w:tc>
        <w:tc>
          <w:tcPr>
            <w:tcW w:w="3185" w:type="dxa"/>
            <w:noWrap w:val="0"/>
            <w:vAlign w:val="center"/>
          </w:tcPr>
          <w:p w14:paraId="2AA018B2">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市生态环境局</w:t>
            </w:r>
          </w:p>
        </w:tc>
      </w:tr>
      <w:tr w14:paraId="5F7FC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5BABFD69">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9</w:t>
            </w:r>
          </w:p>
        </w:tc>
        <w:tc>
          <w:tcPr>
            <w:tcW w:w="10074" w:type="dxa"/>
            <w:noWrap w:val="0"/>
            <w:vAlign w:val="center"/>
          </w:tcPr>
          <w:p w14:paraId="50C38D9B">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以试点园区为主阵地，大力发展绿色低碳建筑，推动园区新建建筑中二星及以上绿色建筑比例。</w:t>
            </w:r>
          </w:p>
        </w:tc>
        <w:tc>
          <w:tcPr>
            <w:tcW w:w="3185" w:type="dxa"/>
            <w:noWrap w:val="0"/>
            <w:vAlign w:val="center"/>
          </w:tcPr>
          <w:p w14:paraId="242540A2">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市住建局</w:t>
            </w:r>
          </w:p>
        </w:tc>
      </w:tr>
      <w:tr w14:paraId="64D8C4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5983937B">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10</w:t>
            </w:r>
          </w:p>
        </w:tc>
        <w:tc>
          <w:tcPr>
            <w:tcW w:w="10074" w:type="dxa"/>
            <w:noWrap w:val="0"/>
            <w:vAlign w:val="center"/>
          </w:tcPr>
          <w:p w14:paraId="3057FFC0">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以试点园区为主阵地，推动园区交通运输绿色化，提升园区货物清洁运输比。</w:t>
            </w:r>
          </w:p>
        </w:tc>
        <w:tc>
          <w:tcPr>
            <w:tcW w:w="3185" w:type="dxa"/>
            <w:noWrap w:val="0"/>
            <w:vAlign w:val="center"/>
          </w:tcPr>
          <w:p w14:paraId="545CA076">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市交通局</w:t>
            </w:r>
          </w:p>
          <w:p w14:paraId="59F1ED2F">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市市场监管局</w:t>
            </w:r>
          </w:p>
        </w:tc>
      </w:tr>
      <w:tr w14:paraId="545C48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3D6CBB2E">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11</w:t>
            </w:r>
          </w:p>
        </w:tc>
        <w:tc>
          <w:tcPr>
            <w:tcW w:w="10074" w:type="dxa"/>
            <w:noWrap w:val="0"/>
            <w:vAlign w:val="center"/>
          </w:tcPr>
          <w:p w14:paraId="1508C62B">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积极引导开发区绿色低碳发展，征集低碳发展典型推荐申报江苏省经开区绿色低碳转型发展实践案例。</w:t>
            </w:r>
          </w:p>
        </w:tc>
        <w:tc>
          <w:tcPr>
            <w:tcW w:w="3185" w:type="dxa"/>
            <w:noWrap w:val="0"/>
            <w:vAlign w:val="center"/>
          </w:tcPr>
          <w:p w14:paraId="20E4F8E6">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市商务局</w:t>
            </w:r>
          </w:p>
        </w:tc>
      </w:tr>
      <w:tr w14:paraId="1D0855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4292649F">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12</w:t>
            </w:r>
          </w:p>
        </w:tc>
        <w:tc>
          <w:tcPr>
            <w:tcW w:w="10074" w:type="dxa"/>
            <w:noWrap w:val="0"/>
            <w:vAlign w:val="center"/>
          </w:tcPr>
          <w:p w14:paraId="487584B1">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推动园区内企业开展产品碳足迹认证应用，支持园区企业参与碳足迹、碳排放标准制定。</w:t>
            </w:r>
          </w:p>
        </w:tc>
        <w:tc>
          <w:tcPr>
            <w:tcW w:w="3185" w:type="dxa"/>
            <w:noWrap w:val="0"/>
            <w:vAlign w:val="center"/>
          </w:tcPr>
          <w:p w14:paraId="4CD20C39">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市市场监管局</w:t>
            </w:r>
          </w:p>
          <w:p w14:paraId="74337E15">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tc>
      </w:tr>
      <w:tr w14:paraId="2F4356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11382D61">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13</w:t>
            </w:r>
          </w:p>
        </w:tc>
        <w:tc>
          <w:tcPr>
            <w:tcW w:w="10074" w:type="dxa"/>
            <w:noWrap w:val="0"/>
            <w:vAlign w:val="center"/>
          </w:tcPr>
          <w:p w14:paraId="24C08C5E">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建成市级虚拟电厂管理中心、建设绿电绿证服务站，配合开展新型智能微电网建设。</w:t>
            </w:r>
          </w:p>
        </w:tc>
        <w:tc>
          <w:tcPr>
            <w:tcW w:w="3185" w:type="dxa"/>
            <w:noWrap w:val="0"/>
            <w:vAlign w:val="center"/>
          </w:tcPr>
          <w:p w14:paraId="66B5AAB5">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常州供电公司</w:t>
            </w:r>
          </w:p>
          <w:p w14:paraId="42BADFFC">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市发展改革委</w:t>
            </w:r>
          </w:p>
          <w:p w14:paraId="41D22D3B">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常州市新能源集团</w:t>
            </w:r>
          </w:p>
        </w:tc>
      </w:tr>
      <w:tr w14:paraId="447D0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49FB77C5">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ascii="Times New Roman" w:hAnsi="Times New Roman" w:eastAsia="仿宋_GB2312"/>
                <w:snapToGrid w:val="0"/>
                <w:color w:val="000000"/>
                <w:kern w:val="0"/>
                <w:sz w:val="28"/>
                <w:szCs w:val="28"/>
              </w:rPr>
              <w:t>14</w:t>
            </w:r>
          </w:p>
        </w:tc>
        <w:tc>
          <w:tcPr>
            <w:tcW w:w="10074" w:type="dxa"/>
            <w:noWrap w:val="0"/>
            <w:vAlign w:val="center"/>
          </w:tcPr>
          <w:p w14:paraId="6C354C15">
            <w:pPr>
              <w:widowControl/>
              <w:autoSpaceDE w:val="0"/>
              <w:autoSpaceDN w:val="0"/>
              <w:adjustRightInd w:val="0"/>
              <w:spacing w:line="400" w:lineRule="exact"/>
              <w:rPr>
                <w:rFonts w:ascii="Times New Roman" w:hAnsi="Times New Roman" w:eastAsia="方正仿宋_GBK"/>
                <w:color w:val="000000"/>
                <w:sz w:val="28"/>
                <w:szCs w:val="28"/>
              </w:rPr>
            </w:pPr>
            <w:r>
              <w:rPr>
                <w:rFonts w:ascii="Times New Roman" w:hAnsi="Times New Roman" w:eastAsia="方正仿宋_GBK"/>
                <w:color w:val="000000"/>
                <w:sz w:val="28"/>
                <w:szCs w:val="28"/>
              </w:rPr>
              <w:t>推广近零碳园区、近零碳工厂各类新能源应用场景，以市场化合作方式参与新型智能微电网项目建设推进。</w:t>
            </w:r>
          </w:p>
        </w:tc>
        <w:tc>
          <w:tcPr>
            <w:tcW w:w="3185" w:type="dxa"/>
            <w:noWrap w:val="0"/>
            <w:vAlign w:val="center"/>
          </w:tcPr>
          <w:p w14:paraId="61388462">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常州市新能源集团</w:t>
            </w:r>
          </w:p>
          <w:p w14:paraId="2C5F9640">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ascii="Times New Roman" w:hAnsi="Times New Roman" w:eastAsia="方正仿宋_GBK"/>
                <w:color w:val="000000"/>
                <w:sz w:val="28"/>
                <w:szCs w:val="28"/>
              </w:rPr>
              <w:t>常州供电公司</w:t>
            </w:r>
          </w:p>
        </w:tc>
      </w:tr>
      <w:tr w14:paraId="570E6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9" w:type="dxa"/>
            <w:noWrap w:val="0"/>
            <w:vAlign w:val="center"/>
          </w:tcPr>
          <w:p w14:paraId="20A3AA27">
            <w:pPr>
              <w:autoSpaceDE w:val="0"/>
              <w:autoSpaceDN w:val="0"/>
              <w:adjustRightInd w:val="0"/>
              <w:snapToGrid w:val="0"/>
              <w:spacing w:line="400" w:lineRule="exact"/>
              <w:jc w:val="center"/>
              <w:rPr>
                <w:rFonts w:ascii="Times New Roman" w:hAnsi="Times New Roman" w:eastAsia="仿宋_GB2312"/>
                <w:snapToGrid w:val="0"/>
                <w:color w:val="000000"/>
                <w:kern w:val="0"/>
                <w:sz w:val="28"/>
                <w:szCs w:val="28"/>
              </w:rPr>
            </w:pPr>
            <w:r>
              <w:rPr>
                <w:rFonts w:hint="eastAsia" w:ascii="Times New Roman" w:hAnsi="Times New Roman" w:eastAsia="仿宋_GB2312"/>
                <w:snapToGrid w:val="0"/>
                <w:color w:val="000000"/>
                <w:kern w:val="0"/>
                <w:sz w:val="28"/>
                <w:szCs w:val="28"/>
              </w:rPr>
              <w:t>15</w:t>
            </w:r>
          </w:p>
        </w:tc>
        <w:tc>
          <w:tcPr>
            <w:tcW w:w="10074" w:type="dxa"/>
            <w:noWrap w:val="0"/>
            <w:vAlign w:val="center"/>
          </w:tcPr>
          <w:p w14:paraId="6061E521">
            <w:pPr>
              <w:widowControl/>
              <w:autoSpaceDE w:val="0"/>
              <w:autoSpaceDN w:val="0"/>
              <w:adjustRightInd w:val="0"/>
              <w:spacing w:line="400" w:lineRule="exact"/>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组织符合条件的园区、企业开展近零碳园区、近零碳工厂和新型智能微电网创建申报，协调推动入选的试点项目完成年度建设内容。</w:t>
            </w:r>
          </w:p>
        </w:tc>
        <w:tc>
          <w:tcPr>
            <w:tcW w:w="3185" w:type="dxa"/>
            <w:noWrap w:val="0"/>
            <w:vAlign w:val="center"/>
          </w:tcPr>
          <w:p w14:paraId="20152C8B">
            <w:pPr>
              <w:widowControl/>
              <w:autoSpaceDE w:val="0"/>
              <w:autoSpaceDN w:val="0"/>
              <w:adjustRightInd w:val="0"/>
              <w:spacing w:line="400" w:lineRule="exact"/>
              <w:jc w:val="center"/>
              <w:rPr>
                <w:rFonts w:hint="eastAsia" w:ascii="Times New Roman" w:hAnsi="Times New Roman" w:eastAsia="方正仿宋_GBK"/>
                <w:color w:val="000000"/>
                <w:sz w:val="28"/>
                <w:szCs w:val="28"/>
              </w:rPr>
            </w:pPr>
            <w:r>
              <w:rPr>
                <w:rFonts w:hint="eastAsia" w:ascii="Times New Roman" w:hAnsi="Times New Roman" w:eastAsia="方正仿宋_GBK"/>
                <w:color w:val="000000"/>
                <w:sz w:val="28"/>
                <w:szCs w:val="28"/>
              </w:rPr>
              <w:t>各辖市、区</w:t>
            </w:r>
          </w:p>
          <w:p w14:paraId="0241CDBF">
            <w:pPr>
              <w:widowControl/>
              <w:autoSpaceDE w:val="0"/>
              <w:autoSpaceDN w:val="0"/>
              <w:adjustRightInd w:val="0"/>
              <w:spacing w:line="400" w:lineRule="exact"/>
              <w:jc w:val="center"/>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常州经开区</w:t>
            </w:r>
          </w:p>
        </w:tc>
      </w:tr>
    </w:tbl>
    <w:p w14:paraId="537D72E7">
      <w:pPr>
        <w:overflowPunct w:val="0"/>
        <w:autoSpaceDE w:val="0"/>
        <w:autoSpaceDN w:val="0"/>
        <w:adjustRightInd w:val="0"/>
        <w:snapToGrid w:val="0"/>
        <w:spacing w:line="220" w:lineRule="exact"/>
        <w:rPr>
          <w:rFonts w:hint="eastAsia" w:ascii="Times New Roman" w:hAnsi="宋体"/>
          <w:snapToGrid w:val="0"/>
          <w:color w:val="000000"/>
          <w:kern w:val="0"/>
          <w:szCs w:val="21"/>
        </w:rPr>
      </w:pPr>
      <w:bookmarkStart w:id="0" w:name="_GoBack"/>
      <w:bookmarkEnd w:id="0"/>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05DDC96-8266-4095-A57F-6572FD22A1F3}"/>
  </w:font>
  <w:font w:name="方正小标宋简体">
    <w:altName w:val="Arial Unicode MS"/>
    <w:panose1 w:val="02010601030101010101"/>
    <w:charset w:val="86"/>
    <w:family w:val="auto"/>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embedRegular r:id="rId2" w:fontKey="{8A24BAA8-3815-4D4E-8928-294CF7026BAA}"/>
  </w:font>
  <w:font w:name="方正小标宋_GBK">
    <w:panose1 w:val="02000000000000000000"/>
    <w:charset w:val="86"/>
    <w:family w:val="script"/>
    <w:pitch w:val="default"/>
    <w:sig w:usb0="A00002BF" w:usb1="38CF7CFA" w:usb2="00082016" w:usb3="00000000" w:csb0="00040001" w:csb1="00000000"/>
    <w:embedRegular r:id="rId3" w:fontKey="{28DFCC10-3ABD-4572-BF21-689A1D253A17}"/>
  </w:font>
  <w:font w:name="仿宋_GB2312">
    <w:panose1 w:val="02010609030101010101"/>
    <w:charset w:val="86"/>
    <w:family w:val="modern"/>
    <w:pitch w:val="default"/>
    <w:sig w:usb0="00000001" w:usb1="080E0000" w:usb2="00000000" w:usb3="00000000" w:csb0="00040000" w:csb1="00000000"/>
    <w:embedRegular r:id="rId4" w:fontKey="{248197AE-589E-4E35-AA32-CD45BEBEA12A}"/>
  </w:font>
  <w:font w:name="方正仿宋_GBK">
    <w:altName w:val="Arial Unicode MS"/>
    <w:panose1 w:val="03000509000000000000"/>
    <w:charset w:val="86"/>
    <w:family w:val="script"/>
    <w:pitch w:val="default"/>
    <w:sig w:usb0="00000000" w:usb1="00000000" w:usb2="00000010" w:usb3="00000000" w:csb0="00040000" w:csb1="00000000"/>
    <w:embedRegular r:id="rId5" w:fontKey="{0EF89ED9-A694-4F54-8238-4A36EC9EA807}"/>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3D520AB3"/>
    <w:rsid w:val="3D520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材料标题"/>
    <w:basedOn w:val="1"/>
    <w:qFormat/>
    <w:uiPriority w:val="0"/>
    <w:pPr>
      <w:adjustRightInd w:val="0"/>
      <w:snapToGrid w:val="0"/>
      <w:spacing w:line="700" w:lineRule="exact"/>
      <w:jc w:val="center"/>
    </w:pPr>
    <w:rPr>
      <w:rFonts w:ascii="方正小标宋简体" w:hAnsi="Times New Roman" w:eastAsia="方正小标宋简体"/>
      <w:color w:val="000000"/>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2024-07-15T02:15:00Z</dcterms:created>
  <dc:creator>丹丹</dc:creator>
  <cp:lastModifiedBy>丹丹</cp:lastModifiedBy>
  <dcterms:modified xsi:type="dcterms:W3CDTF">2024-07-15T02:16:12Z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CA9CFB1E459D473A9E205CFE11D31FA2_11</vt:lpwstr>
  </property>
</Properties>
</file>