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ADC9AE">
      <w:pPr>
        <w:pStyle w:val="4"/>
        <w:overflowPunct w:val="0"/>
        <w:autoSpaceDE w:val="0"/>
        <w:autoSpaceDN w:val="0"/>
        <w:spacing w:line="500" w:lineRule="exact"/>
        <w:jc w:val="both"/>
        <w:rPr>
          <w:rFonts w:ascii="Times New Roman" w:eastAsia="方正黑体_GBK"/>
          <w:snapToGrid w:val="0"/>
          <w:kern w:val="0"/>
          <w:sz w:val="32"/>
          <w:szCs w:val="32"/>
          <w:lang w:val="zh-TW" w:eastAsia="zh-CN"/>
        </w:rPr>
      </w:pPr>
      <w:r>
        <w:rPr>
          <w:rFonts w:ascii="Times New Roman" w:eastAsia="方正黑体_GBK"/>
          <w:snapToGrid w:val="0"/>
          <w:kern w:val="0"/>
          <w:sz w:val="32"/>
          <w:szCs w:val="32"/>
          <w:lang w:val="zh-TW" w:eastAsia="zh-CN"/>
        </w:rPr>
        <w:t>附件5</w:t>
      </w:r>
    </w:p>
    <w:p w14:paraId="7D540E0D">
      <w:pPr>
        <w:snapToGrid w:val="0"/>
        <w:spacing w:line="570" w:lineRule="exact"/>
        <w:jc w:val="center"/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</w:pPr>
    </w:p>
    <w:p w14:paraId="38211FA5">
      <w:pPr>
        <w:snapToGrid w:val="0"/>
        <w:spacing w:line="570" w:lineRule="exact"/>
        <w:jc w:val="center"/>
        <w:rPr>
          <w:rFonts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</w:pPr>
      <w:r>
        <w:rPr>
          <w:rFonts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  <w:t>常州市近零碳工厂试点绩效指标体系</w:t>
      </w:r>
    </w:p>
    <w:p w14:paraId="7DDE5638">
      <w:pPr>
        <w:snapToGrid w:val="0"/>
        <w:spacing w:line="570" w:lineRule="exact"/>
        <w:jc w:val="center"/>
        <w:rPr>
          <w:rFonts w:ascii="方正小标宋_GBK" w:hAnsi="Times New Roman" w:eastAsia="方正小标宋_GBK"/>
          <w:snapToGrid w:val="0"/>
          <w:color w:val="000000"/>
          <w:kern w:val="0"/>
          <w:sz w:val="44"/>
          <w:szCs w:val="44"/>
          <w:lang w:val="zh-TW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738"/>
        <w:gridCol w:w="4190"/>
        <w:gridCol w:w="1937"/>
      </w:tblGrid>
      <w:tr w14:paraId="131919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675" w:type="dxa"/>
            <w:noWrap w:val="0"/>
            <w:vAlign w:val="center"/>
          </w:tcPr>
          <w:p w14:paraId="40AEEB52">
            <w:pPr>
              <w:widowControl/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1851" w:type="dxa"/>
            <w:noWrap w:val="0"/>
            <w:vAlign w:val="center"/>
          </w:tcPr>
          <w:p w14:paraId="5232A376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类别</w:t>
            </w:r>
          </w:p>
        </w:tc>
        <w:tc>
          <w:tcPr>
            <w:tcW w:w="4497" w:type="dxa"/>
            <w:noWrap w:val="0"/>
            <w:vAlign w:val="center"/>
          </w:tcPr>
          <w:p w14:paraId="7419D017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具体指标</w:t>
            </w:r>
          </w:p>
        </w:tc>
        <w:tc>
          <w:tcPr>
            <w:tcW w:w="2037" w:type="dxa"/>
            <w:noWrap w:val="0"/>
            <w:vAlign w:val="center"/>
          </w:tcPr>
          <w:p w14:paraId="5580875E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绩效参考值</w:t>
            </w:r>
          </w:p>
        </w:tc>
      </w:tr>
      <w:tr w14:paraId="1119F7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1FB8DE4C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Merge w:val="restart"/>
            <w:noWrap w:val="0"/>
            <w:vAlign w:val="center"/>
          </w:tcPr>
          <w:p w14:paraId="4B3E51E1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基础设施</w:t>
            </w:r>
          </w:p>
        </w:tc>
        <w:tc>
          <w:tcPr>
            <w:tcW w:w="4497" w:type="dxa"/>
            <w:noWrap w:val="0"/>
            <w:vAlign w:val="center"/>
          </w:tcPr>
          <w:p w14:paraId="7C810E83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采用节水器具和设备，年度节水率水平</w:t>
            </w:r>
          </w:p>
        </w:tc>
        <w:tc>
          <w:tcPr>
            <w:tcW w:w="2037" w:type="dxa"/>
            <w:noWrap w:val="0"/>
            <w:vAlign w:val="center"/>
          </w:tcPr>
          <w:p w14:paraId="666750E4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≥10%</w:t>
            </w:r>
          </w:p>
        </w:tc>
      </w:tr>
      <w:tr w14:paraId="42F4F53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4EF4D85A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44A180E3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758AC88D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可再生能源使用占建筑总能耗比例</w:t>
            </w:r>
          </w:p>
        </w:tc>
        <w:tc>
          <w:tcPr>
            <w:tcW w:w="2037" w:type="dxa"/>
            <w:noWrap w:val="0"/>
            <w:vAlign w:val="center"/>
          </w:tcPr>
          <w:p w14:paraId="0014901B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＞10%</w:t>
            </w:r>
          </w:p>
        </w:tc>
      </w:tr>
      <w:tr w14:paraId="32B4EB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51F7BAF5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4D802F2E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15AA7A83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节能型照明设备使用率</w:t>
            </w:r>
          </w:p>
        </w:tc>
        <w:tc>
          <w:tcPr>
            <w:tcW w:w="2037" w:type="dxa"/>
            <w:noWrap w:val="0"/>
            <w:vAlign w:val="center"/>
          </w:tcPr>
          <w:p w14:paraId="01DA3EDC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≥70%</w:t>
            </w:r>
          </w:p>
        </w:tc>
      </w:tr>
      <w:tr w14:paraId="56EF9F0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486851D0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6D7F7BB4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24E813E4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禁止类、淘汰类落后工艺技术和装备使用</w:t>
            </w:r>
          </w:p>
        </w:tc>
        <w:tc>
          <w:tcPr>
            <w:tcW w:w="2037" w:type="dxa"/>
            <w:noWrap w:val="0"/>
            <w:vAlign w:val="center"/>
          </w:tcPr>
          <w:p w14:paraId="1086F2CA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无</w:t>
            </w:r>
          </w:p>
        </w:tc>
      </w:tr>
      <w:tr w14:paraId="732262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72D1CCD9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72860C9A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4AAB9A46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新增主要用能产品设备能效水平</w:t>
            </w:r>
          </w:p>
        </w:tc>
        <w:tc>
          <w:tcPr>
            <w:tcW w:w="2037" w:type="dxa"/>
            <w:noWrap w:val="0"/>
            <w:vAlign w:val="center"/>
          </w:tcPr>
          <w:p w14:paraId="426F75BC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达到节能水平或先进水平</w:t>
            </w:r>
          </w:p>
        </w:tc>
      </w:tr>
      <w:tr w14:paraId="79D264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101D7FBA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5B4F3DB8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5613E16F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仓储、厂区内物流非化石运输工具使用率</w:t>
            </w:r>
          </w:p>
        </w:tc>
        <w:tc>
          <w:tcPr>
            <w:tcW w:w="2037" w:type="dxa"/>
            <w:noWrap w:val="0"/>
            <w:vAlign w:val="center"/>
          </w:tcPr>
          <w:p w14:paraId="769250D7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≥50%</w:t>
            </w:r>
          </w:p>
        </w:tc>
      </w:tr>
      <w:tr w14:paraId="4B33A7B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7E9C6301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3641DDCA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709C8A98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办公设备高效节能产品使用率</w:t>
            </w:r>
          </w:p>
        </w:tc>
        <w:tc>
          <w:tcPr>
            <w:tcW w:w="2037" w:type="dxa"/>
            <w:noWrap w:val="0"/>
            <w:vAlign w:val="center"/>
          </w:tcPr>
          <w:p w14:paraId="3C483318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＝100%</w:t>
            </w:r>
          </w:p>
        </w:tc>
      </w:tr>
      <w:tr w14:paraId="5AC110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043CD26C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51" w:type="dxa"/>
            <w:vMerge w:val="restart"/>
            <w:noWrap w:val="0"/>
            <w:vAlign w:val="center"/>
          </w:tcPr>
          <w:p w14:paraId="6FC62C37">
            <w:pPr>
              <w:widowControl/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能源与资源使用</w:t>
            </w:r>
          </w:p>
        </w:tc>
        <w:tc>
          <w:tcPr>
            <w:tcW w:w="4497" w:type="dxa"/>
            <w:noWrap w:val="0"/>
            <w:vAlign w:val="center"/>
          </w:tcPr>
          <w:p w14:paraId="37398D31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可用屋顶光伏覆盖率</w:t>
            </w:r>
          </w:p>
        </w:tc>
        <w:tc>
          <w:tcPr>
            <w:tcW w:w="2037" w:type="dxa"/>
            <w:noWrap w:val="0"/>
            <w:vAlign w:val="center"/>
          </w:tcPr>
          <w:p w14:paraId="7A7BE33F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＞50%</w:t>
            </w:r>
          </w:p>
        </w:tc>
      </w:tr>
      <w:tr w14:paraId="085B8C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02E0DE46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066C5164">
            <w:pPr>
              <w:widowControl/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22DE797D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资源集约利用评价等级</w:t>
            </w:r>
          </w:p>
        </w:tc>
        <w:tc>
          <w:tcPr>
            <w:tcW w:w="2037" w:type="dxa"/>
            <w:noWrap w:val="0"/>
            <w:vAlign w:val="center"/>
          </w:tcPr>
          <w:p w14:paraId="6C060F37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A级</w:t>
            </w:r>
          </w:p>
        </w:tc>
      </w:tr>
      <w:tr w14:paraId="3F8292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5B8CEC76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6C7D2836">
            <w:pPr>
              <w:widowControl/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52CEA551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节水评价工作</w:t>
            </w:r>
          </w:p>
        </w:tc>
        <w:tc>
          <w:tcPr>
            <w:tcW w:w="2037" w:type="dxa"/>
            <w:noWrap w:val="0"/>
            <w:vAlign w:val="center"/>
          </w:tcPr>
          <w:p w14:paraId="5AFCB131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开展</w:t>
            </w:r>
          </w:p>
        </w:tc>
      </w:tr>
      <w:tr w14:paraId="377A7E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0E38CD2A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51" w:type="dxa"/>
            <w:vMerge w:val="restart"/>
            <w:noWrap w:val="0"/>
            <w:vAlign w:val="center"/>
          </w:tcPr>
          <w:p w14:paraId="5DC9562E">
            <w:pPr>
              <w:widowControl/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信息化管理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系统</w:t>
            </w:r>
          </w:p>
        </w:tc>
        <w:tc>
          <w:tcPr>
            <w:tcW w:w="4497" w:type="dxa"/>
            <w:noWrap w:val="0"/>
            <w:vAlign w:val="center"/>
          </w:tcPr>
          <w:p w14:paraId="12011852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供应商低碳管理</w:t>
            </w:r>
          </w:p>
        </w:tc>
        <w:tc>
          <w:tcPr>
            <w:tcW w:w="2037" w:type="dxa"/>
            <w:noWrap w:val="0"/>
            <w:vAlign w:val="center"/>
          </w:tcPr>
          <w:p w14:paraId="149A8595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开展</w:t>
            </w:r>
          </w:p>
        </w:tc>
      </w:tr>
      <w:tr w14:paraId="2A010BA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12791D5F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5717F7F5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495FC52A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智能工厂或智能车间</w:t>
            </w:r>
          </w:p>
        </w:tc>
        <w:tc>
          <w:tcPr>
            <w:tcW w:w="2037" w:type="dxa"/>
            <w:noWrap w:val="0"/>
            <w:vAlign w:val="center"/>
          </w:tcPr>
          <w:p w14:paraId="43E213D8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建成</w:t>
            </w:r>
          </w:p>
        </w:tc>
      </w:tr>
      <w:tr w14:paraId="40C160A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2A5EF990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641B3E19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56142748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能耗在线监测系统</w:t>
            </w:r>
          </w:p>
        </w:tc>
        <w:tc>
          <w:tcPr>
            <w:tcW w:w="2037" w:type="dxa"/>
            <w:noWrap w:val="0"/>
            <w:vAlign w:val="center"/>
          </w:tcPr>
          <w:p w14:paraId="79CA3F7F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建成</w:t>
            </w:r>
          </w:p>
        </w:tc>
      </w:tr>
      <w:tr w14:paraId="0BD27E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2807B70D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51" w:type="dxa"/>
            <w:vMerge w:val="restart"/>
            <w:noWrap w:val="0"/>
            <w:vAlign w:val="center"/>
          </w:tcPr>
          <w:p w14:paraId="35F9F5A4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产品</w:t>
            </w:r>
          </w:p>
        </w:tc>
        <w:tc>
          <w:tcPr>
            <w:tcW w:w="4497" w:type="dxa"/>
            <w:noWrap w:val="0"/>
            <w:vAlign w:val="center"/>
          </w:tcPr>
          <w:p w14:paraId="4D64978D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产品生态设计</w:t>
            </w:r>
          </w:p>
        </w:tc>
        <w:tc>
          <w:tcPr>
            <w:tcW w:w="2037" w:type="dxa"/>
            <w:noWrap w:val="0"/>
            <w:vAlign w:val="center"/>
          </w:tcPr>
          <w:p w14:paraId="711E7BC3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开展</w:t>
            </w:r>
          </w:p>
        </w:tc>
      </w:tr>
      <w:tr w14:paraId="130452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0A2B7F91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51FBDC14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65CD7CD5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碳足迹核算或核查</w:t>
            </w:r>
          </w:p>
        </w:tc>
        <w:tc>
          <w:tcPr>
            <w:tcW w:w="2037" w:type="dxa"/>
            <w:noWrap w:val="0"/>
            <w:vAlign w:val="center"/>
          </w:tcPr>
          <w:p w14:paraId="34735E8D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开展</w:t>
            </w:r>
          </w:p>
        </w:tc>
      </w:tr>
      <w:tr w14:paraId="32EE2AF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029D792C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0E85B7AE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585F589A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单位产品能耗水平</w:t>
            </w:r>
          </w:p>
        </w:tc>
        <w:tc>
          <w:tcPr>
            <w:tcW w:w="2037" w:type="dxa"/>
            <w:noWrap w:val="0"/>
            <w:vAlign w:val="center"/>
          </w:tcPr>
          <w:p w14:paraId="66F10219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优于行业先进</w:t>
            </w:r>
          </w:p>
        </w:tc>
      </w:tr>
      <w:tr w14:paraId="0CD2AA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7BEFE658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56BC1713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1BB17D90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单位产品碳排放水平</w:t>
            </w:r>
          </w:p>
        </w:tc>
        <w:tc>
          <w:tcPr>
            <w:tcW w:w="2037" w:type="dxa"/>
            <w:noWrap w:val="0"/>
            <w:vAlign w:val="center"/>
          </w:tcPr>
          <w:p w14:paraId="24730BAE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优于行业先进</w:t>
            </w:r>
          </w:p>
        </w:tc>
      </w:tr>
      <w:tr w14:paraId="1DE367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1FB3FF38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452E7699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737DAC61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单位产品主要原材料消耗水平</w:t>
            </w:r>
          </w:p>
        </w:tc>
        <w:tc>
          <w:tcPr>
            <w:tcW w:w="2037" w:type="dxa"/>
            <w:noWrap w:val="0"/>
            <w:vAlign w:val="center"/>
          </w:tcPr>
          <w:p w14:paraId="39CF1FFC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达到行业先进</w:t>
            </w:r>
          </w:p>
        </w:tc>
      </w:tr>
      <w:tr w14:paraId="3142ED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328315D8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51" w:type="dxa"/>
            <w:vMerge w:val="restart"/>
            <w:noWrap w:val="0"/>
            <w:vAlign w:val="center"/>
          </w:tcPr>
          <w:p w14:paraId="281D9A8E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环境排放</w:t>
            </w:r>
          </w:p>
        </w:tc>
        <w:tc>
          <w:tcPr>
            <w:tcW w:w="4497" w:type="dxa"/>
            <w:noWrap w:val="0"/>
            <w:vAlign w:val="center"/>
          </w:tcPr>
          <w:p w14:paraId="1372952E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温室气体核算</w:t>
            </w:r>
          </w:p>
        </w:tc>
        <w:tc>
          <w:tcPr>
            <w:tcW w:w="2037" w:type="dxa"/>
            <w:noWrap w:val="0"/>
            <w:vAlign w:val="center"/>
          </w:tcPr>
          <w:p w14:paraId="22BC8185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开展</w:t>
            </w:r>
          </w:p>
        </w:tc>
      </w:tr>
      <w:tr w14:paraId="50334B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3C8E35E3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3DE883FE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397CD6DD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发布ESG（</w:t>
            </w:r>
            <w:r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环境、社会、治理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）报告</w:t>
            </w:r>
          </w:p>
        </w:tc>
        <w:tc>
          <w:tcPr>
            <w:tcW w:w="2037" w:type="dxa"/>
            <w:noWrap w:val="0"/>
            <w:vAlign w:val="center"/>
          </w:tcPr>
          <w:p w14:paraId="6A942F69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开展</w:t>
            </w:r>
          </w:p>
        </w:tc>
      </w:tr>
      <w:tr w14:paraId="1A11AA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5C0C8090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41CD9607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5A94B516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大气污染物排放符合相关国家标准、行业标准及地方标准，并满足区域内排放总量控制要求。</w:t>
            </w:r>
          </w:p>
        </w:tc>
        <w:tc>
          <w:tcPr>
            <w:tcW w:w="2037" w:type="dxa"/>
            <w:noWrap w:val="0"/>
            <w:vAlign w:val="center"/>
          </w:tcPr>
          <w:p w14:paraId="4E5B8920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符合</w:t>
            </w:r>
          </w:p>
        </w:tc>
      </w:tr>
      <w:tr w14:paraId="50FF505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2494C559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425BB6CA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687F2989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水体污染物排放符合相关国家标准、行业标准及地方标准，并满足区域内排放总量控制要求</w:t>
            </w:r>
          </w:p>
        </w:tc>
        <w:tc>
          <w:tcPr>
            <w:tcW w:w="2037" w:type="dxa"/>
            <w:noWrap w:val="0"/>
            <w:vAlign w:val="center"/>
          </w:tcPr>
          <w:p w14:paraId="373D1852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符合</w:t>
            </w:r>
          </w:p>
        </w:tc>
      </w:tr>
      <w:tr w14:paraId="30AF89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76871BA6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27DE1448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0F4BC587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固体废弃物处理符合相关标准的要求。工厂无法自行处理的，应将固体废弃物转交具备相应能力和资质的处理厂进行处理。</w:t>
            </w:r>
          </w:p>
        </w:tc>
        <w:tc>
          <w:tcPr>
            <w:tcW w:w="2037" w:type="dxa"/>
            <w:noWrap w:val="0"/>
            <w:vAlign w:val="center"/>
          </w:tcPr>
          <w:p w14:paraId="30E7F55E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符合</w:t>
            </w:r>
          </w:p>
        </w:tc>
      </w:tr>
      <w:tr w14:paraId="6E8945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5" w:type="dxa"/>
            <w:noWrap w:val="0"/>
            <w:vAlign w:val="center"/>
          </w:tcPr>
          <w:p w14:paraId="52C6E2F8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51" w:type="dxa"/>
            <w:vMerge w:val="continue"/>
            <w:noWrap w:val="0"/>
            <w:vAlign w:val="center"/>
          </w:tcPr>
          <w:p w14:paraId="5F3ACCF8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7" w:type="dxa"/>
            <w:noWrap w:val="0"/>
            <w:vAlign w:val="center"/>
          </w:tcPr>
          <w:p w14:paraId="4117D96D">
            <w:pPr>
              <w:widowControl/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厂界环境噪声排放符合相关国家标准、行业标准及地方标准</w:t>
            </w:r>
          </w:p>
        </w:tc>
        <w:tc>
          <w:tcPr>
            <w:tcW w:w="2037" w:type="dxa"/>
            <w:noWrap w:val="0"/>
            <w:vAlign w:val="center"/>
          </w:tcPr>
          <w:p w14:paraId="04BF3065">
            <w:pPr>
              <w:widowControl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符合</w:t>
            </w:r>
          </w:p>
        </w:tc>
      </w:tr>
    </w:tbl>
    <w:p w14:paraId="72E45F9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36E087-3644-48EA-813A-FFF9A47711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472022D-0493-4254-A609-FC6D23C0DD37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BF0E3E3-F6C0-4459-AC7D-9A85B32ECC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54BB8A4-8FE8-4B1A-B191-E9011532EBF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7ECF6EC6"/>
    <w:rsid w:val="7ECF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材料标题"/>
    <w:basedOn w:val="1"/>
    <w:qFormat/>
    <w:uiPriority w:val="0"/>
    <w:pPr>
      <w:adjustRightInd w:val="0"/>
      <w:snapToGrid w:val="0"/>
      <w:spacing w:line="700" w:lineRule="exact"/>
      <w:jc w:val="center"/>
    </w:pPr>
    <w:rPr>
      <w:rFonts w:ascii="方正小标宋简体" w:hAnsi="Times New Roman" w:eastAsia="方正小标宋简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2024-07-15T02:17:00Z</dcterms:created>
  <dc:creator>丹丹</dc:creator>
  <cp:lastModifiedBy>丹丹</cp:lastModifiedBy>
  <dcterms:modified xsi:type="dcterms:W3CDTF">2024-07-15T02:17:16Z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8B19675CFE704FF2B02E4BBFE3DE4ED7_11</vt:lpwstr>
  </property>
</Properties>
</file>