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DB2B2">
      <w:pPr>
        <w:adjustRightInd w:val="0"/>
        <w:snapToGrid w:val="0"/>
        <w:rPr>
          <w:rFonts w:ascii="Times New Roman" w:hAnsi="Times New Roman" w:eastAsia="黑体"/>
          <w:sz w:val="28"/>
          <w:szCs w:val="28"/>
        </w:rPr>
      </w:pPr>
      <w:r>
        <w:rPr>
          <w:rFonts w:ascii="Times New Roman" w:hAnsi="Times New Roman" w:eastAsia="方正黑体_GBK"/>
          <w:color w:val="000000"/>
          <w:kern w:val="21"/>
          <w:sz w:val="32"/>
          <w:szCs w:val="32"/>
          <w:shd w:val="clear" w:color="auto" w:fill="FFFFFF"/>
        </w:rPr>
        <w:t>附件</w:t>
      </w:r>
    </w:p>
    <w:p w14:paraId="102A9D40">
      <w:pPr>
        <w:adjustRightInd w:val="0"/>
        <w:snapToGrid w:val="0"/>
        <w:spacing w:before="240" w:after="240" w:line="500" w:lineRule="exact"/>
        <w:jc w:val="center"/>
        <w:rPr>
          <w:rFonts w:ascii="Times New Roman" w:hAnsi="Times New Roman" w:eastAsia="方正小标宋简体"/>
          <w:color w:val="000000"/>
          <w:kern w:val="21"/>
          <w:sz w:val="44"/>
          <w:szCs w:val="44"/>
        </w:rPr>
      </w:pPr>
      <w:bookmarkStart w:id="0" w:name="_Hlk181115771"/>
      <w:r>
        <w:rPr>
          <w:rFonts w:ascii="Times New Roman" w:hAnsi="Times New Roman" w:eastAsia="方正小标宋简体"/>
          <w:color w:val="000000"/>
          <w:kern w:val="21"/>
          <w:sz w:val="44"/>
          <w:szCs w:val="44"/>
        </w:rPr>
        <w:t>常州市加快生产性服务业融合提速发展2024-2025年度任务清单表</w:t>
      </w:r>
    </w:p>
    <w:bookmarkEnd w:id="0"/>
    <w:tbl>
      <w:tblPr>
        <w:tblStyle w:val="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91"/>
        <w:gridCol w:w="1627"/>
        <w:gridCol w:w="2072"/>
        <w:gridCol w:w="2960"/>
        <w:gridCol w:w="3112"/>
        <w:gridCol w:w="1522"/>
        <w:gridCol w:w="1670"/>
      </w:tblGrid>
      <w:tr w14:paraId="71E73C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494" w:type="dxa"/>
            <w:vMerge w:val="restart"/>
            <w:noWrap w:val="0"/>
            <w:vAlign w:val="center"/>
          </w:tcPr>
          <w:p w14:paraId="00DA34BA">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序号</w:t>
            </w:r>
          </w:p>
        </w:tc>
        <w:tc>
          <w:tcPr>
            <w:tcW w:w="1724" w:type="dxa"/>
            <w:vMerge w:val="restart"/>
            <w:noWrap w:val="0"/>
            <w:vAlign w:val="center"/>
          </w:tcPr>
          <w:p w14:paraId="79B509CF">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领域</w:t>
            </w:r>
          </w:p>
        </w:tc>
        <w:tc>
          <w:tcPr>
            <w:tcW w:w="2186" w:type="dxa"/>
            <w:vMerge w:val="restart"/>
            <w:noWrap w:val="0"/>
            <w:vAlign w:val="center"/>
          </w:tcPr>
          <w:p w14:paraId="27F5696C">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细分任务</w:t>
            </w:r>
          </w:p>
        </w:tc>
        <w:tc>
          <w:tcPr>
            <w:tcW w:w="6435" w:type="dxa"/>
            <w:gridSpan w:val="2"/>
            <w:noWrap w:val="0"/>
            <w:vAlign w:val="center"/>
          </w:tcPr>
          <w:p w14:paraId="388C83CD">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主要任务内容</w:t>
            </w:r>
          </w:p>
        </w:tc>
        <w:tc>
          <w:tcPr>
            <w:tcW w:w="1610" w:type="dxa"/>
            <w:vMerge w:val="restart"/>
            <w:noWrap w:val="0"/>
            <w:vAlign w:val="center"/>
          </w:tcPr>
          <w:p w14:paraId="1FB9B3FC">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责任单位</w:t>
            </w:r>
          </w:p>
        </w:tc>
        <w:tc>
          <w:tcPr>
            <w:tcW w:w="1769" w:type="dxa"/>
            <w:vMerge w:val="restart"/>
            <w:noWrap w:val="0"/>
            <w:vAlign w:val="center"/>
          </w:tcPr>
          <w:p w14:paraId="473585CE">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配合单位</w:t>
            </w:r>
          </w:p>
        </w:tc>
      </w:tr>
      <w:tr w14:paraId="7BB190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494" w:type="dxa"/>
            <w:vMerge w:val="continue"/>
            <w:noWrap w:val="0"/>
            <w:vAlign w:val="center"/>
          </w:tcPr>
          <w:p w14:paraId="064B2B84">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p>
        </w:tc>
        <w:tc>
          <w:tcPr>
            <w:tcW w:w="1724" w:type="dxa"/>
            <w:vMerge w:val="continue"/>
            <w:noWrap w:val="0"/>
            <w:vAlign w:val="center"/>
          </w:tcPr>
          <w:p w14:paraId="5E1761CE">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p>
        </w:tc>
        <w:tc>
          <w:tcPr>
            <w:tcW w:w="2186" w:type="dxa"/>
            <w:vMerge w:val="continue"/>
            <w:noWrap w:val="0"/>
            <w:vAlign w:val="center"/>
          </w:tcPr>
          <w:p w14:paraId="7CBA235A">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p>
        </w:tc>
        <w:tc>
          <w:tcPr>
            <w:tcW w:w="3130" w:type="dxa"/>
            <w:noWrap w:val="0"/>
            <w:vAlign w:val="center"/>
          </w:tcPr>
          <w:p w14:paraId="59DE77DF">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2024年</w:t>
            </w:r>
          </w:p>
        </w:tc>
        <w:tc>
          <w:tcPr>
            <w:tcW w:w="3305" w:type="dxa"/>
            <w:noWrap w:val="0"/>
            <w:vAlign w:val="center"/>
          </w:tcPr>
          <w:p w14:paraId="41F95AD6">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2025年</w:t>
            </w:r>
          </w:p>
        </w:tc>
        <w:tc>
          <w:tcPr>
            <w:tcW w:w="1610" w:type="dxa"/>
            <w:vMerge w:val="continue"/>
            <w:noWrap w:val="0"/>
            <w:vAlign w:val="center"/>
          </w:tcPr>
          <w:p w14:paraId="0501A4FD">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p>
        </w:tc>
        <w:tc>
          <w:tcPr>
            <w:tcW w:w="1769" w:type="dxa"/>
            <w:vMerge w:val="continue"/>
            <w:noWrap w:val="0"/>
            <w:vAlign w:val="center"/>
          </w:tcPr>
          <w:p w14:paraId="466AA6E8">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p>
        </w:tc>
      </w:tr>
      <w:tr w14:paraId="215C07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07219983">
            <w:pPr>
              <w:overflowPunct w:val="0"/>
              <w:autoSpaceDE w:val="0"/>
              <w:autoSpaceDN w:val="0"/>
              <w:adjustRightInd w:val="0"/>
              <w:snapToGrid w:val="0"/>
              <w:spacing w:line="320" w:lineRule="exact"/>
              <w:jc w:val="center"/>
              <w:rPr>
                <w:rFonts w:ascii="Times New Roman" w:hAnsi="Times New Roman" w:eastAsia="黑体"/>
                <w:snapToGrid w:val="0"/>
                <w:kern w:val="0"/>
                <w:sz w:val="24"/>
                <w:szCs w:val="24"/>
              </w:rPr>
            </w:pPr>
            <w:r>
              <w:rPr>
                <w:rFonts w:ascii="Times New Roman" w:hAnsi="Times New Roman" w:eastAsia="黑体"/>
                <w:snapToGrid w:val="0"/>
                <w:kern w:val="0"/>
                <w:sz w:val="24"/>
                <w:szCs w:val="24"/>
              </w:rPr>
              <w:t>1</w:t>
            </w:r>
          </w:p>
        </w:tc>
        <w:tc>
          <w:tcPr>
            <w:tcW w:w="1724" w:type="dxa"/>
            <w:noWrap w:val="0"/>
            <w:vAlign w:val="center"/>
          </w:tcPr>
          <w:p w14:paraId="52BB4AF5">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研发设计服务</w:t>
            </w:r>
          </w:p>
        </w:tc>
        <w:tc>
          <w:tcPr>
            <w:tcW w:w="2186" w:type="dxa"/>
            <w:noWrap w:val="0"/>
            <w:vAlign w:val="center"/>
          </w:tcPr>
          <w:p w14:paraId="13BBEE24">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推进研发设计服务业高质量发展</w:t>
            </w:r>
          </w:p>
        </w:tc>
        <w:tc>
          <w:tcPr>
            <w:tcW w:w="3130" w:type="dxa"/>
            <w:noWrap w:val="0"/>
            <w:vAlign w:val="center"/>
          </w:tcPr>
          <w:p w14:paraId="648E209C">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建有研发机构超42家，集聚从业人员不少于3400人，营收超33亿元。</w:t>
            </w:r>
          </w:p>
        </w:tc>
        <w:tc>
          <w:tcPr>
            <w:tcW w:w="3305" w:type="dxa"/>
            <w:noWrap w:val="0"/>
            <w:vAlign w:val="center"/>
          </w:tcPr>
          <w:p w14:paraId="502A24A4">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建有研发机构超46家，集聚从业人员不少于3700人，营收超36亿元。</w:t>
            </w:r>
          </w:p>
        </w:tc>
        <w:tc>
          <w:tcPr>
            <w:tcW w:w="1610" w:type="dxa"/>
            <w:noWrap w:val="0"/>
            <w:vAlign w:val="center"/>
          </w:tcPr>
          <w:p w14:paraId="68796DAA">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市科技局</w:t>
            </w:r>
          </w:p>
        </w:tc>
        <w:tc>
          <w:tcPr>
            <w:tcW w:w="1769" w:type="dxa"/>
            <w:noWrap w:val="0"/>
            <w:vAlign w:val="center"/>
          </w:tcPr>
          <w:p w14:paraId="1C203AB3">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1D6EA8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246C64D8">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2</w:t>
            </w:r>
          </w:p>
        </w:tc>
        <w:tc>
          <w:tcPr>
            <w:tcW w:w="1724" w:type="dxa"/>
            <w:noWrap w:val="0"/>
            <w:vAlign w:val="center"/>
          </w:tcPr>
          <w:p w14:paraId="7F6CB75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现代物流服务</w:t>
            </w:r>
          </w:p>
        </w:tc>
        <w:tc>
          <w:tcPr>
            <w:tcW w:w="2186" w:type="dxa"/>
            <w:noWrap w:val="0"/>
            <w:vAlign w:val="center"/>
          </w:tcPr>
          <w:p w14:paraId="2F3E9847">
            <w:pPr>
              <w:overflowPunct w:val="0"/>
              <w:autoSpaceDE w:val="0"/>
              <w:autoSpaceDN w:val="0"/>
              <w:adjustRightInd w:val="0"/>
              <w:snapToGrid w:val="0"/>
              <w:spacing w:line="320" w:lineRule="exact"/>
              <w:ind w:left="-113" w:right="-113"/>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推动智慧管理升级、打造供应链物流</w:t>
            </w:r>
          </w:p>
        </w:tc>
        <w:tc>
          <w:tcPr>
            <w:tcW w:w="3130" w:type="dxa"/>
            <w:noWrap w:val="0"/>
            <w:vAlign w:val="center"/>
          </w:tcPr>
          <w:p w14:paraId="63CA3218">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开通运河东港港口无人机物流航线。加快两湖物流园等新建园区建设。</w:t>
            </w:r>
          </w:p>
        </w:tc>
        <w:tc>
          <w:tcPr>
            <w:tcW w:w="3305" w:type="dxa"/>
            <w:noWrap w:val="0"/>
            <w:vAlign w:val="center"/>
          </w:tcPr>
          <w:p w14:paraId="6FBD98C5">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开通环太湖无人机物流航线试点。依托市物流集团，做强常州物流公共信息平台。</w:t>
            </w:r>
          </w:p>
        </w:tc>
        <w:tc>
          <w:tcPr>
            <w:tcW w:w="1610" w:type="dxa"/>
            <w:noWrap w:val="0"/>
            <w:vAlign w:val="center"/>
          </w:tcPr>
          <w:p w14:paraId="43A62870">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市发改委</w:t>
            </w:r>
          </w:p>
        </w:tc>
        <w:tc>
          <w:tcPr>
            <w:tcW w:w="1769" w:type="dxa"/>
            <w:noWrap w:val="0"/>
            <w:vAlign w:val="center"/>
          </w:tcPr>
          <w:p w14:paraId="1A8793E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市交通运输局</w:t>
            </w:r>
          </w:p>
        </w:tc>
      </w:tr>
      <w:tr w14:paraId="419E2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4044DC1F">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3</w:t>
            </w:r>
          </w:p>
        </w:tc>
        <w:tc>
          <w:tcPr>
            <w:tcW w:w="1724" w:type="dxa"/>
            <w:noWrap w:val="0"/>
            <w:vAlign w:val="center"/>
          </w:tcPr>
          <w:p w14:paraId="3D62AF9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检验检测服务</w:t>
            </w:r>
          </w:p>
        </w:tc>
        <w:tc>
          <w:tcPr>
            <w:tcW w:w="2186" w:type="dxa"/>
            <w:noWrap w:val="0"/>
            <w:vAlign w:val="center"/>
          </w:tcPr>
          <w:p w14:paraId="4DD68D1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提升检测、认证服务能级</w:t>
            </w:r>
          </w:p>
        </w:tc>
        <w:tc>
          <w:tcPr>
            <w:tcW w:w="3130" w:type="dxa"/>
            <w:noWrap w:val="0"/>
            <w:vAlign w:val="center"/>
          </w:tcPr>
          <w:p w14:paraId="0346CDC2">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推动国家氢能装备产品质量检验检测中心建设。发布业内首张动力电池产业链碳标识认证证书。</w:t>
            </w:r>
          </w:p>
        </w:tc>
        <w:tc>
          <w:tcPr>
            <w:tcW w:w="3305" w:type="dxa"/>
            <w:noWrap w:val="0"/>
            <w:vAlign w:val="center"/>
          </w:tcPr>
          <w:p w14:paraId="553A8053">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推动新能源、新材料、公共安全等领域国家级质检中心筹建。开展绿色建材产品碳足迹认证试点。</w:t>
            </w:r>
          </w:p>
        </w:tc>
        <w:tc>
          <w:tcPr>
            <w:tcW w:w="1610" w:type="dxa"/>
            <w:noWrap w:val="0"/>
            <w:vAlign w:val="center"/>
          </w:tcPr>
          <w:p w14:paraId="134876A5">
            <w:pPr>
              <w:overflowPunct w:val="0"/>
              <w:autoSpaceDE w:val="0"/>
              <w:autoSpaceDN w:val="0"/>
              <w:adjustRightInd w:val="0"/>
              <w:snapToGrid w:val="0"/>
              <w:spacing w:line="320" w:lineRule="exact"/>
              <w:ind w:left="-57" w:right="-57"/>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市市场监管局</w:t>
            </w:r>
          </w:p>
        </w:tc>
        <w:tc>
          <w:tcPr>
            <w:tcW w:w="1769" w:type="dxa"/>
            <w:noWrap w:val="0"/>
            <w:vAlign w:val="center"/>
          </w:tcPr>
          <w:p w14:paraId="53E01546">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12451C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0D95548F">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4</w:t>
            </w:r>
          </w:p>
        </w:tc>
        <w:tc>
          <w:tcPr>
            <w:tcW w:w="1724" w:type="dxa"/>
            <w:noWrap w:val="0"/>
            <w:vAlign w:val="center"/>
          </w:tcPr>
          <w:p w14:paraId="6A79AAA3">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数智赋能服务</w:t>
            </w:r>
          </w:p>
        </w:tc>
        <w:tc>
          <w:tcPr>
            <w:tcW w:w="2186" w:type="dxa"/>
            <w:noWrap w:val="0"/>
            <w:vAlign w:val="center"/>
          </w:tcPr>
          <w:p w14:paraId="466C5E2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工业互联网发展</w:t>
            </w:r>
          </w:p>
        </w:tc>
        <w:tc>
          <w:tcPr>
            <w:tcW w:w="3130" w:type="dxa"/>
            <w:noWrap w:val="0"/>
            <w:vAlign w:val="center"/>
          </w:tcPr>
          <w:p w14:paraId="4091A9EE">
            <w:pPr>
              <w:overflowPunct w:val="0"/>
              <w:autoSpaceDE w:val="0"/>
              <w:autoSpaceDN w:val="0"/>
              <w:adjustRightInd w:val="0"/>
              <w:snapToGrid w:val="0"/>
              <w:spacing w:line="30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打造高品质工业互联网平台，开展平台赋能行动，培育省级重点工业互联网平台5家，争创国家级工业互联网平台。</w:t>
            </w:r>
          </w:p>
        </w:tc>
        <w:tc>
          <w:tcPr>
            <w:tcW w:w="3305" w:type="dxa"/>
            <w:noWrap w:val="0"/>
            <w:vAlign w:val="center"/>
          </w:tcPr>
          <w:p w14:paraId="773B2D72">
            <w:pPr>
              <w:overflowPunct w:val="0"/>
              <w:autoSpaceDE w:val="0"/>
              <w:autoSpaceDN w:val="0"/>
              <w:adjustRightInd w:val="0"/>
              <w:snapToGrid w:val="0"/>
              <w:spacing w:line="300" w:lineRule="exact"/>
              <w:rPr>
                <w:rFonts w:ascii="Times New Roman" w:hAnsi="Times New Roman" w:eastAsia="仿宋_GB2312"/>
                <w:snapToGrid w:val="0"/>
                <w:spacing w:val="-6"/>
                <w:kern w:val="0"/>
                <w:sz w:val="24"/>
                <w:szCs w:val="24"/>
              </w:rPr>
            </w:pPr>
            <w:r>
              <w:rPr>
                <w:rFonts w:ascii="Times New Roman" w:hAnsi="Times New Roman" w:eastAsia="仿宋_GB2312"/>
                <w:snapToGrid w:val="0"/>
                <w:spacing w:val="-6"/>
                <w:kern w:val="0"/>
                <w:sz w:val="24"/>
                <w:szCs w:val="24"/>
              </w:rPr>
              <w:t>按照设备、单元、产线、车间、工厂等维度分级推进平台建设应用，支持不同发展阶段企业梯次改造，培育企业级、行业级/区域级、双跨平台不少于3家。</w:t>
            </w:r>
          </w:p>
        </w:tc>
        <w:tc>
          <w:tcPr>
            <w:tcW w:w="1610" w:type="dxa"/>
            <w:noWrap w:val="0"/>
            <w:vAlign w:val="center"/>
          </w:tcPr>
          <w:p w14:paraId="77FE9D25">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市工信局</w:t>
            </w:r>
          </w:p>
        </w:tc>
        <w:tc>
          <w:tcPr>
            <w:tcW w:w="1769" w:type="dxa"/>
            <w:noWrap w:val="0"/>
            <w:vAlign w:val="center"/>
          </w:tcPr>
          <w:p w14:paraId="3803AD6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079262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494" w:type="dxa"/>
            <w:noWrap w:val="0"/>
            <w:vAlign w:val="center"/>
          </w:tcPr>
          <w:p w14:paraId="2CF4B85A">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5</w:t>
            </w:r>
          </w:p>
        </w:tc>
        <w:tc>
          <w:tcPr>
            <w:tcW w:w="1724" w:type="dxa"/>
            <w:noWrap w:val="0"/>
            <w:vAlign w:val="center"/>
          </w:tcPr>
          <w:p w14:paraId="36FEAB22">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人力资源服务</w:t>
            </w:r>
          </w:p>
        </w:tc>
        <w:tc>
          <w:tcPr>
            <w:tcW w:w="2186" w:type="dxa"/>
            <w:noWrap w:val="0"/>
            <w:vAlign w:val="center"/>
          </w:tcPr>
          <w:p w14:paraId="5C6ADAD7">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促进人力资源行业发展</w:t>
            </w:r>
          </w:p>
        </w:tc>
        <w:tc>
          <w:tcPr>
            <w:tcW w:w="3130" w:type="dxa"/>
            <w:noWrap w:val="0"/>
            <w:vAlign w:val="center"/>
          </w:tcPr>
          <w:p w14:paraId="251408D5">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推荐认定省级诚信人力资源机构6-7家，培育市级人力资源骨干企业10家，培训全市人力资源行业高管人员50-60人次。</w:t>
            </w:r>
          </w:p>
        </w:tc>
        <w:tc>
          <w:tcPr>
            <w:tcW w:w="3305" w:type="dxa"/>
            <w:noWrap w:val="0"/>
            <w:vAlign w:val="center"/>
          </w:tcPr>
          <w:p w14:paraId="5E8154D6">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推荐认定省级诚信人力资源机构6-7家，培育市级人力资源骨干企业累计不少于20家，培训全市人力资源行业高管人员50-60人次。</w:t>
            </w:r>
          </w:p>
        </w:tc>
        <w:tc>
          <w:tcPr>
            <w:tcW w:w="1610" w:type="dxa"/>
            <w:noWrap w:val="0"/>
            <w:vAlign w:val="center"/>
          </w:tcPr>
          <w:p w14:paraId="4FE0F1A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市人社局</w:t>
            </w:r>
          </w:p>
        </w:tc>
        <w:tc>
          <w:tcPr>
            <w:tcW w:w="1769" w:type="dxa"/>
            <w:noWrap w:val="0"/>
            <w:vAlign w:val="center"/>
          </w:tcPr>
          <w:p w14:paraId="211077B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771770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restart"/>
            <w:noWrap w:val="0"/>
            <w:vAlign w:val="center"/>
          </w:tcPr>
          <w:p w14:paraId="220B0F92">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6</w:t>
            </w:r>
          </w:p>
        </w:tc>
        <w:tc>
          <w:tcPr>
            <w:tcW w:w="1724" w:type="dxa"/>
            <w:vMerge w:val="restart"/>
            <w:noWrap w:val="0"/>
            <w:vAlign w:val="center"/>
          </w:tcPr>
          <w:p w14:paraId="13A08BC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产业金融服务</w:t>
            </w:r>
          </w:p>
        </w:tc>
        <w:tc>
          <w:tcPr>
            <w:tcW w:w="2186" w:type="dxa"/>
            <w:noWrap w:val="0"/>
            <w:vAlign w:val="center"/>
          </w:tcPr>
          <w:p w14:paraId="79ECC4E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推进数字金融发展</w:t>
            </w:r>
          </w:p>
        </w:tc>
        <w:tc>
          <w:tcPr>
            <w:tcW w:w="3130" w:type="dxa"/>
            <w:noWrap w:val="0"/>
            <w:vAlign w:val="center"/>
          </w:tcPr>
          <w:p w14:paraId="7A3FB5E0">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初步建立保险大数据综合服务平台，推进主要保险机构开展业务合作。全市普惠贷款线上占比不低于26%。</w:t>
            </w:r>
          </w:p>
        </w:tc>
        <w:tc>
          <w:tcPr>
            <w:tcW w:w="3305" w:type="dxa"/>
            <w:noWrap w:val="0"/>
            <w:vAlign w:val="center"/>
          </w:tcPr>
          <w:p w14:paraId="4F6B3FF4">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基本实现数字人民币应用场景特定区域全覆盖，初步形成较为完善的数字人民币生态体系。</w:t>
            </w:r>
          </w:p>
        </w:tc>
        <w:tc>
          <w:tcPr>
            <w:tcW w:w="1610" w:type="dxa"/>
            <w:noWrap w:val="0"/>
            <w:vAlign w:val="center"/>
          </w:tcPr>
          <w:p w14:paraId="3E5F413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市政府办</w:t>
            </w:r>
          </w:p>
        </w:tc>
        <w:tc>
          <w:tcPr>
            <w:tcW w:w="1769" w:type="dxa"/>
            <w:noWrap w:val="0"/>
            <w:vAlign w:val="center"/>
          </w:tcPr>
          <w:p w14:paraId="7AE62013">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人民银行常州市分行</w:t>
            </w:r>
          </w:p>
          <w:p w14:paraId="3929C84B">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常州金融监管分局</w:t>
            </w:r>
          </w:p>
          <w:p w14:paraId="63B65FF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市数据局</w:t>
            </w:r>
          </w:p>
        </w:tc>
      </w:tr>
      <w:tr w14:paraId="2F772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48253239">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0DE0E2D4">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noWrap w:val="0"/>
            <w:vAlign w:val="center"/>
          </w:tcPr>
          <w:p w14:paraId="6B541217">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深化科技金融服务</w:t>
            </w:r>
          </w:p>
        </w:tc>
        <w:tc>
          <w:tcPr>
            <w:tcW w:w="3130" w:type="dxa"/>
            <w:noWrap w:val="0"/>
            <w:vAlign w:val="center"/>
          </w:tcPr>
          <w:p w14:paraId="01F45C2D">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鼓励金融机构设立科技专营机构，加大对科技企业信贷支持力度。探索建立科创企业动态专属评分模型，推出信用贷款 “龙城科易贷”。</w:t>
            </w:r>
          </w:p>
        </w:tc>
        <w:tc>
          <w:tcPr>
            <w:tcW w:w="3305" w:type="dxa"/>
            <w:noWrap w:val="0"/>
            <w:vAlign w:val="center"/>
          </w:tcPr>
          <w:p w14:paraId="435C8A80">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持续推动金融机构设立科技专营机构。通过创新金融产品、探索灵活定价，加大科技信贷资源投入。</w:t>
            </w:r>
          </w:p>
        </w:tc>
        <w:tc>
          <w:tcPr>
            <w:tcW w:w="1610" w:type="dxa"/>
            <w:noWrap w:val="0"/>
            <w:vAlign w:val="center"/>
          </w:tcPr>
          <w:p w14:paraId="6434ABE0">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市政府办</w:t>
            </w:r>
          </w:p>
        </w:tc>
        <w:tc>
          <w:tcPr>
            <w:tcW w:w="1769" w:type="dxa"/>
            <w:noWrap w:val="0"/>
            <w:vAlign w:val="center"/>
          </w:tcPr>
          <w:p w14:paraId="4AFFCD53">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市财政局</w:t>
            </w:r>
          </w:p>
          <w:p w14:paraId="1C82E24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市科技局</w:t>
            </w:r>
          </w:p>
          <w:p w14:paraId="2BEBA18F">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人民银行常州市分行</w:t>
            </w:r>
          </w:p>
          <w:p w14:paraId="47351495">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常州金融监管分局</w:t>
            </w:r>
          </w:p>
        </w:tc>
      </w:tr>
      <w:tr w14:paraId="14377E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136EDD00">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18D6431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vMerge w:val="restart"/>
            <w:noWrap w:val="0"/>
            <w:vAlign w:val="center"/>
          </w:tcPr>
          <w:p w14:paraId="35F69C0C">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培育新兴金融领域</w:t>
            </w:r>
          </w:p>
        </w:tc>
        <w:tc>
          <w:tcPr>
            <w:tcW w:w="3130" w:type="dxa"/>
            <w:noWrap w:val="0"/>
            <w:vAlign w:val="center"/>
          </w:tcPr>
          <w:p w14:paraId="7DECDF1D">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完成市供应链公共服务平台1.0版上线，打通10家合作银行上线，20家核心企业开链，开链额不低于5亿元，探索订单融产品落地。</w:t>
            </w:r>
          </w:p>
        </w:tc>
        <w:tc>
          <w:tcPr>
            <w:tcW w:w="3305" w:type="dxa"/>
            <w:noWrap w:val="0"/>
            <w:vAlign w:val="center"/>
          </w:tcPr>
          <w:p w14:paraId="70617EA0">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市供应链公共服务平台2.0版增信机制上线，打通常州地区主流银行上线累计24家，100家核心企业开链，开链额不低于50亿元，订单融产品规模化放量。</w:t>
            </w:r>
          </w:p>
        </w:tc>
        <w:tc>
          <w:tcPr>
            <w:tcW w:w="1610" w:type="dxa"/>
            <w:noWrap w:val="0"/>
            <w:vAlign w:val="center"/>
          </w:tcPr>
          <w:p w14:paraId="27A4D65C">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市政府办</w:t>
            </w:r>
          </w:p>
        </w:tc>
        <w:tc>
          <w:tcPr>
            <w:tcW w:w="1769" w:type="dxa"/>
            <w:noWrap w:val="0"/>
            <w:vAlign w:val="center"/>
          </w:tcPr>
          <w:p w14:paraId="6F691303">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常州投资集团有限公司</w:t>
            </w:r>
          </w:p>
        </w:tc>
      </w:tr>
      <w:tr w14:paraId="78D5E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21DDC3A8">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5979EAD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vMerge w:val="continue"/>
            <w:noWrap w:val="0"/>
            <w:vAlign w:val="center"/>
          </w:tcPr>
          <w:p w14:paraId="0F4249BC">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3130" w:type="dxa"/>
            <w:noWrap w:val="0"/>
            <w:vAlign w:val="center"/>
          </w:tcPr>
          <w:p w14:paraId="5B3A9E9F">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 xml:space="preserve">全市股权投资规模超50亿元；当年度新增私募基金管理人3家，备案私募基金50家。 </w:t>
            </w:r>
          </w:p>
        </w:tc>
        <w:tc>
          <w:tcPr>
            <w:tcW w:w="3305" w:type="dxa"/>
            <w:noWrap w:val="0"/>
            <w:vAlign w:val="center"/>
          </w:tcPr>
          <w:p w14:paraId="5F2769A8">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全市股权投资规模超50亿元；当年度新增私募基金管理人3家，备案私募基金50家。</w:t>
            </w:r>
          </w:p>
        </w:tc>
        <w:tc>
          <w:tcPr>
            <w:tcW w:w="1610" w:type="dxa"/>
            <w:noWrap w:val="0"/>
            <w:vAlign w:val="center"/>
          </w:tcPr>
          <w:p w14:paraId="5B4F8362">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市政府办</w:t>
            </w:r>
          </w:p>
        </w:tc>
        <w:tc>
          <w:tcPr>
            <w:tcW w:w="1769" w:type="dxa"/>
            <w:noWrap w:val="0"/>
            <w:vAlign w:val="center"/>
          </w:tcPr>
          <w:p w14:paraId="375C004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015EB2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63D2BE82">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19E3F897">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vMerge w:val="continue"/>
            <w:noWrap w:val="0"/>
            <w:vAlign w:val="center"/>
          </w:tcPr>
          <w:p w14:paraId="075F15C6">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3130" w:type="dxa"/>
            <w:noWrap w:val="0"/>
            <w:vAlign w:val="center"/>
          </w:tcPr>
          <w:p w14:paraId="1BAF8D43">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推动科技型企业挂牌、上市6家。</w:t>
            </w:r>
          </w:p>
        </w:tc>
        <w:tc>
          <w:tcPr>
            <w:tcW w:w="3305" w:type="dxa"/>
            <w:noWrap w:val="0"/>
            <w:vAlign w:val="center"/>
          </w:tcPr>
          <w:p w14:paraId="586B8118">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推动科技型企业挂牌、上市7家。</w:t>
            </w:r>
          </w:p>
        </w:tc>
        <w:tc>
          <w:tcPr>
            <w:tcW w:w="1610" w:type="dxa"/>
            <w:noWrap w:val="0"/>
            <w:vAlign w:val="center"/>
          </w:tcPr>
          <w:p w14:paraId="7935BBA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市政府办</w:t>
            </w:r>
          </w:p>
        </w:tc>
        <w:tc>
          <w:tcPr>
            <w:tcW w:w="1769" w:type="dxa"/>
            <w:noWrap w:val="0"/>
            <w:vAlign w:val="center"/>
          </w:tcPr>
          <w:p w14:paraId="2FC19D4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58E6A9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restart"/>
            <w:noWrap w:val="0"/>
            <w:vAlign w:val="center"/>
          </w:tcPr>
          <w:p w14:paraId="29EFAC0C">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7</w:t>
            </w:r>
          </w:p>
        </w:tc>
        <w:tc>
          <w:tcPr>
            <w:tcW w:w="1724" w:type="dxa"/>
            <w:vMerge w:val="restart"/>
            <w:noWrap w:val="0"/>
            <w:vAlign w:val="center"/>
          </w:tcPr>
          <w:p w14:paraId="235206C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商务中介服务</w:t>
            </w:r>
          </w:p>
        </w:tc>
        <w:tc>
          <w:tcPr>
            <w:tcW w:w="2186" w:type="dxa"/>
            <w:noWrap w:val="0"/>
            <w:vAlign w:val="center"/>
          </w:tcPr>
          <w:p w14:paraId="2CF05AB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打造会计审计行业人才集聚新高地</w:t>
            </w:r>
          </w:p>
        </w:tc>
        <w:tc>
          <w:tcPr>
            <w:tcW w:w="3130" w:type="dxa"/>
            <w:noWrap w:val="0"/>
            <w:vAlign w:val="center"/>
          </w:tcPr>
          <w:p w14:paraId="45F5088D">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注册师人数达430人左右。优化行业高端人才吸引机制和高端人才培养制度，进一步扩大行业高端人才培养的范围和数量。</w:t>
            </w:r>
          </w:p>
        </w:tc>
        <w:tc>
          <w:tcPr>
            <w:tcW w:w="3305" w:type="dxa"/>
            <w:noWrap w:val="0"/>
            <w:vAlign w:val="center"/>
          </w:tcPr>
          <w:p w14:paraId="71368192">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注册师人数达450左右。引进1家全国百强会计师事务所在常设立分所。行业人才入选省财政厅会计领军人才和省注协高端领军人才数量稳步增长。</w:t>
            </w:r>
          </w:p>
        </w:tc>
        <w:tc>
          <w:tcPr>
            <w:tcW w:w="1610" w:type="dxa"/>
            <w:noWrap w:val="0"/>
            <w:vAlign w:val="center"/>
          </w:tcPr>
          <w:p w14:paraId="769D1D27">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市财政局</w:t>
            </w:r>
          </w:p>
        </w:tc>
        <w:tc>
          <w:tcPr>
            <w:tcW w:w="1769" w:type="dxa"/>
            <w:noWrap w:val="0"/>
            <w:vAlign w:val="center"/>
          </w:tcPr>
          <w:p w14:paraId="72A2765B">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市委人才办</w:t>
            </w:r>
          </w:p>
          <w:p w14:paraId="31BC314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市审计局</w:t>
            </w:r>
          </w:p>
          <w:p w14:paraId="78C6290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市税务局</w:t>
            </w:r>
          </w:p>
        </w:tc>
      </w:tr>
      <w:tr w14:paraId="4EDF68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65B82508">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1047354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noWrap w:val="0"/>
            <w:vAlign w:val="center"/>
          </w:tcPr>
          <w:p w14:paraId="375EDCCF">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搭建行业服务领域蓄水池</w:t>
            </w:r>
          </w:p>
        </w:tc>
        <w:tc>
          <w:tcPr>
            <w:tcW w:w="3130" w:type="dxa"/>
            <w:noWrap w:val="0"/>
            <w:vAlign w:val="center"/>
          </w:tcPr>
          <w:p w14:paraId="144D7636">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聚焦我市新能源等制造业重点领域，针对业务合规、ESG发展、智能审计、区块链+审计等高增值服务开展业务培训。</w:t>
            </w:r>
          </w:p>
        </w:tc>
        <w:tc>
          <w:tcPr>
            <w:tcW w:w="3305" w:type="dxa"/>
            <w:noWrap w:val="0"/>
            <w:vAlign w:val="center"/>
          </w:tcPr>
          <w:p w14:paraId="2AD5843A">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加大司法会计服务等非鉴证类新兴服务力度，扩大破产管理人的服务资格，新增3-5家会计师事务所获得破产管理人服务资格。</w:t>
            </w:r>
          </w:p>
        </w:tc>
        <w:tc>
          <w:tcPr>
            <w:tcW w:w="1610" w:type="dxa"/>
            <w:noWrap w:val="0"/>
            <w:vAlign w:val="center"/>
          </w:tcPr>
          <w:p w14:paraId="5AC939D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市财政局</w:t>
            </w:r>
          </w:p>
        </w:tc>
        <w:tc>
          <w:tcPr>
            <w:tcW w:w="1769" w:type="dxa"/>
            <w:noWrap w:val="0"/>
            <w:vAlign w:val="center"/>
          </w:tcPr>
          <w:p w14:paraId="2782451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w:t>
            </w:r>
            <w:r>
              <w:rPr>
                <w:rFonts w:hint="eastAsia" w:ascii="Times New Roman" w:hAnsi="Times New Roman" w:eastAsia="仿宋_GB2312"/>
                <w:snapToGrid w:val="0"/>
                <w:kern w:val="0"/>
                <w:sz w:val="24"/>
                <w:szCs w:val="24"/>
                <w:lang w:val="en-US" w:eastAsia="zh-CN"/>
              </w:rPr>
              <w:t>人民</w:t>
            </w:r>
            <w:bookmarkStart w:id="1" w:name="_GoBack"/>
            <w:bookmarkEnd w:id="1"/>
            <w:r>
              <w:rPr>
                <w:rFonts w:ascii="Times New Roman" w:hAnsi="Times New Roman" w:eastAsia="仿宋_GB2312"/>
                <w:snapToGrid w:val="0"/>
                <w:kern w:val="0"/>
                <w:sz w:val="24"/>
                <w:szCs w:val="24"/>
              </w:rPr>
              <w:t>法院</w:t>
            </w:r>
          </w:p>
          <w:p w14:paraId="3C9EA1A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市审计局</w:t>
            </w:r>
          </w:p>
          <w:p w14:paraId="42A77BB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市税务局</w:t>
            </w:r>
          </w:p>
        </w:tc>
      </w:tr>
      <w:tr w14:paraId="036EB5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3B566687">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62BA968A">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noWrap w:val="0"/>
            <w:vAlign w:val="center"/>
          </w:tcPr>
          <w:p w14:paraId="79BC3D4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加强专业法律服务</w:t>
            </w:r>
          </w:p>
        </w:tc>
        <w:tc>
          <w:tcPr>
            <w:tcW w:w="3130" w:type="dxa"/>
            <w:noWrap w:val="0"/>
            <w:vAlign w:val="center"/>
          </w:tcPr>
          <w:p w14:paraId="3C36CEA8">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建设常州法律服务创新园。引进2家国内知名大所在常设立分所。</w:t>
            </w:r>
          </w:p>
        </w:tc>
        <w:tc>
          <w:tcPr>
            <w:tcW w:w="3305" w:type="dxa"/>
            <w:noWrap w:val="0"/>
            <w:vAlign w:val="center"/>
          </w:tcPr>
          <w:p w14:paraId="294EF0FA">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推动武进、新北建设法律服务集聚区。继续引进3家国内知名大所在常设立分所。100名律师以上规模所达到3家。建成运行常州市涉企公共法律服务平台。</w:t>
            </w:r>
          </w:p>
        </w:tc>
        <w:tc>
          <w:tcPr>
            <w:tcW w:w="1610" w:type="dxa"/>
            <w:noWrap w:val="0"/>
            <w:vAlign w:val="center"/>
          </w:tcPr>
          <w:p w14:paraId="2DBECD6C">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市司法局</w:t>
            </w:r>
          </w:p>
        </w:tc>
        <w:tc>
          <w:tcPr>
            <w:tcW w:w="1769" w:type="dxa"/>
            <w:noWrap w:val="0"/>
            <w:vAlign w:val="center"/>
          </w:tcPr>
          <w:p w14:paraId="234E2C02">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司法局</w:t>
            </w:r>
          </w:p>
          <w:p w14:paraId="15D63806">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市律师协会</w:t>
            </w:r>
          </w:p>
          <w:p w14:paraId="6D8BAA42">
            <w:pPr>
              <w:overflowPunct w:val="0"/>
              <w:autoSpaceDE w:val="0"/>
              <w:autoSpaceDN w:val="0"/>
              <w:adjustRightInd w:val="0"/>
              <w:snapToGrid w:val="0"/>
              <w:spacing w:line="320" w:lineRule="exact"/>
              <w:ind w:left="-113" w:right="-113"/>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市司法鉴定协会</w:t>
            </w:r>
          </w:p>
        </w:tc>
      </w:tr>
      <w:tr w14:paraId="125FDA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0E7C5484">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8</w:t>
            </w:r>
          </w:p>
        </w:tc>
        <w:tc>
          <w:tcPr>
            <w:tcW w:w="1724" w:type="dxa"/>
            <w:noWrap w:val="0"/>
            <w:vAlign w:val="center"/>
          </w:tcPr>
          <w:p w14:paraId="7549CC3B">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产业电商服务</w:t>
            </w:r>
          </w:p>
        </w:tc>
        <w:tc>
          <w:tcPr>
            <w:tcW w:w="2186" w:type="dxa"/>
            <w:noWrap w:val="0"/>
            <w:vAlign w:val="center"/>
          </w:tcPr>
          <w:p w14:paraId="7CDB594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建设全球跨境电商数据中心</w:t>
            </w:r>
          </w:p>
        </w:tc>
        <w:tc>
          <w:tcPr>
            <w:tcW w:w="3130" w:type="dxa"/>
            <w:noWrap w:val="0"/>
            <w:vAlign w:val="center"/>
          </w:tcPr>
          <w:p w14:paraId="5A1D23CE">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搭建跨境电商数据平台，在全省率先开展跨境电商产业分析试点。</w:t>
            </w:r>
          </w:p>
        </w:tc>
        <w:tc>
          <w:tcPr>
            <w:tcW w:w="3305" w:type="dxa"/>
            <w:noWrap w:val="0"/>
            <w:vAlign w:val="center"/>
          </w:tcPr>
          <w:p w14:paraId="2F2120CA">
            <w:pPr>
              <w:overflowPunct w:val="0"/>
              <w:autoSpaceDE w:val="0"/>
              <w:autoSpaceDN w:val="0"/>
              <w:adjustRightInd w:val="0"/>
              <w:snapToGrid w:val="0"/>
              <w:spacing w:line="36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摸清跨境电商发展底数，厘清国家、省市跨境电商业务情况，定期出具跨境电商产业分析报告。</w:t>
            </w:r>
          </w:p>
        </w:tc>
        <w:tc>
          <w:tcPr>
            <w:tcW w:w="1610" w:type="dxa"/>
            <w:noWrap w:val="0"/>
            <w:vAlign w:val="center"/>
          </w:tcPr>
          <w:p w14:paraId="0A5E17A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市商务局</w:t>
            </w:r>
          </w:p>
        </w:tc>
        <w:tc>
          <w:tcPr>
            <w:tcW w:w="1769" w:type="dxa"/>
            <w:noWrap w:val="0"/>
            <w:vAlign w:val="center"/>
          </w:tcPr>
          <w:p w14:paraId="2C42583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常州海关</w:t>
            </w:r>
          </w:p>
        </w:tc>
      </w:tr>
      <w:tr w14:paraId="25DCBF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3D0085E4">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8</w:t>
            </w:r>
          </w:p>
        </w:tc>
        <w:tc>
          <w:tcPr>
            <w:tcW w:w="1724" w:type="dxa"/>
            <w:noWrap w:val="0"/>
            <w:vAlign w:val="center"/>
          </w:tcPr>
          <w:p w14:paraId="47E64EE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产业电商服务</w:t>
            </w:r>
          </w:p>
        </w:tc>
        <w:tc>
          <w:tcPr>
            <w:tcW w:w="2186" w:type="dxa"/>
            <w:noWrap w:val="0"/>
            <w:vAlign w:val="center"/>
          </w:tcPr>
          <w:p w14:paraId="11066D6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建设长三角（常州）跨境电商创新中心</w:t>
            </w:r>
          </w:p>
        </w:tc>
        <w:tc>
          <w:tcPr>
            <w:tcW w:w="3130" w:type="dxa"/>
            <w:noWrap w:val="0"/>
            <w:vAlign w:val="center"/>
          </w:tcPr>
          <w:p w14:paraId="75B5D3F2">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完成运营主体注册，搭建载体平台，建设跨境电商“城市会客厅”，开展跨境电商产业服务试点。</w:t>
            </w:r>
          </w:p>
        </w:tc>
        <w:tc>
          <w:tcPr>
            <w:tcW w:w="3305" w:type="dxa"/>
            <w:noWrap w:val="0"/>
            <w:vAlign w:val="center"/>
          </w:tcPr>
          <w:p w14:paraId="2177FD78">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招引跨境电商平台、服务商10家以上，招引重点企业入驻，面向全市开展跨境电商培育孵化、宣传培训、渠道拓展、运营服务等，服务企业500家以上，扩大跨境电商业务规模10亿元以上，提升跨境电商发展质量。</w:t>
            </w:r>
          </w:p>
        </w:tc>
        <w:tc>
          <w:tcPr>
            <w:tcW w:w="1610" w:type="dxa"/>
            <w:noWrap w:val="0"/>
            <w:vAlign w:val="center"/>
          </w:tcPr>
          <w:p w14:paraId="03D8A0DB">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市商务局</w:t>
            </w:r>
          </w:p>
        </w:tc>
        <w:tc>
          <w:tcPr>
            <w:tcW w:w="1769" w:type="dxa"/>
            <w:noWrap w:val="0"/>
            <w:vAlign w:val="center"/>
          </w:tcPr>
          <w:p w14:paraId="1F7DB0D7">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市税务局</w:t>
            </w:r>
          </w:p>
          <w:p w14:paraId="5A79B942">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人民银行常州市分行</w:t>
            </w:r>
          </w:p>
          <w:p w14:paraId="245DD50A">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常州海关</w:t>
            </w:r>
          </w:p>
        </w:tc>
      </w:tr>
      <w:tr w14:paraId="2D1BC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restart"/>
            <w:noWrap w:val="0"/>
            <w:vAlign w:val="center"/>
          </w:tcPr>
          <w:p w14:paraId="6D941034">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9</w:t>
            </w:r>
          </w:p>
        </w:tc>
        <w:tc>
          <w:tcPr>
            <w:tcW w:w="1724" w:type="dxa"/>
            <w:vMerge w:val="restart"/>
            <w:noWrap w:val="0"/>
            <w:vAlign w:val="center"/>
          </w:tcPr>
          <w:p w14:paraId="068429E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绿色低碳服务</w:t>
            </w:r>
          </w:p>
        </w:tc>
        <w:tc>
          <w:tcPr>
            <w:tcW w:w="2186" w:type="dxa"/>
            <w:noWrap w:val="0"/>
            <w:vAlign w:val="center"/>
          </w:tcPr>
          <w:p w14:paraId="678165C6">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升级绿色环保服务</w:t>
            </w:r>
          </w:p>
        </w:tc>
        <w:tc>
          <w:tcPr>
            <w:tcW w:w="3130" w:type="dxa"/>
            <w:noWrap w:val="0"/>
            <w:vAlign w:val="center"/>
          </w:tcPr>
          <w:p w14:paraId="634C7D12">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规范和提升环境监测、环境保护咨询、环境修复、环境风险与损害评价等环保服务企业执业行为。</w:t>
            </w:r>
          </w:p>
        </w:tc>
        <w:tc>
          <w:tcPr>
            <w:tcW w:w="3305" w:type="dxa"/>
            <w:noWrap w:val="0"/>
            <w:vAlign w:val="center"/>
          </w:tcPr>
          <w:p w14:paraId="2E0495D8">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持续规范和提升环境监测、环境保护咨询、环境修复、环境风险与损害评价等环保服务企业执业行为。</w:t>
            </w:r>
          </w:p>
        </w:tc>
        <w:tc>
          <w:tcPr>
            <w:tcW w:w="1610" w:type="dxa"/>
            <w:noWrap w:val="0"/>
            <w:vAlign w:val="center"/>
          </w:tcPr>
          <w:p w14:paraId="61CC2B08">
            <w:pPr>
              <w:overflowPunct w:val="0"/>
              <w:autoSpaceDE w:val="0"/>
              <w:autoSpaceDN w:val="0"/>
              <w:adjustRightInd w:val="0"/>
              <w:snapToGrid w:val="0"/>
              <w:spacing w:line="320" w:lineRule="exact"/>
              <w:ind w:left="-113" w:right="-113"/>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市生态环境局</w:t>
            </w:r>
          </w:p>
        </w:tc>
        <w:tc>
          <w:tcPr>
            <w:tcW w:w="1769" w:type="dxa"/>
            <w:noWrap w:val="0"/>
            <w:vAlign w:val="center"/>
          </w:tcPr>
          <w:p w14:paraId="35AA5B81">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r>
      <w:tr w14:paraId="101D3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vMerge w:val="continue"/>
            <w:noWrap w:val="0"/>
            <w:vAlign w:val="center"/>
          </w:tcPr>
          <w:p w14:paraId="235EF58B">
            <w:pPr>
              <w:overflowPunct w:val="0"/>
              <w:autoSpaceDE w:val="0"/>
              <w:autoSpaceDN w:val="0"/>
              <w:adjustRightInd w:val="0"/>
              <w:snapToGrid w:val="0"/>
              <w:spacing w:line="320" w:lineRule="exact"/>
              <w:jc w:val="center"/>
              <w:rPr>
                <w:rFonts w:ascii="Times New Roman" w:hAnsi="Times New Roman"/>
                <w:snapToGrid w:val="0"/>
                <w:kern w:val="0"/>
                <w:sz w:val="24"/>
                <w:szCs w:val="24"/>
              </w:rPr>
            </w:pPr>
          </w:p>
        </w:tc>
        <w:tc>
          <w:tcPr>
            <w:tcW w:w="1724" w:type="dxa"/>
            <w:vMerge w:val="continue"/>
            <w:noWrap w:val="0"/>
            <w:vAlign w:val="center"/>
          </w:tcPr>
          <w:p w14:paraId="3BCD0A70">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p>
        </w:tc>
        <w:tc>
          <w:tcPr>
            <w:tcW w:w="2186" w:type="dxa"/>
            <w:noWrap w:val="0"/>
            <w:vAlign w:val="center"/>
          </w:tcPr>
          <w:p w14:paraId="3CB6BC4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发展双碳管理服务</w:t>
            </w:r>
          </w:p>
        </w:tc>
        <w:tc>
          <w:tcPr>
            <w:tcW w:w="3130" w:type="dxa"/>
            <w:noWrap w:val="0"/>
            <w:vAlign w:val="center"/>
          </w:tcPr>
          <w:p w14:paraId="6618D8F1">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培育碳资产管理、碳排放核算核查、产品碳足迹认证及相关检验监测、绿电绿证交易、碳自愿减排项目开发等双碳管理服务企业达4家。</w:t>
            </w:r>
          </w:p>
        </w:tc>
        <w:tc>
          <w:tcPr>
            <w:tcW w:w="3305" w:type="dxa"/>
            <w:noWrap w:val="0"/>
            <w:vAlign w:val="center"/>
          </w:tcPr>
          <w:p w14:paraId="48DDEE5B">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培育碳资产管理、碳排放核算核查、产品碳足迹认证及相关检验监测、绿电绿证交易、碳自愿减排项目开发等双碳管理服务企业达8家。</w:t>
            </w:r>
          </w:p>
        </w:tc>
        <w:tc>
          <w:tcPr>
            <w:tcW w:w="1610" w:type="dxa"/>
            <w:noWrap w:val="0"/>
            <w:vAlign w:val="center"/>
          </w:tcPr>
          <w:p w14:paraId="0C257E75">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市发改委</w:t>
            </w:r>
          </w:p>
        </w:tc>
        <w:tc>
          <w:tcPr>
            <w:tcW w:w="1769" w:type="dxa"/>
            <w:noWrap w:val="0"/>
            <w:vAlign w:val="center"/>
          </w:tcPr>
          <w:p w14:paraId="63383E5E">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市生态环境局</w:t>
            </w:r>
          </w:p>
          <w:p w14:paraId="6DC110C4">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市工信局</w:t>
            </w:r>
          </w:p>
          <w:p w14:paraId="2193E4B9">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市市场监管局</w:t>
            </w:r>
          </w:p>
        </w:tc>
      </w:tr>
      <w:tr w14:paraId="747AA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94" w:type="dxa"/>
            <w:noWrap w:val="0"/>
            <w:vAlign w:val="center"/>
          </w:tcPr>
          <w:p w14:paraId="41B7CF3E">
            <w:pPr>
              <w:overflowPunct w:val="0"/>
              <w:autoSpaceDE w:val="0"/>
              <w:autoSpaceDN w:val="0"/>
              <w:adjustRightInd w:val="0"/>
              <w:snapToGrid w:val="0"/>
              <w:spacing w:line="320" w:lineRule="exact"/>
              <w:jc w:val="center"/>
              <w:rPr>
                <w:rFonts w:ascii="Times New Roman" w:hAnsi="Times New Roman"/>
                <w:snapToGrid w:val="0"/>
                <w:kern w:val="0"/>
                <w:sz w:val="24"/>
                <w:szCs w:val="24"/>
              </w:rPr>
            </w:pPr>
            <w:r>
              <w:rPr>
                <w:rFonts w:ascii="Times New Roman" w:hAnsi="Times New Roman"/>
                <w:snapToGrid w:val="0"/>
                <w:kern w:val="0"/>
                <w:sz w:val="24"/>
                <w:szCs w:val="24"/>
              </w:rPr>
              <w:t>10</w:t>
            </w:r>
          </w:p>
        </w:tc>
        <w:tc>
          <w:tcPr>
            <w:tcW w:w="1724" w:type="dxa"/>
            <w:noWrap w:val="0"/>
            <w:vAlign w:val="center"/>
          </w:tcPr>
          <w:p w14:paraId="613E38D0">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低空应用服务</w:t>
            </w:r>
          </w:p>
        </w:tc>
        <w:tc>
          <w:tcPr>
            <w:tcW w:w="2186" w:type="dxa"/>
            <w:noWrap w:val="0"/>
            <w:vAlign w:val="center"/>
          </w:tcPr>
          <w:p w14:paraId="0CEFE414">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发展低空应用</w:t>
            </w:r>
          </w:p>
        </w:tc>
        <w:tc>
          <w:tcPr>
            <w:tcW w:w="3130" w:type="dxa"/>
            <w:noWrap w:val="0"/>
            <w:vAlign w:val="center"/>
          </w:tcPr>
          <w:p w14:paraId="7DCB92AB">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编制应用场景指导目录，开展公共服务试点应用场景。</w:t>
            </w:r>
          </w:p>
        </w:tc>
        <w:tc>
          <w:tcPr>
            <w:tcW w:w="3305" w:type="dxa"/>
            <w:noWrap w:val="0"/>
            <w:vAlign w:val="center"/>
          </w:tcPr>
          <w:p w14:paraId="511A58B1">
            <w:pPr>
              <w:overflowPunct w:val="0"/>
              <w:autoSpaceDE w:val="0"/>
              <w:autoSpaceDN w:val="0"/>
              <w:adjustRightInd w:val="0"/>
              <w:snapToGrid w:val="0"/>
              <w:spacing w:line="320" w:lineRule="exact"/>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更新完善应用场景指导目录，开通空中交通正式航线。</w:t>
            </w:r>
          </w:p>
        </w:tc>
        <w:tc>
          <w:tcPr>
            <w:tcW w:w="1610" w:type="dxa"/>
            <w:noWrap w:val="0"/>
            <w:vAlign w:val="center"/>
          </w:tcPr>
          <w:p w14:paraId="195F681A">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市发改委</w:t>
            </w:r>
          </w:p>
        </w:tc>
        <w:tc>
          <w:tcPr>
            <w:tcW w:w="1769" w:type="dxa"/>
            <w:noWrap w:val="0"/>
            <w:vAlign w:val="center"/>
          </w:tcPr>
          <w:p w14:paraId="057B748D">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市交通运输局</w:t>
            </w:r>
          </w:p>
          <w:p w14:paraId="05885728">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市公安局</w:t>
            </w:r>
          </w:p>
          <w:p w14:paraId="0205C825">
            <w:pPr>
              <w:overflowPunct w:val="0"/>
              <w:autoSpaceDE w:val="0"/>
              <w:autoSpaceDN w:val="0"/>
              <w:adjustRightInd w:val="0"/>
              <w:snapToGrid w:val="0"/>
              <w:spacing w:line="320" w:lineRule="exact"/>
              <w:jc w:val="center"/>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市文广旅局</w:t>
            </w:r>
          </w:p>
        </w:tc>
      </w:tr>
    </w:tbl>
    <w:p w14:paraId="3497CCB2"/>
    <w:sectPr>
      <w:headerReference r:id="rId3" w:type="default"/>
      <w:footerReference r:id="rId4" w:type="default"/>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3000509000000000000"/>
    <w:charset w:val="86"/>
    <w:family w:val="script"/>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2F5DB">
    <w:pPr>
      <w:pStyle w:val="2"/>
      <w:ind w:right="284"/>
      <w:jc w:val="right"/>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15</w:t>
    </w:r>
    <w:r>
      <w:rPr>
        <w:rFonts w:ascii="Times New Roman" w:hAnsi="Times New Roman"/>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2CCC2">
    <w:pPr>
      <w:spacing w:line="172" w:lineRule="auto"/>
      <w:ind w:left="2149"/>
      <w:rPr>
        <w:rFonts w:ascii="宋体" w:hAnsi="宋体" w:cs="宋体"/>
        <w:sz w:val="15"/>
        <w:szCs w:val="15"/>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30F3177A"/>
    <w:rsid w:val="0F8C706A"/>
    <w:rsid w:val="30F31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1421</Words>
  <Characters>1483</Characters>
  <Lines>0</Lines>
  <Paragraphs>0</Paragraphs>
  <TotalTime>0</TotalTime>
  <ScaleCrop>false</ScaleCrop>
  <LinksUpToDate>false</LinksUpToDate>
  <CharactersWithSpaces>1485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2024-11-05T06:51:00Z</dcterms:created>
  <dc:creator>丹丹</dc:creator>
  <cp:lastModifiedBy>丹丹</cp:lastModifiedBy>
  <dcterms:modified xsi:type="dcterms:W3CDTF">2024-11-05T06:54:26Z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211A22409A3B44E09712B2A160AFD670_11</vt:lpwstr>
  </property>
</Properties>
</file>