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0289B">
      <w:pPr>
        <w:overflowPunct w:val="0"/>
        <w:autoSpaceDE w:val="0"/>
        <w:adjustRightInd w:val="0"/>
        <w:snapToGrid w:val="0"/>
        <w:spacing w:line="570" w:lineRule="exact"/>
        <w:outlineLvl w:val="0"/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</w:pPr>
      <w:bookmarkStart w:id="0" w:name="_Toc20941"/>
      <w:r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  <w:t>附件</w:t>
      </w:r>
      <w:bookmarkEnd w:id="0"/>
      <w:r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  <w:t>4</w:t>
      </w:r>
    </w:p>
    <w:p w14:paraId="3DE82591">
      <w:pPr>
        <w:adjustRightIn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32"/>
          <w:szCs w:val="32"/>
        </w:rPr>
      </w:pPr>
    </w:p>
    <w:p w14:paraId="4A04AF0D">
      <w:pPr>
        <w:adjustRightIn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bookmarkStart w:id="1" w:name="_Toc274"/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市重点部门扫雪除冰责任区域</w:t>
      </w:r>
      <w:bookmarkEnd w:id="1"/>
    </w:p>
    <w:p w14:paraId="14D6792E">
      <w:pPr>
        <w:adjustRightIn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3849"/>
        <w:gridCol w:w="3601"/>
      </w:tblGrid>
      <w:tr w14:paraId="5E3B3C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06" w:type="dxa"/>
            <w:noWrap w:val="0"/>
            <w:vAlign w:val="center"/>
          </w:tcPr>
          <w:p w14:paraId="75D27AEC">
            <w:pPr>
              <w:adjustRightInd w:val="0"/>
              <w:spacing w:line="320" w:lineRule="exact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责任单位</w:t>
            </w:r>
          </w:p>
        </w:tc>
        <w:tc>
          <w:tcPr>
            <w:tcW w:w="3969" w:type="dxa"/>
            <w:noWrap w:val="0"/>
            <w:vAlign w:val="center"/>
          </w:tcPr>
          <w:p w14:paraId="23895497">
            <w:pPr>
              <w:adjustRightInd w:val="0"/>
              <w:spacing w:line="320" w:lineRule="exact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责任区域</w:t>
            </w:r>
          </w:p>
        </w:tc>
        <w:tc>
          <w:tcPr>
            <w:tcW w:w="3713" w:type="dxa"/>
            <w:noWrap w:val="0"/>
            <w:vAlign w:val="center"/>
          </w:tcPr>
          <w:p w14:paraId="5565D87C">
            <w:pPr>
              <w:adjustRightInd w:val="0"/>
              <w:spacing w:line="320" w:lineRule="exact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工作内容</w:t>
            </w:r>
          </w:p>
        </w:tc>
      </w:tr>
      <w:tr w14:paraId="773FEE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06" w:type="dxa"/>
            <w:noWrap w:val="0"/>
            <w:vAlign w:val="center"/>
          </w:tcPr>
          <w:p w14:paraId="2170AC87">
            <w:pPr>
              <w:adjustRightIn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市住建局</w:t>
            </w:r>
          </w:p>
        </w:tc>
        <w:tc>
          <w:tcPr>
            <w:tcW w:w="3969" w:type="dxa"/>
            <w:noWrap w:val="0"/>
            <w:vAlign w:val="center"/>
          </w:tcPr>
          <w:p w14:paraId="0D1A712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高架主线道路（龙城大道高架（曙兴路</w:t>
            </w:r>
            <w:r>
              <w:rPr>
                <w:rFonts w:ascii="Times New Roman" w:hAnsi="Times New Roman"/>
                <w:color w:val="000000"/>
                <w:szCs w:val="21"/>
              </w:rPr>
              <w:t>—</w:t>
            </w:r>
            <w:r>
              <w:rPr>
                <w:rFonts w:ascii="Times New Roman" w:hAnsi="宋体"/>
                <w:color w:val="000000"/>
                <w:szCs w:val="21"/>
              </w:rPr>
              <w:t>民营三路）、龙江路高架（丫河路</w:t>
            </w:r>
            <w:r>
              <w:rPr>
                <w:rFonts w:ascii="Times New Roman" w:hAnsi="Times New Roman"/>
                <w:color w:val="000000"/>
                <w:szCs w:val="21"/>
              </w:rPr>
              <w:t>—</w:t>
            </w:r>
            <w:r>
              <w:rPr>
                <w:rFonts w:ascii="Times New Roman" w:hAnsi="宋体"/>
                <w:color w:val="000000"/>
                <w:szCs w:val="21"/>
              </w:rPr>
              <w:t>沪蓉高速）、青洋路高架（滆湖东路</w:t>
            </w:r>
            <w:r>
              <w:rPr>
                <w:rFonts w:ascii="Times New Roman" w:hAnsi="Times New Roman"/>
                <w:color w:val="000000"/>
                <w:szCs w:val="21"/>
              </w:rPr>
              <w:t>—</w:t>
            </w:r>
            <w:r>
              <w:rPr>
                <w:rFonts w:ascii="Times New Roman" w:hAnsi="宋体"/>
                <w:color w:val="000000"/>
                <w:szCs w:val="21"/>
              </w:rPr>
              <w:t>河海东路）、长虹路高架（长虹东路</w:t>
            </w:r>
            <w:r>
              <w:rPr>
                <w:rFonts w:ascii="Times New Roman" w:hAnsi="Times New Roman"/>
                <w:color w:val="000000"/>
                <w:szCs w:val="21"/>
              </w:rPr>
              <w:t>—</w:t>
            </w:r>
            <w:r>
              <w:rPr>
                <w:rFonts w:ascii="Times New Roman" w:hAnsi="宋体"/>
                <w:color w:val="000000"/>
                <w:szCs w:val="21"/>
              </w:rPr>
              <w:t>金武快速路））和龙城大道隧道口。</w:t>
            </w:r>
          </w:p>
        </w:tc>
        <w:tc>
          <w:tcPr>
            <w:tcW w:w="3713" w:type="dxa"/>
            <w:noWrap w:val="0"/>
            <w:vAlign w:val="center"/>
          </w:tcPr>
          <w:p w14:paraId="1AC6B8B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对责任区域内的高架道路和隧道口落实铲雪、撒布融雪剂等措施进行除雪、除冰，保证道路畅通。</w:t>
            </w:r>
          </w:p>
        </w:tc>
      </w:tr>
      <w:tr w14:paraId="1D764F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06" w:type="dxa"/>
            <w:shd w:val="clear" w:color="auto" w:fill="auto"/>
            <w:noWrap w:val="0"/>
            <w:vAlign w:val="center"/>
          </w:tcPr>
          <w:p w14:paraId="2BAE6945">
            <w:pPr>
              <w:adjustRightIn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市城管局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 w14:paraId="68A199D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高架道路上下匝道（长虹高架互通段除外）。</w:t>
            </w:r>
          </w:p>
          <w:p w14:paraId="6541EF8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公园绿地：东坡公园、人民公园、荆川公园、青枫公园、圩墩公园、紫荆公园。</w:t>
            </w:r>
          </w:p>
        </w:tc>
        <w:tc>
          <w:tcPr>
            <w:tcW w:w="3713" w:type="dxa"/>
            <w:shd w:val="clear" w:color="auto" w:fill="auto"/>
            <w:noWrap w:val="0"/>
            <w:vAlign w:val="center"/>
          </w:tcPr>
          <w:p w14:paraId="37F092B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对高架道路上下匝道进行扫雪除冰作业，协助城乡建设部门做好高架道路等责任区域的扫雪、冲洗（气温在</w:t>
            </w: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  <w:r>
              <w:rPr>
                <w:rFonts w:ascii="Times New Roman" w:hAnsi="宋体"/>
                <w:color w:val="000000"/>
                <w:szCs w:val="21"/>
              </w:rPr>
              <w:t>度以上）等工作。指导各辖市（区）绿化主管部门清除影响树木安全及游客安全的积雪，清理影响道路交通通行的倒伏、断裂树木。</w:t>
            </w:r>
          </w:p>
        </w:tc>
      </w:tr>
      <w:tr w14:paraId="74687F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06" w:type="dxa"/>
            <w:noWrap w:val="0"/>
            <w:vAlign w:val="center"/>
          </w:tcPr>
          <w:p w14:paraId="2D263065">
            <w:pPr>
              <w:adjustRightInd w:val="0"/>
              <w:spacing w:line="320" w:lineRule="exact"/>
              <w:jc w:val="center"/>
              <w:rPr>
                <w:rFonts w:hint="eastAsia"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市交通</w:t>
            </w:r>
          </w:p>
          <w:p w14:paraId="145911EB">
            <w:pPr>
              <w:adjustRightIn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运输局</w:t>
            </w:r>
          </w:p>
        </w:tc>
        <w:tc>
          <w:tcPr>
            <w:tcW w:w="3969" w:type="dxa"/>
            <w:noWrap w:val="0"/>
            <w:vAlign w:val="center"/>
          </w:tcPr>
          <w:p w14:paraId="3D7BF4E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G104</w:t>
            </w:r>
            <w:r>
              <w:rPr>
                <w:rFonts w:ascii="Times New Roman" w:hAnsi="宋体"/>
                <w:color w:val="000000"/>
                <w:szCs w:val="21"/>
              </w:rPr>
              <w:t>、</w:t>
            </w:r>
            <w:r>
              <w:rPr>
                <w:rFonts w:ascii="Times New Roman" w:hAnsi="Times New Roman"/>
                <w:color w:val="000000"/>
                <w:szCs w:val="21"/>
              </w:rPr>
              <w:t>G312</w:t>
            </w:r>
            <w:r>
              <w:rPr>
                <w:rFonts w:ascii="Times New Roman" w:hAnsi="宋体"/>
                <w:color w:val="000000"/>
                <w:szCs w:val="21"/>
              </w:rPr>
              <w:t>等</w:t>
            </w: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  <w:r>
              <w:rPr>
                <w:rFonts w:ascii="Times New Roman" w:hAnsi="宋体"/>
                <w:color w:val="000000"/>
                <w:szCs w:val="21"/>
              </w:rPr>
              <w:t>条国道，</w:t>
            </w:r>
            <w:r>
              <w:rPr>
                <w:rFonts w:ascii="Times New Roman" w:hAnsi="Times New Roman"/>
                <w:color w:val="000000"/>
                <w:szCs w:val="21"/>
              </w:rPr>
              <w:t>S122</w:t>
            </w:r>
            <w:r>
              <w:rPr>
                <w:rFonts w:ascii="Times New Roman" w:hAnsi="宋体"/>
                <w:color w:val="000000"/>
                <w:szCs w:val="21"/>
              </w:rPr>
              <w:t>、</w:t>
            </w:r>
            <w:r>
              <w:rPr>
                <w:rFonts w:ascii="Times New Roman" w:hAnsi="Times New Roman"/>
                <w:color w:val="000000"/>
                <w:szCs w:val="21"/>
              </w:rPr>
              <w:t>S232</w:t>
            </w:r>
            <w:r>
              <w:rPr>
                <w:rFonts w:ascii="Times New Roman" w:hAnsi="宋体"/>
                <w:color w:val="000000"/>
                <w:szCs w:val="21"/>
              </w:rPr>
              <w:t>、</w:t>
            </w:r>
            <w:r>
              <w:rPr>
                <w:rFonts w:ascii="Times New Roman" w:hAnsi="Times New Roman"/>
                <w:color w:val="000000"/>
                <w:szCs w:val="21"/>
              </w:rPr>
              <w:t>S338</w:t>
            </w:r>
            <w:r>
              <w:rPr>
                <w:rFonts w:ascii="Times New Roman" w:hAnsi="宋体"/>
                <w:color w:val="000000"/>
                <w:szCs w:val="21"/>
              </w:rPr>
              <w:t>、</w:t>
            </w:r>
            <w:r>
              <w:rPr>
                <w:rFonts w:ascii="Times New Roman" w:hAnsi="Times New Roman"/>
                <w:color w:val="000000"/>
                <w:szCs w:val="21"/>
              </w:rPr>
              <w:t>S340</w:t>
            </w:r>
            <w:r>
              <w:rPr>
                <w:rFonts w:ascii="Times New Roman" w:hAnsi="宋体"/>
                <w:color w:val="000000"/>
                <w:szCs w:val="21"/>
              </w:rPr>
              <w:t>等</w:t>
            </w: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  <w:r>
              <w:rPr>
                <w:rFonts w:ascii="Times New Roman" w:hAnsi="宋体"/>
                <w:color w:val="000000"/>
                <w:szCs w:val="21"/>
              </w:rPr>
              <w:t>条省道，责任里程</w:t>
            </w:r>
            <w:r>
              <w:rPr>
                <w:rFonts w:ascii="Times New Roman" w:hAnsi="Times New Roman"/>
                <w:color w:val="000000"/>
                <w:szCs w:val="21"/>
              </w:rPr>
              <w:t>411.906</w:t>
            </w:r>
            <w:r>
              <w:rPr>
                <w:rFonts w:ascii="Times New Roman" w:hAnsi="宋体"/>
                <w:color w:val="000000"/>
                <w:szCs w:val="21"/>
              </w:rPr>
              <w:t>公里，国省公路桥梁</w:t>
            </w:r>
            <w:r>
              <w:rPr>
                <w:rFonts w:ascii="Times New Roman" w:hAnsi="Times New Roman"/>
                <w:color w:val="000000"/>
                <w:szCs w:val="21"/>
              </w:rPr>
              <w:t>184</w:t>
            </w:r>
            <w:r>
              <w:rPr>
                <w:rFonts w:ascii="Times New Roman" w:hAnsi="宋体"/>
                <w:color w:val="000000"/>
                <w:szCs w:val="21"/>
              </w:rPr>
              <w:t>座（不分上下行），公交场站、公路客运中心、港口等。</w:t>
            </w:r>
          </w:p>
        </w:tc>
        <w:tc>
          <w:tcPr>
            <w:tcW w:w="3713" w:type="dxa"/>
            <w:noWrap w:val="0"/>
            <w:vAlign w:val="center"/>
          </w:tcPr>
          <w:p w14:paraId="66F65B7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对所辖的国省干道进行除冰雪，确保国省干道尽早畅通。对所辖的公交场站、公路客运中心、港口等重要部位进行除冰雪，方便旅客行走，确保客运安全和公交客运车辆出行安全。</w:t>
            </w:r>
          </w:p>
        </w:tc>
      </w:tr>
      <w:tr w14:paraId="01D672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06" w:type="dxa"/>
            <w:noWrap w:val="0"/>
            <w:vAlign w:val="center"/>
          </w:tcPr>
          <w:p w14:paraId="60E6463E">
            <w:pPr>
              <w:adjustRightIn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地铁集团</w:t>
            </w:r>
          </w:p>
        </w:tc>
        <w:tc>
          <w:tcPr>
            <w:tcW w:w="3969" w:type="dxa"/>
            <w:noWrap w:val="0"/>
            <w:vAlign w:val="center"/>
          </w:tcPr>
          <w:p w14:paraId="1B5EAE5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地面运行段及各站点。</w:t>
            </w:r>
          </w:p>
        </w:tc>
        <w:tc>
          <w:tcPr>
            <w:tcW w:w="3713" w:type="dxa"/>
            <w:noWrap w:val="0"/>
            <w:vAlign w:val="center"/>
          </w:tcPr>
          <w:p w14:paraId="2E6BEC4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组织地面运行段及各站点与主干道连接线的扫雪除冰工作，确保群众安全出行。</w:t>
            </w:r>
          </w:p>
        </w:tc>
      </w:tr>
      <w:tr w14:paraId="5CCCCCA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06" w:type="dxa"/>
            <w:noWrap w:val="0"/>
            <w:vAlign w:val="center"/>
          </w:tcPr>
          <w:p w14:paraId="49E0C773">
            <w:pPr>
              <w:adjustRightInd w:val="0"/>
              <w:spacing w:line="320" w:lineRule="exact"/>
              <w:jc w:val="center"/>
              <w:rPr>
                <w:rFonts w:hint="eastAsia" w:ascii="Times New Roman" w:hAnsi="宋体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市交通</w:t>
            </w:r>
          </w:p>
          <w:p w14:paraId="5F0B7646">
            <w:pPr>
              <w:adjustRightIn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控股集团</w:t>
            </w:r>
          </w:p>
        </w:tc>
        <w:tc>
          <w:tcPr>
            <w:tcW w:w="3969" w:type="dxa"/>
            <w:noWrap w:val="0"/>
            <w:vAlign w:val="center"/>
          </w:tcPr>
          <w:p w14:paraId="6EB999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常溧高速公路、西绕城高速公路及高速公路连接线。</w:t>
            </w:r>
          </w:p>
        </w:tc>
        <w:tc>
          <w:tcPr>
            <w:tcW w:w="3713" w:type="dxa"/>
            <w:noWrap w:val="0"/>
            <w:vAlign w:val="center"/>
          </w:tcPr>
          <w:p w14:paraId="7CA13EF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负责常溧高速公路及高速公路连接线的扫雪除冰和清障工作，确保道路顺畅。</w:t>
            </w:r>
          </w:p>
        </w:tc>
      </w:tr>
      <w:tr w14:paraId="1622CE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06" w:type="dxa"/>
            <w:shd w:val="clear" w:color="auto" w:fill="auto"/>
            <w:noWrap w:val="0"/>
            <w:vAlign w:val="center"/>
          </w:tcPr>
          <w:p w14:paraId="09F56448">
            <w:pPr>
              <w:adjustRightIn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常州机场</w:t>
            </w:r>
          </w:p>
        </w:tc>
        <w:tc>
          <w:tcPr>
            <w:tcW w:w="3969" w:type="dxa"/>
            <w:shd w:val="clear" w:color="auto" w:fill="auto"/>
            <w:noWrap w:val="0"/>
            <w:vAlign w:val="center"/>
          </w:tcPr>
          <w:p w14:paraId="63C210D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飞行区、停机坪。</w:t>
            </w:r>
          </w:p>
        </w:tc>
        <w:tc>
          <w:tcPr>
            <w:tcW w:w="3713" w:type="dxa"/>
            <w:shd w:val="clear" w:color="auto" w:fill="auto"/>
            <w:noWrap w:val="0"/>
            <w:vAlign w:val="center"/>
          </w:tcPr>
          <w:p w14:paraId="369A1B1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组织开展飞行区道面、停机坪的扫雪除冰工作；做好因雪灾滞留机场旅客的紧急安置以及基本生活保障工作，维护机场秩序。</w:t>
            </w:r>
          </w:p>
        </w:tc>
      </w:tr>
    </w:tbl>
    <w:p w14:paraId="5744CF01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11D4341-2B84-46BB-BC10-77E52C52AE49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68822C03-89AF-40E4-BBFD-7AFE160339B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4304322-238C-4507-9933-CF190F7932F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97FAD"/>
    <w:rsid w:val="3DD9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2024-12-17T02:44:00Z</dcterms:created>
  <dc:creator>丹丹</dc:creator>
  <cp:lastModifiedBy>丹丹</cp:lastModifiedBy>
  <dcterms:modified xsi:type="dcterms:W3CDTF">2024-12-17T02:44:25Z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FEDA636C1D4246FC935D454A80C18EB7_11</vt:lpwstr>
  </property>
</Properties>
</file>