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6325E" w14:textId="77777777" w:rsidR="00C674ED" w:rsidRDefault="003C1283">
      <w:pPr>
        <w:autoSpaceDE w:val="0"/>
        <w:autoSpaceDN w:val="0"/>
        <w:spacing w:after="0" w:line="640" w:lineRule="exact"/>
        <w:ind w:right="413"/>
        <w:jc w:val="both"/>
        <w:outlineLvl w:val="0"/>
        <w:rPr>
          <w:rFonts w:ascii="黑体" w:eastAsia="黑体" w:hAnsi="黑体" w:cs="Times New Roman"/>
          <w:kern w:val="0"/>
          <w:sz w:val="32"/>
          <w:szCs w:val="32"/>
        </w:rPr>
      </w:pPr>
      <w:r>
        <w:rPr>
          <w:rFonts w:ascii="黑体" w:eastAsia="黑体" w:hAnsi="黑体" w:cs="黑体" w:hint="eastAsia"/>
          <w:kern w:val="0"/>
          <w:sz w:val="32"/>
          <w:szCs w:val="32"/>
        </w:rPr>
        <w:t>附件</w:t>
      </w:r>
    </w:p>
    <w:p w14:paraId="44073A95" w14:textId="77777777" w:rsidR="00C674ED" w:rsidRDefault="00C674ED">
      <w:pPr>
        <w:autoSpaceDE w:val="0"/>
        <w:autoSpaceDN w:val="0"/>
        <w:spacing w:after="0" w:line="640" w:lineRule="exact"/>
        <w:rPr>
          <w:rFonts w:ascii="黑体" w:eastAsia="黑体" w:hAnsi="黑体" w:cs="Times New Roman"/>
          <w:kern w:val="0"/>
          <w:sz w:val="32"/>
          <w:szCs w:val="32"/>
        </w:rPr>
      </w:pPr>
    </w:p>
    <w:p w14:paraId="645F3879" w14:textId="77777777" w:rsidR="00C674ED" w:rsidRDefault="003C1283">
      <w:pPr>
        <w:pStyle w:val="1"/>
        <w:keepNext w:val="0"/>
        <w:keepLines w:val="0"/>
        <w:autoSpaceDE w:val="0"/>
        <w:autoSpaceDN w:val="0"/>
        <w:spacing w:before="0" w:after="0" w:line="640" w:lineRule="exact"/>
        <w:ind w:left="172" w:right="413" w:firstLine="2"/>
        <w:jc w:val="center"/>
        <w:rPr>
          <w:rFonts w:ascii="方正小标宋简体" w:eastAsia="方正小标宋简体" w:hAnsi="方正小标宋简体" w:cs="Times New Roman"/>
          <w:color w:val="auto"/>
          <w:kern w:val="0"/>
          <w:sz w:val="44"/>
          <w:szCs w:val="44"/>
        </w:rPr>
      </w:pPr>
      <w:bookmarkStart w:id="0" w:name="OLE_LINK2"/>
      <w:r>
        <w:rPr>
          <w:rFonts w:ascii="方正小标宋简体" w:eastAsia="方正小标宋简体" w:hAnsi="方正小标宋简体" w:cs="方正小标宋简体" w:hint="eastAsia"/>
          <w:color w:val="auto"/>
          <w:kern w:val="0"/>
          <w:sz w:val="44"/>
          <w:szCs w:val="44"/>
        </w:rPr>
        <w:t>常州市其他食品（方便菜肴）</w:t>
      </w:r>
    </w:p>
    <w:p w14:paraId="34066BB3" w14:textId="77777777" w:rsidR="00C674ED" w:rsidRDefault="003C1283">
      <w:pPr>
        <w:pStyle w:val="1"/>
        <w:keepNext w:val="0"/>
        <w:keepLines w:val="0"/>
        <w:autoSpaceDE w:val="0"/>
        <w:autoSpaceDN w:val="0"/>
        <w:spacing w:before="0" w:after="0" w:line="640" w:lineRule="exact"/>
        <w:ind w:left="172" w:right="413" w:firstLine="2"/>
        <w:jc w:val="center"/>
        <w:rPr>
          <w:rFonts w:ascii="方正小标宋简体" w:eastAsia="方正小标宋简体" w:hAnsi="方正小标宋简体" w:cs="Times New Roman"/>
          <w:color w:val="auto"/>
          <w:kern w:val="0"/>
          <w:sz w:val="44"/>
          <w:szCs w:val="44"/>
        </w:rPr>
      </w:pPr>
      <w:r>
        <w:rPr>
          <w:rFonts w:ascii="方正小标宋简体" w:eastAsia="方正小标宋简体" w:hAnsi="方正小标宋简体" w:cs="方正小标宋简体" w:hint="eastAsia"/>
          <w:color w:val="auto"/>
          <w:kern w:val="0"/>
          <w:sz w:val="44"/>
          <w:szCs w:val="44"/>
        </w:rPr>
        <w:t>生产许可审查细则（征求意见稿）</w:t>
      </w:r>
    </w:p>
    <w:p w14:paraId="755E8186" w14:textId="77777777" w:rsidR="00C674ED" w:rsidRDefault="00C674ED">
      <w:pPr>
        <w:autoSpaceDE w:val="0"/>
        <w:autoSpaceDN w:val="0"/>
        <w:spacing w:after="0" w:line="640" w:lineRule="exact"/>
        <w:ind w:left="172" w:right="413" w:firstLine="2"/>
        <w:jc w:val="right"/>
        <w:outlineLvl w:val="0"/>
        <w:rPr>
          <w:rFonts w:ascii="方正小标宋简体" w:eastAsia="方正小标宋简体" w:hAnsi="方正小标宋简体" w:cs="Times New Roman"/>
          <w:spacing w:val="10"/>
          <w:kern w:val="0"/>
          <w:sz w:val="44"/>
          <w:szCs w:val="44"/>
        </w:rPr>
      </w:pPr>
    </w:p>
    <w:p w14:paraId="459BE72B" w14:textId="77777777" w:rsidR="00C674ED" w:rsidRDefault="003C1283" w:rsidP="00A35941">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第一章</w:t>
      </w:r>
      <w:r>
        <w:rPr>
          <w:rFonts w:ascii="Times New Roman" w:eastAsia="仿宋_GB2312" w:hAnsi="Times New Roman" w:cs="Times New Roman"/>
        </w:rPr>
        <w:t xml:space="preserve"> </w:t>
      </w:r>
      <w:r>
        <w:rPr>
          <w:rFonts w:ascii="Times New Roman" w:eastAsia="仿宋_GB2312" w:hAnsi="Times New Roman" w:cs="Times New Roman"/>
        </w:rPr>
        <w:t>总则</w:t>
      </w:r>
    </w:p>
    <w:p w14:paraId="09002F45"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第一条</w:t>
      </w:r>
      <w:r>
        <w:rPr>
          <w:rFonts w:ascii="Times New Roman" w:eastAsia="仿宋_GB2312" w:hAnsi="Times New Roman" w:cs="Times New Roman"/>
        </w:rPr>
        <w:t xml:space="preserve"> </w:t>
      </w:r>
      <w:r>
        <w:rPr>
          <w:rFonts w:ascii="Times New Roman" w:eastAsia="仿宋_GB2312" w:hAnsi="Times New Roman" w:cs="Times New Roman"/>
        </w:rPr>
        <w:t>为了做好方便菜肴生产许可审查工作，依据《中华人民共和国食品安全法》、《中华人民共和国食品安全法实施条例》、《食品生产许可管理办法》、《食品生产许可审查通则》（以下简称通则）等有关法律法规、规章和国家标准、行业标准、地方标准、团体标准、企业标准制定方便菜肴生产许可审查细则（以下简称细则）。</w:t>
      </w:r>
    </w:p>
    <w:p w14:paraId="67222AF4"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第二条</w:t>
      </w:r>
      <w:r>
        <w:rPr>
          <w:rFonts w:ascii="Times New Roman" w:eastAsia="仿宋_GB2312" w:hAnsi="Times New Roman" w:cs="Times New Roman"/>
        </w:rPr>
        <w:t xml:space="preserve"> </w:t>
      </w:r>
      <w:r>
        <w:rPr>
          <w:rFonts w:ascii="Times New Roman" w:eastAsia="仿宋_GB2312" w:hAnsi="Times New Roman" w:cs="Times New Roman"/>
        </w:rPr>
        <w:t>本细则应与通则结合使用，适用于方便菜肴的生产许可审查工作。仅有包装场地、工序、设备、没有完整的生产条件，不予生产许可。</w:t>
      </w:r>
    </w:p>
    <w:p w14:paraId="24D6B805"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第三条</w:t>
      </w:r>
      <w:r>
        <w:rPr>
          <w:rFonts w:ascii="Times New Roman" w:eastAsia="仿宋_GB2312" w:hAnsi="Times New Roman" w:cs="Times New Roman"/>
        </w:rPr>
        <w:t xml:space="preserve"> </w:t>
      </w:r>
      <w:r>
        <w:rPr>
          <w:rFonts w:ascii="Times New Roman" w:eastAsia="仿宋_GB2312" w:hAnsi="Times New Roman" w:cs="Times New Roman"/>
        </w:rPr>
        <w:t>实施食品生产许可管理的方便菜肴的产品，是指以果</w:t>
      </w:r>
      <w:proofErr w:type="gramStart"/>
      <w:r>
        <w:rPr>
          <w:rFonts w:ascii="Times New Roman" w:eastAsia="仿宋_GB2312" w:hAnsi="Times New Roman" w:cs="Times New Roman"/>
        </w:rPr>
        <w:t>蔬及其</w:t>
      </w:r>
      <w:proofErr w:type="gramEnd"/>
      <w:r>
        <w:rPr>
          <w:rFonts w:ascii="Times New Roman" w:eastAsia="仿宋_GB2312" w:hAnsi="Times New Roman" w:cs="Times New Roman"/>
        </w:rPr>
        <w:t>加工品、豆类及其制品、面筋制品、食</w:t>
      </w:r>
      <w:r>
        <w:rPr>
          <w:rFonts w:ascii="Times New Roman" w:eastAsia="仿宋_GB2312" w:hAnsi="Times New Roman" w:cs="Times New Roman"/>
        </w:rPr>
        <w:t>用菌及其制品、禽蛋及其制品、畜禽肉及其制品、水产品和藻类及其制品中多种原料或其他原料为主要原料进行拼配，配以或不配以调味料，经预处理、加工烹制、冷链贮运、开袋即食或经过简单加热即可食用的预包装食品。</w:t>
      </w:r>
    </w:p>
    <w:p w14:paraId="5C5E6870"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第四条</w:t>
      </w:r>
      <w:r>
        <w:rPr>
          <w:rFonts w:ascii="Times New Roman" w:eastAsia="仿宋_GB2312" w:hAnsi="Times New Roman" w:cs="Times New Roman"/>
        </w:rPr>
        <w:t xml:space="preserve"> </w:t>
      </w:r>
      <w:r>
        <w:rPr>
          <w:rFonts w:ascii="Times New Roman" w:eastAsia="仿宋_GB2312" w:hAnsi="Times New Roman" w:cs="Times New Roman"/>
        </w:rPr>
        <w:t>本细则中引用的文件、标准通过引用成为本细则的内容。凡是引用文件、标准、其最新版本（包括所有的修改单）适用于本细则。本产品其类别编号为</w:t>
      </w:r>
      <w:r>
        <w:rPr>
          <w:rFonts w:ascii="Times New Roman" w:eastAsia="仿宋_GB2312" w:hAnsi="Times New Roman" w:cs="Times New Roman"/>
        </w:rPr>
        <w:t>3101</w:t>
      </w:r>
      <w:r>
        <w:rPr>
          <w:rFonts w:ascii="Times New Roman" w:eastAsia="仿宋_GB2312" w:hAnsi="Times New Roman" w:cs="Times New Roman"/>
        </w:rPr>
        <w:t>。</w:t>
      </w:r>
    </w:p>
    <w:p w14:paraId="2CD97B9D" w14:textId="37769E9F" w:rsidR="00C674ED" w:rsidRDefault="003C1283" w:rsidP="00A35941">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lastRenderedPageBreak/>
        <w:t>第二章</w:t>
      </w:r>
      <w:r>
        <w:rPr>
          <w:rFonts w:ascii="Times New Roman" w:eastAsia="仿宋_GB2312" w:hAnsi="Times New Roman" w:cs="Times New Roman"/>
        </w:rPr>
        <w:t xml:space="preserve"> </w:t>
      </w:r>
      <w:r>
        <w:rPr>
          <w:rFonts w:ascii="Times New Roman" w:eastAsia="仿宋_GB2312" w:hAnsi="Times New Roman" w:cs="Times New Roman"/>
        </w:rPr>
        <w:t>生产场所</w:t>
      </w:r>
    </w:p>
    <w:p w14:paraId="2E67F13B"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第五条</w:t>
      </w:r>
      <w:r>
        <w:rPr>
          <w:rFonts w:ascii="Times New Roman" w:eastAsia="仿宋_GB2312" w:hAnsi="Times New Roman" w:cs="Times New Roman"/>
        </w:rPr>
        <w:t xml:space="preserve"> </w:t>
      </w:r>
      <w:r>
        <w:rPr>
          <w:rFonts w:ascii="Times New Roman" w:eastAsia="仿宋_GB2312" w:hAnsi="Times New Roman" w:cs="Times New Roman"/>
        </w:rPr>
        <w:t>厂区、厂房和车间、库房要求应符合《食品安全国家标准</w:t>
      </w:r>
      <w:r>
        <w:rPr>
          <w:rFonts w:ascii="Times New Roman" w:eastAsia="仿宋_GB2312" w:hAnsi="Times New Roman" w:cs="Times New Roman"/>
        </w:rPr>
        <w:t xml:space="preserve"> </w:t>
      </w:r>
      <w:r>
        <w:rPr>
          <w:rFonts w:ascii="Times New Roman" w:eastAsia="仿宋_GB2312" w:hAnsi="Times New Roman" w:cs="Times New Roman"/>
        </w:rPr>
        <w:t>食品卫生通用规范》（</w:t>
      </w:r>
      <w:r>
        <w:rPr>
          <w:rFonts w:ascii="Times New Roman" w:eastAsia="仿宋_GB2312" w:hAnsi="Times New Roman" w:cs="Times New Roman"/>
        </w:rPr>
        <w:t>GB14881</w:t>
      </w:r>
      <w:r>
        <w:rPr>
          <w:rFonts w:ascii="Times New Roman" w:eastAsia="仿宋_GB2312" w:hAnsi="Times New Roman" w:cs="Times New Roman"/>
        </w:rPr>
        <w:t>）中生产场所相关规</w:t>
      </w:r>
      <w:r>
        <w:rPr>
          <w:rFonts w:ascii="Times New Roman" w:eastAsia="仿宋_GB2312" w:hAnsi="Times New Roman" w:cs="Times New Roman"/>
        </w:rPr>
        <w:t>定。</w:t>
      </w:r>
    </w:p>
    <w:p w14:paraId="649E2AF0"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第六条</w:t>
      </w:r>
      <w:r>
        <w:rPr>
          <w:rFonts w:ascii="Times New Roman" w:eastAsia="仿宋_GB2312" w:hAnsi="Times New Roman" w:cs="Times New Roman"/>
        </w:rPr>
        <w:t xml:space="preserve"> </w:t>
      </w:r>
      <w:r>
        <w:rPr>
          <w:rFonts w:ascii="Times New Roman" w:eastAsia="仿宋_GB2312" w:hAnsi="Times New Roman" w:cs="Times New Roman"/>
        </w:rPr>
        <w:t>厂房与加工车间应合理划分作业区，实施有效的分离或分隔。设置与供应品种和数量相适应的生料加工区、热加工区、熟料加工区（冷却、包装）及仓库等。</w:t>
      </w:r>
    </w:p>
    <w:p w14:paraId="22E23678"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第七条</w:t>
      </w:r>
      <w:r>
        <w:rPr>
          <w:rFonts w:ascii="Times New Roman" w:eastAsia="仿宋_GB2312" w:hAnsi="Times New Roman" w:cs="Times New Roman"/>
        </w:rPr>
        <w:t xml:space="preserve"> </w:t>
      </w:r>
      <w:r>
        <w:rPr>
          <w:rFonts w:ascii="Times New Roman" w:eastAsia="仿宋_GB2312" w:hAnsi="Times New Roman" w:cs="Times New Roman"/>
        </w:rPr>
        <w:t>生产车间应具有足够空间和高度，满足设备设施安装与维修、生产作业、卫生清洁、物料运转、采光与通风及卫生检查的需要。</w:t>
      </w:r>
    </w:p>
    <w:p w14:paraId="5B50680B"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第八条</w:t>
      </w:r>
      <w:r>
        <w:rPr>
          <w:rFonts w:ascii="Times New Roman" w:eastAsia="仿宋_GB2312" w:hAnsi="Times New Roman" w:cs="Times New Roman"/>
        </w:rPr>
        <w:t xml:space="preserve"> </w:t>
      </w:r>
      <w:r>
        <w:rPr>
          <w:rFonts w:ascii="Times New Roman" w:eastAsia="仿宋_GB2312" w:hAnsi="Times New Roman" w:cs="Times New Roman"/>
        </w:rPr>
        <w:t>生产车间按生产工艺、卫生控制要求有序合理布局，根据生产流程、操作需要和清洁度要求进行分离或分隔，避免交叉污染。依其清洁度要求一般分为：非食品生产处理区（办公室、配电间、化验室等）、一般作业区（原料冻库、原辅料库、包材库、脱包间、</w:t>
      </w:r>
      <w:r>
        <w:rPr>
          <w:rFonts w:ascii="Times New Roman" w:eastAsia="仿宋_GB2312" w:hAnsi="Times New Roman" w:cs="Times New Roman"/>
        </w:rPr>
        <w:t>外包装间、保鲜库）、准清洁作业区（预处理间、配料间、腌制间、清洗间、熟制间）、清洁作业区（冷却间、内包装间）。</w:t>
      </w:r>
    </w:p>
    <w:p w14:paraId="36B44EA8"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第九条</w:t>
      </w:r>
      <w:r>
        <w:rPr>
          <w:rFonts w:ascii="Times New Roman" w:eastAsia="仿宋_GB2312" w:hAnsi="Times New Roman" w:cs="Times New Roman"/>
        </w:rPr>
        <w:t xml:space="preserve"> </w:t>
      </w:r>
      <w:r>
        <w:rPr>
          <w:rFonts w:ascii="Times New Roman" w:eastAsia="仿宋_GB2312" w:hAnsi="Times New Roman" w:cs="Times New Roman"/>
        </w:rPr>
        <w:t>生产场所或生产车间入口处应设置更衣室，内含洗手、干手和消毒设施及工作鞋靴消毒设施；快速冷却设施、内包装间设置二更。</w:t>
      </w:r>
    </w:p>
    <w:p w14:paraId="3E3A42A5" w14:textId="77777777" w:rsidR="00C674ED" w:rsidRDefault="003C1283" w:rsidP="00A35941">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第三章</w:t>
      </w:r>
      <w:r>
        <w:rPr>
          <w:rFonts w:ascii="Times New Roman" w:eastAsia="仿宋_GB2312" w:hAnsi="Times New Roman" w:cs="Times New Roman"/>
        </w:rPr>
        <w:t xml:space="preserve"> </w:t>
      </w:r>
      <w:r>
        <w:rPr>
          <w:rFonts w:ascii="Times New Roman" w:eastAsia="仿宋_GB2312" w:hAnsi="Times New Roman" w:cs="Times New Roman"/>
        </w:rPr>
        <w:t>设备设施</w:t>
      </w:r>
    </w:p>
    <w:p w14:paraId="5C1B95F2"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第十条</w:t>
      </w:r>
      <w:r>
        <w:rPr>
          <w:rFonts w:ascii="Times New Roman" w:eastAsia="仿宋_GB2312" w:hAnsi="Times New Roman" w:cs="Times New Roman"/>
        </w:rPr>
        <w:t xml:space="preserve"> </w:t>
      </w:r>
      <w:r>
        <w:rPr>
          <w:rFonts w:ascii="Times New Roman" w:eastAsia="仿宋_GB2312" w:hAnsi="Times New Roman" w:cs="Times New Roman"/>
        </w:rPr>
        <w:t>生产设备根据实际工艺需要配备，一般包括：原料预处理设备，配料设备、熟制设备、快速冷却设施、包装设备、打码机、冷藏储存运输设备（运输设施可外包）等。</w:t>
      </w:r>
      <w:r>
        <w:rPr>
          <w:rFonts w:ascii="Times New Roman" w:eastAsia="仿宋_GB2312" w:hAnsi="Times New Roman" w:cs="Times New Roman"/>
        </w:rPr>
        <w:lastRenderedPageBreak/>
        <w:t>快速冷却设备、成品储存和运输的冷藏设备其数量、容量应满足生产加工工艺和食品安全的需要。</w:t>
      </w:r>
    </w:p>
    <w:p w14:paraId="2954553C"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第十一条</w:t>
      </w:r>
      <w:r>
        <w:rPr>
          <w:rFonts w:ascii="Times New Roman" w:eastAsia="仿宋_GB2312" w:hAnsi="Times New Roman" w:cs="Times New Roman"/>
        </w:rPr>
        <w:t xml:space="preserve"> </w:t>
      </w:r>
      <w:r>
        <w:rPr>
          <w:rFonts w:ascii="Times New Roman" w:eastAsia="仿宋_GB2312" w:hAnsi="Times New Roman" w:cs="Times New Roman"/>
        </w:rPr>
        <w:t>检验设备应包括无菌室或超净工作台、恒温培养箱、显微镜、灭菌锅、冰箱、干燥箱、电子天平（</w:t>
      </w:r>
      <w:r>
        <w:rPr>
          <w:rFonts w:ascii="Times New Roman" w:eastAsia="仿宋_GB2312" w:hAnsi="Times New Roman" w:cs="Times New Roman"/>
        </w:rPr>
        <w:t>0.1g</w:t>
      </w:r>
      <w:r>
        <w:rPr>
          <w:rFonts w:ascii="Times New Roman" w:eastAsia="仿宋_GB2312" w:hAnsi="Times New Roman" w:cs="Times New Roman"/>
        </w:rPr>
        <w:t>）、其他玻璃仪器等。</w:t>
      </w:r>
    </w:p>
    <w:p w14:paraId="23569CFD" w14:textId="77777777" w:rsidR="00C674ED" w:rsidRDefault="003C1283" w:rsidP="00A35941">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第四章</w:t>
      </w:r>
      <w:r>
        <w:rPr>
          <w:rFonts w:ascii="Times New Roman" w:eastAsia="仿宋_GB2312" w:hAnsi="Times New Roman" w:cs="Times New Roman"/>
        </w:rPr>
        <w:t xml:space="preserve"> </w:t>
      </w:r>
      <w:r>
        <w:rPr>
          <w:rFonts w:ascii="Times New Roman" w:eastAsia="仿宋_GB2312" w:hAnsi="Times New Roman" w:cs="Times New Roman"/>
        </w:rPr>
        <w:t>设备布局和工艺流程</w:t>
      </w:r>
    </w:p>
    <w:p w14:paraId="4CD1669C"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第十二条</w:t>
      </w:r>
      <w:r>
        <w:rPr>
          <w:rFonts w:ascii="Times New Roman" w:eastAsia="仿宋_GB2312" w:hAnsi="Times New Roman" w:cs="Times New Roman"/>
        </w:rPr>
        <w:t xml:space="preserve"> </w:t>
      </w:r>
      <w:r>
        <w:rPr>
          <w:rFonts w:ascii="Times New Roman" w:eastAsia="仿宋_GB2312" w:hAnsi="Times New Roman" w:cs="Times New Roman"/>
        </w:rPr>
        <w:t>设备布局按工艺流程设计，一般包含：原辅料验收、解冻或</w:t>
      </w:r>
      <w:proofErr w:type="gramStart"/>
      <w:r>
        <w:rPr>
          <w:rFonts w:ascii="Times New Roman" w:eastAsia="仿宋_GB2312" w:hAnsi="Times New Roman" w:cs="Times New Roman"/>
        </w:rPr>
        <w:t>不</w:t>
      </w:r>
      <w:proofErr w:type="gramEnd"/>
      <w:r>
        <w:rPr>
          <w:rFonts w:ascii="Times New Roman" w:eastAsia="仿宋_GB2312" w:hAnsi="Times New Roman" w:cs="Times New Roman"/>
        </w:rPr>
        <w:t>解冻、修整或不修整、滚揉腌制或</w:t>
      </w:r>
      <w:proofErr w:type="gramStart"/>
      <w:r>
        <w:rPr>
          <w:rFonts w:ascii="Times New Roman" w:eastAsia="仿宋_GB2312" w:hAnsi="Times New Roman" w:cs="Times New Roman"/>
        </w:rPr>
        <w:t>不</w:t>
      </w:r>
      <w:proofErr w:type="gramEnd"/>
      <w:r>
        <w:rPr>
          <w:rFonts w:ascii="Times New Roman" w:eastAsia="仿宋_GB2312" w:hAnsi="Times New Roman" w:cs="Times New Roman"/>
        </w:rPr>
        <w:t>腌制、焯水或</w:t>
      </w:r>
      <w:proofErr w:type="gramStart"/>
      <w:r>
        <w:rPr>
          <w:rFonts w:ascii="Times New Roman" w:eastAsia="仿宋_GB2312" w:hAnsi="Times New Roman" w:cs="Times New Roman"/>
        </w:rPr>
        <w:t>不</w:t>
      </w:r>
      <w:proofErr w:type="gramEnd"/>
      <w:r>
        <w:rPr>
          <w:rFonts w:ascii="Times New Roman" w:eastAsia="仿宋_GB2312" w:hAnsi="Times New Roman" w:cs="Times New Roman"/>
        </w:rPr>
        <w:t>焯水、熟制、冷</w:t>
      </w:r>
      <w:r>
        <w:rPr>
          <w:rFonts w:ascii="Times New Roman" w:eastAsia="仿宋_GB2312" w:hAnsi="Times New Roman" w:cs="Times New Roman"/>
        </w:rPr>
        <w:t>却、包装、入库。具体产品按实际工艺流程生产，但其工艺流程必须科学合理，符合相关规定。</w:t>
      </w:r>
      <w:r>
        <w:rPr>
          <w:rFonts w:ascii="Times New Roman" w:eastAsia="仿宋_GB2312" w:hAnsi="Times New Roman" w:cs="Times New Roman"/>
        </w:rPr>
        <w:t xml:space="preserve"> </w:t>
      </w:r>
    </w:p>
    <w:p w14:paraId="185A3A34"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第十三条</w:t>
      </w:r>
      <w:r>
        <w:rPr>
          <w:rFonts w:ascii="Times New Roman" w:eastAsia="仿宋_GB2312" w:hAnsi="Times New Roman" w:cs="Times New Roman"/>
        </w:rPr>
        <w:t xml:space="preserve"> </w:t>
      </w:r>
      <w:r>
        <w:rPr>
          <w:rFonts w:ascii="Times New Roman" w:eastAsia="仿宋_GB2312" w:hAnsi="Times New Roman" w:cs="Times New Roman"/>
        </w:rPr>
        <w:t>加工控制。在原辅料验收过程中发现食品变质腐败、油脂酸败、霉变、生虫、掺杂等情况的，不得使用。食品原料在使用前应洗净，畜禽肉类原料、水产类原料、其他原料</w:t>
      </w:r>
      <w:r>
        <w:rPr>
          <w:rFonts w:ascii="Times New Roman" w:eastAsia="仿宋_GB2312" w:hAnsi="Times New Roman" w:cs="Times New Roman"/>
        </w:rPr>
        <w:t>(</w:t>
      </w:r>
      <w:r>
        <w:rPr>
          <w:rFonts w:ascii="Times New Roman" w:eastAsia="仿宋_GB2312" w:hAnsi="Times New Roman" w:cs="Times New Roman"/>
        </w:rPr>
        <w:t>包括果蔬类原料、豆制品原料、面筋制品原料、食用菌及其制品原料</w:t>
      </w:r>
      <w:r>
        <w:rPr>
          <w:rFonts w:ascii="Times New Roman" w:eastAsia="仿宋_GB2312" w:hAnsi="Times New Roman" w:cs="Times New Roman"/>
        </w:rPr>
        <w:t>)</w:t>
      </w:r>
      <w:r>
        <w:rPr>
          <w:rFonts w:ascii="Times New Roman" w:eastAsia="仿宋_GB2312" w:hAnsi="Times New Roman" w:cs="Times New Roman"/>
        </w:rPr>
        <w:t>应分池清洗，禽蛋在使用前应对外壳进行清洗消毒，畜禽肉类、水产类原料也可以买熟制好并获得生产许可的原料。腌制车间温度不高于</w:t>
      </w:r>
      <w:r>
        <w:rPr>
          <w:rFonts w:ascii="Times New Roman" w:eastAsia="仿宋_GB2312" w:hAnsi="Times New Roman" w:cs="Times New Roman"/>
        </w:rPr>
        <w:t>4℃</w:t>
      </w:r>
      <w:r>
        <w:rPr>
          <w:rFonts w:ascii="Times New Roman" w:eastAsia="仿宋_GB2312" w:hAnsi="Times New Roman" w:cs="Times New Roman"/>
        </w:rPr>
        <w:t>，经加工好的产品应在</w:t>
      </w:r>
      <w:r>
        <w:rPr>
          <w:rFonts w:ascii="Times New Roman" w:eastAsia="仿宋_GB2312" w:hAnsi="Times New Roman" w:cs="Times New Roman"/>
        </w:rPr>
        <w:t>30</w:t>
      </w:r>
      <w:r>
        <w:rPr>
          <w:rFonts w:ascii="Times New Roman" w:eastAsia="仿宋_GB2312" w:hAnsi="Times New Roman" w:cs="Times New Roman"/>
        </w:rPr>
        <w:t>分钟内将食品中心温度快速冷却到</w:t>
      </w:r>
      <w:r>
        <w:rPr>
          <w:rFonts w:ascii="Times New Roman" w:eastAsia="仿宋_GB2312" w:hAnsi="Times New Roman" w:cs="Times New Roman"/>
        </w:rPr>
        <w:t>10℃</w:t>
      </w:r>
      <w:r>
        <w:rPr>
          <w:rFonts w:ascii="Times New Roman" w:eastAsia="仿宋_GB2312" w:hAnsi="Times New Roman" w:cs="Times New Roman"/>
        </w:rPr>
        <w:t>以下，包装好的产</w:t>
      </w:r>
      <w:r>
        <w:rPr>
          <w:rFonts w:ascii="Times New Roman" w:eastAsia="仿宋_GB2312" w:hAnsi="Times New Roman" w:cs="Times New Roman"/>
        </w:rPr>
        <w:t>品应入冷藏库中储存。对生产过程中的关键点进行控制，关键点为：（</w:t>
      </w:r>
      <w:r>
        <w:rPr>
          <w:rFonts w:ascii="Times New Roman" w:eastAsia="仿宋_GB2312" w:hAnsi="Times New Roman" w:cs="Times New Roman"/>
        </w:rPr>
        <w:t>1</w:t>
      </w:r>
      <w:r>
        <w:rPr>
          <w:rFonts w:ascii="Times New Roman" w:eastAsia="仿宋_GB2312" w:hAnsi="Times New Roman" w:cs="Times New Roman"/>
        </w:rPr>
        <w:t>）原辅料验收符合验收规程（</w:t>
      </w:r>
      <w:r>
        <w:rPr>
          <w:rFonts w:ascii="Times New Roman" w:eastAsia="仿宋_GB2312" w:hAnsi="Times New Roman" w:cs="Times New Roman"/>
        </w:rPr>
        <w:t>2</w:t>
      </w:r>
      <w:r>
        <w:rPr>
          <w:rFonts w:ascii="Times New Roman" w:eastAsia="仿宋_GB2312" w:hAnsi="Times New Roman" w:cs="Times New Roman"/>
        </w:rPr>
        <w:t>）熟制的温度和时间（</w:t>
      </w:r>
      <w:r>
        <w:rPr>
          <w:rFonts w:ascii="Times New Roman" w:eastAsia="仿宋_GB2312" w:hAnsi="Times New Roman" w:cs="Times New Roman"/>
        </w:rPr>
        <w:t>3</w:t>
      </w:r>
      <w:r>
        <w:rPr>
          <w:rFonts w:ascii="Times New Roman" w:eastAsia="仿宋_GB2312" w:hAnsi="Times New Roman" w:cs="Times New Roman"/>
        </w:rPr>
        <w:t>）入库温度控制（</w:t>
      </w:r>
      <w:r>
        <w:rPr>
          <w:rFonts w:ascii="Times New Roman" w:eastAsia="仿宋_GB2312" w:hAnsi="Times New Roman" w:cs="Times New Roman"/>
        </w:rPr>
        <w:t>4</w:t>
      </w:r>
      <w:r>
        <w:rPr>
          <w:rFonts w:ascii="Times New Roman" w:eastAsia="仿宋_GB2312" w:hAnsi="Times New Roman" w:cs="Times New Roman"/>
        </w:rPr>
        <w:t>）内包装间温度控制。</w:t>
      </w:r>
    </w:p>
    <w:p w14:paraId="587793F6" w14:textId="77777777" w:rsidR="00C674ED" w:rsidRDefault="003C1283" w:rsidP="00A35941">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第五章</w:t>
      </w:r>
      <w:r>
        <w:rPr>
          <w:rFonts w:ascii="Times New Roman" w:eastAsia="仿宋_GB2312" w:hAnsi="Times New Roman" w:cs="Times New Roman"/>
        </w:rPr>
        <w:t xml:space="preserve"> </w:t>
      </w:r>
      <w:r>
        <w:rPr>
          <w:rFonts w:ascii="Times New Roman" w:eastAsia="仿宋_GB2312" w:hAnsi="Times New Roman" w:cs="Times New Roman"/>
        </w:rPr>
        <w:t>人员核查</w:t>
      </w:r>
    </w:p>
    <w:p w14:paraId="7E74319C"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第十四条</w:t>
      </w:r>
      <w:r>
        <w:rPr>
          <w:rFonts w:ascii="Times New Roman" w:eastAsia="仿宋_GB2312" w:hAnsi="Times New Roman" w:cs="Times New Roman"/>
        </w:rPr>
        <w:t xml:space="preserve"> </w:t>
      </w:r>
      <w:r>
        <w:rPr>
          <w:rFonts w:ascii="Times New Roman" w:eastAsia="仿宋_GB2312" w:hAnsi="Times New Roman" w:cs="Times New Roman"/>
        </w:rPr>
        <w:t>配备食品安全管理人员和食品安全专业技术人员。企业主要负责人、食品安全总监、食品安全员明确应</w:t>
      </w:r>
      <w:r>
        <w:rPr>
          <w:rFonts w:ascii="Times New Roman" w:eastAsia="仿宋_GB2312" w:hAnsi="Times New Roman" w:cs="Times New Roman"/>
        </w:rPr>
        <w:lastRenderedPageBreak/>
        <w:t>符合《企业落实食品安全主体责任监督管理规定》。食品安全专业技术人员应与岗位要求相适应，掌握方便菜肴生产工艺操作规程，熟练操作生产设备设施，人员数量应满足企业生产需求。其中检验人员应具有食品检验相关专业知识，经培训合格。</w:t>
      </w:r>
    </w:p>
    <w:p w14:paraId="4AA0276E"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第十五条</w:t>
      </w:r>
      <w:r>
        <w:rPr>
          <w:rFonts w:ascii="Times New Roman" w:eastAsia="仿宋_GB2312" w:hAnsi="Times New Roman" w:cs="Times New Roman"/>
        </w:rPr>
        <w:t xml:space="preserve"> </w:t>
      </w:r>
      <w:r>
        <w:rPr>
          <w:rFonts w:ascii="Times New Roman" w:eastAsia="仿宋_GB2312" w:hAnsi="Times New Roman" w:cs="Times New Roman"/>
        </w:rPr>
        <w:t>企业应建立</w:t>
      </w:r>
      <w:r>
        <w:rPr>
          <w:rFonts w:ascii="Times New Roman" w:eastAsia="仿宋_GB2312" w:hAnsi="Times New Roman" w:cs="Times New Roman"/>
        </w:rPr>
        <w:t>培训制度，制定员工培训计划，培训的内容应与岗位相适应。与质量安全相关岗位的人员应定期培训和考核，不具备能力的不得上岗。</w:t>
      </w:r>
    </w:p>
    <w:p w14:paraId="7D15873E"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第十六条</w:t>
      </w:r>
      <w:r>
        <w:rPr>
          <w:rFonts w:ascii="Times New Roman" w:eastAsia="仿宋_GB2312" w:hAnsi="Times New Roman" w:cs="Times New Roman"/>
        </w:rPr>
        <w:t xml:space="preserve"> </w:t>
      </w:r>
      <w:r>
        <w:rPr>
          <w:rFonts w:ascii="Times New Roman" w:eastAsia="仿宋_GB2312" w:hAnsi="Times New Roman" w:cs="Times New Roman"/>
        </w:rPr>
        <w:t>建立从业人员健康管理制度，明确患有国务院卫生行政部门规定的有碍食品安全疾病的或有明显皮肤损伤未愈合的人员，不得从事接触直接入口食品的工作，从事接触直接入口食品工作的食品生产人员需每年进行健康检查，取得健康证后方可上岗工作。</w:t>
      </w:r>
    </w:p>
    <w:p w14:paraId="3DF23F06" w14:textId="4C18C1F6" w:rsidR="00C674ED" w:rsidRDefault="003C1283" w:rsidP="00A35941">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第六</w:t>
      </w:r>
      <w:r w:rsidR="00A35941">
        <w:rPr>
          <w:rFonts w:ascii="Times New Roman" w:eastAsia="仿宋_GB2312" w:hAnsi="Times New Roman" w:cs="Times New Roman" w:hint="eastAsia"/>
        </w:rPr>
        <w:t>章</w:t>
      </w:r>
      <w:r>
        <w:rPr>
          <w:rFonts w:ascii="Times New Roman" w:eastAsia="仿宋_GB2312" w:hAnsi="Times New Roman" w:cs="Times New Roman"/>
        </w:rPr>
        <w:t xml:space="preserve"> </w:t>
      </w:r>
      <w:r>
        <w:rPr>
          <w:rFonts w:ascii="Times New Roman" w:eastAsia="仿宋_GB2312" w:hAnsi="Times New Roman" w:cs="Times New Roman"/>
        </w:rPr>
        <w:t>管理制度</w:t>
      </w:r>
    </w:p>
    <w:p w14:paraId="1168996E"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第十七条</w:t>
      </w:r>
      <w:r>
        <w:rPr>
          <w:rFonts w:ascii="Times New Roman" w:eastAsia="仿宋_GB2312" w:hAnsi="Times New Roman" w:cs="Times New Roman"/>
        </w:rPr>
        <w:t xml:space="preserve"> </w:t>
      </w:r>
      <w:r>
        <w:rPr>
          <w:rFonts w:ascii="Times New Roman" w:eastAsia="仿宋_GB2312" w:hAnsi="Times New Roman" w:cs="Times New Roman"/>
        </w:rPr>
        <w:t>建立原辅料、包装材料供应商审核制度，每年进行审核评估。</w:t>
      </w:r>
    </w:p>
    <w:p w14:paraId="74D2D90A"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第十八条</w:t>
      </w:r>
      <w:r>
        <w:rPr>
          <w:rFonts w:ascii="Times New Roman" w:eastAsia="仿宋_GB2312" w:hAnsi="Times New Roman" w:cs="Times New Roman"/>
        </w:rPr>
        <w:t xml:space="preserve"> </w:t>
      </w:r>
      <w:r>
        <w:rPr>
          <w:rFonts w:ascii="Times New Roman" w:eastAsia="仿宋_GB2312" w:hAnsi="Times New Roman" w:cs="Times New Roman"/>
        </w:rPr>
        <w:t>建立进货查验记录制度。规定采购原辅料时，应当查验供货者提供原辅料的证明文件（包括生产企业营业执照、生产许可证及产品合格报告等），记录采购原辅料名称、规格、数量、生产日期或者生产批号、进货日期以及供货者名称、地址、联系方式等信息。保存相关记录和凭证。生产用水应符合《生活饮用水卫生标准》（</w:t>
      </w:r>
      <w:r>
        <w:rPr>
          <w:rFonts w:ascii="Times New Roman" w:eastAsia="仿宋_GB2312" w:hAnsi="Times New Roman" w:cs="Times New Roman"/>
        </w:rPr>
        <w:t>GB5749</w:t>
      </w:r>
      <w:r>
        <w:rPr>
          <w:rFonts w:ascii="Times New Roman" w:eastAsia="仿宋_GB2312" w:hAnsi="Times New Roman" w:cs="Times New Roman"/>
        </w:rPr>
        <w:t>）标准要求。生产用原辅料、包装材料符合相关食品安全标准的要求。</w:t>
      </w:r>
    </w:p>
    <w:p w14:paraId="57DD4ACB"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第十九条</w:t>
      </w:r>
      <w:r>
        <w:rPr>
          <w:rFonts w:ascii="Times New Roman" w:eastAsia="仿宋_GB2312" w:hAnsi="Times New Roman" w:cs="Times New Roman"/>
        </w:rPr>
        <w:t xml:space="preserve"> </w:t>
      </w:r>
      <w:r>
        <w:rPr>
          <w:rFonts w:ascii="Times New Roman" w:eastAsia="仿宋_GB2312" w:hAnsi="Times New Roman" w:cs="Times New Roman"/>
        </w:rPr>
        <w:t>畜、禽产品应符合《食品安全国家标准</w:t>
      </w:r>
      <w:r>
        <w:rPr>
          <w:rFonts w:ascii="Times New Roman" w:eastAsia="仿宋_GB2312" w:hAnsi="Times New Roman" w:cs="Times New Roman"/>
        </w:rPr>
        <w:t xml:space="preserve"> </w:t>
      </w:r>
      <w:r>
        <w:rPr>
          <w:rFonts w:ascii="Times New Roman" w:eastAsia="仿宋_GB2312" w:hAnsi="Times New Roman" w:cs="Times New Roman"/>
        </w:rPr>
        <w:t>鲜（冻）</w:t>
      </w:r>
      <w:r>
        <w:rPr>
          <w:rFonts w:ascii="Times New Roman" w:eastAsia="仿宋_GB2312" w:hAnsi="Times New Roman" w:cs="Times New Roman"/>
        </w:rPr>
        <w:lastRenderedPageBreak/>
        <w:t>畜、禽产品》（</w:t>
      </w:r>
      <w:r>
        <w:rPr>
          <w:rFonts w:ascii="Times New Roman" w:eastAsia="仿宋_GB2312" w:hAnsi="Times New Roman" w:cs="Times New Roman"/>
        </w:rPr>
        <w:t>GB2707</w:t>
      </w:r>
      <w:r>
        <w:rPr>
          <w:rFonts w:ascii="Times New Roman" w:eastAsia="仿宋_GB2312" w:hAnsi="Times New Roman" w:cs="Times New Roman"/>
        </w:rPr>
        <w:t>）等相关标准要求。国内畜、禽产品应具有动物检疫证明及相关证明文件。进口</w:t>
      </w:r>
      <w:r>
        <w:rPr>
          <w:rFonts w:ascii="Times New Roman" w:eastAsia="仿宋_GB2312" w:hAnsi="Times New Roman" w:cs="Times New Roman"/>
        </w:rPr>
        <w:t>畜、禽产品应有入境货物相关证明文件。不得采用非法陆生野生动物及其制品。</w:t>
      </w:r>
    </w:p>
    <w:p w14:paraId="5F8B38D1" w14:textId="593E8984"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第二十条</w:t>
      </w:r>
      <w:r>
        <w:rPr>
          <w:rFonts w:ascii="Times New Roman" w:eastAsia="仿宋_GB2312" w:hAnsi="Times New Roman" w:cs="Times New Roman"/>
        </w:rPr>
        <w:t xml:space="preserve"> </w:t>
      </w:r>
      <w:r>
        <w:rPr>
          <w:rFonts w:ascii="Times New Roman" w:eastAsia="仿宋_GB2312" w:hAnsi="Times New Roman" w:cs="Times New Roman"/>
        </w:rPr>
        <w:t>建立并执行生产过程控制制度。在关键环节所在区域，配备相关的文件</w:t>
      </w:r>
      <w:r w:rsidR="008A52C9">
        <w:rPr>
          <w:rFonts w:ascii="Times New Roman" w:eastAsia="仿宋_GB2312" w:hAnsi="Times New Roman" w:cs="Times New Roman" w:hint="eastAsia"/>
        </w:rPr>
        <w:t>如</w:t>
      </w:r>
      <w:r>
        <w:rPr>
          <w:rFonts w:ascii="Times New Roman" w:eastAsia="仿宋_GB2312" w:hAnsi="Times New Roman" w:cs="Times New Roman"/>
        </w:rPr>
        <w:t>岗位</w:t>
      </w:r>
      <w:r>
        <w:rPr>
          <w:rFonts w:ascii="Times New Roman" w:eastAsia="仿宋_GB2312" w:hAnsi="Times New Roman" w:cs="Times New Roman"/>
        </w:rPr>
        <w:t>规程、记录表等。生产过程对原辅料验收、原料预处理、腌制、熟制、冷却、包装和储运等环节质量进行管控。制定有效的清洗消毒方法，保证生产场所、生产设备、包装容器、工作服和人员的清洁卫生和安全，并参照《食品安全国家标准食品生产通用卫生规范》（</w:t>
      </w:r>
      <w:r>
        <w:rPr>
          <w:rFonts w:ascii="Times New Roman" w:eastAsia="仿宋_GB2312" w:hAnsi="Times New Roman" w:cs="Times New Roman"/>
        </w:rPr>
        <w:t>GB 14881</w:t>
      </w:r>
      <w:r>
        <w:rPr>
          <w:rFonts w:ascii="Times New Roman" w:eastAsia="仿宋_GB2312" w:hAnsi="Times New Roman" w:cs="Times New Roman"/>
        </w:rPr>
        <w:t>）附录《食品加工过程的微生物监控程序指南》制定监控方案：正常生产情况下，食品接触面菌落总数、大肠菌群每月检验</w:t>
      </w:r>
      <w:r>
        <w:rPr>
          <w:rFonts w:ascii="Times New Roman" w:eastAsia="仿宋_GB2312" w:hAnsi="Times New Roman" w:cs="Times New Roman"/>
        </w:rPr>
        <w:t>1</w:t>
      </w:r>
      <w:r>
        <w:rPr>
          <w:rFonts w:ascii="Times New Roman" w:eastAsia="仿宋_GB2312" w:hAnsi="Times New Roman" w:cs="Times New Roman"/>
        </w:rPr>
        <w:t>次，</w:t>
      </w:r>
      <w:r>
        <w:rPr>
          <w:rFonts w:ascii="Times New Roman" w:eastAsia="仿宋_GB2312" w:hAnsi="Times New Roman" w:cs="Times New Roman"/>
        </w:rPr>
        <w:t>测定消毒效果是否符合要求。</w:t>
      </w:r>
    </w:p>
    <w:p w14:paraId="7B0F996A"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第二十一条</w:t>
      </w:r>
      <w:r>
        <w:rPr>
          <w:rFonts w:ascii="Times New Roman" w:eastAsia="仿宋_GB2312" w:hAnsi="Times New Roman" w:cs="Times New Roman"/>
        </w:rPr>
        <w:t xml:space="preserve"> </w:t>
      </w:r>
      <w:r>
        <w:rPr>
          <w:rFonts w:ascii="Times New Roman" w:eastAsia="仿宋_GB2312" w:hAnsi="Times New Roman" w:cs="Times New Roman"/>
        </w:rPr>
        <w:t>建立检验管理制度。包括对原辅料、过程、出厂、型式检验及产品留样的方式及要求。出厂检验能力满足感官指标、净含量、大肠菌群项目的测定。检验管理制度应规定型式检验的要求，每年至少进行</w:t>
      </w:r>
      <w:r>
        <w:rPr>
          <w:rFonts w:ascii="Times New Roman" w:eastAsia="仿宋_GB2312" w:hAnsi="Times New Roman" w:cs="Times New Roman"/>
        </w:rPr>
        <w:t>1</w:t>
      </w:r>
      <w:r>
        <w:rPr>
          <w:rFonts w:ascii="Times New Roman" w:eastAsia="仿宋_GB2312" w:hAnsi="Times New Roman" w:cs="Times New Roman"/>
        </w:rPr>
        <w:t>次，更改主要原辅材料来源和关键生产工艺、停产三个月以上恢复生产前、出厂检验结果与正常生产有较大差别时，应及时进行型式检验。</w:t>
      </w:r>
    </w:p>
    <w:p w14:paraId="207D8281"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第二十二条</w:t>
      </w:r>
      <w:r>
        <w:rPr>
          <w:rFonts w:ascii="Times New Roman" w:eastAsia="仿宋_GB2312" w:hAnsi="Times New Roman" w:cs="Times New Roman"/>
        </w:rPr>
        <w:t xml:space="preserve"> </w:t>
      </w:r>
      <w:r>
        <w:rPr>
          <w:rFonts w:ascii="Times New Roman" w:eastAsia="仿宋_GB2312" w:hAnsi="Times New Roman" w:cs="Times New Roman"/>
        </w:rPr>
        <w:t>建立余料管理制度。包括原材料余料、过程余料及成品余料并进行分类储存，并标识名称、生产日期（批号）、数（重）量，储存条件符合相应产品标准规定的要求，原料余料根据</w:t>
      </w:r>
      <w:r>
        <w:rPr>
          <w:rFonts w:ascii="Times New Roman" w:eastAsia="仿宋_GB2312" w:hAnsi="Times New Roman" w:cs="Times New Roman"/>
        </w:rPr>
        <w:t>生产计划领料，过程余料根据状态标识在符合要求的情况下尽快完成生产，成品余料按要求堆放，</w:t>
      </w:r>
      <w:r>
        <w:rPr>
          <w:rFonts w:ascii="Times New Roman" w:eastAsia="仿宋_GB2312" w:hAnsi="Times New Roman" w:cs="Times New Roman"/>
        </w:rPr>
        <w:lastRenderedPageBreak/>
        <w:t>按照客户需要发放，并做好相关记录。</w:t>
      </w:r>
    </w:p>
    <w:p w14:paraId="0A04403F"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第二十三条</w:t>
      </w:r>
      <w:r>
        <w:rPr>
          <w:rFonts w:ascii="Times New Roman" w:eastAsia="仿宋_GB2312" w:hAnsi="Times New Roman" w:cs="Times New Roman"/>
        </w:rPr>
        <w:t xml:space="preserve"> </w:t>
      </w:r>
      <w:r>
        <w:rPr>
          <w:rFonts w:ascii="Times New Roman" w:eastAsia="仿宋_GB2312" w:hAnsi="Times New Roman" w:cs="Times New Roman"/>
        </w:rPr>
        <w:t>建立并执行运输和交付管理制度。根据食品及食品原料的特点和卫生需要规定运输、交付要求。不得与有毒、有害、有异味的物品一同运输。不应使用未经清洗的车辆和未经消毒的容器运输产品。运输过程中温度控制应符合产品运输的温度要求。冷链运输车厢内应设置温度监控设备。采购第三方物流服务的企业应签订合同，满足上述要求。</w:t>
      </w:r>
    </w:p>
    <w:p w14:paraId="602158E6"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第二十四条</w:t>
      </w:r>
      <w:r>
        <w:rPr>
          <w:rFonts w:ascii="Times New Roman" w:eastAsia="仿宋_GB2312" w:hAnsi="Times New Roman" w:cs="Times New Roman"/>
        </w:rPr>
        <w:t xml:space="preserve"> </w:t>
      </w:r>
      <w:r>
        <w:rPr>
          <w:rFonts w:ascii="Times New Roman" w:eastAsia="仿宋_GB2312" w:hAnsi="Times New Roman" w:cs="Times New Roman"/>
        </w:rPr>
        <w:t>建立标识与追溯管理，通过对不同类别、不同状态原辅料、半成品、成品</w:t>
      </w:r>
      <w:r>
        <w:rPr>
          <w:rFonts w:ascii="Times New Roman" w:eastAsia="仿宋_GB2312" w:hAnsi="Times New Roman" w:cs="Times New Roman"/>
        </w:rPr>
        <w:t>及设施设备的正确标识，防止混淆和误用不合格品，以确保必要时实现追溯。</w:t>
      </w:r>
    </w:p>
    <w:p w14:paraId="7A5C493E"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第二十五条</w:t>
      </w:r>
      <w:r>
        <w:rPr>
          <w:rFonts w:ascii="Times New Roman" w:eastAsia="仿宋_GB2312" w:hAnsi="Times New Roman" w:cs="Times New Roman"/>
        </w:rPr>
        <w:t xml:space="preserve"> </w:t>
      </w:r>
      <w:r>
        <w:rPr>
          <w:rFonts w:ascii="Times New Roman" w:eastAsia="仿宋_GB2312" w:hAnsi="Times New Roman" w:cs="Times New Roman"/>
        </w:rPr>
        <w:t>建立食品安全自查管理制度，并规定对食品安全状况定期进行检查评价，自查内容包括：食品原料、食品添加剂、食品相关产品进货查验情况；生产过程控制情况；人员管理情况、检验管理情况；记录及文件管理情况等，并根据评价结果采取相应的处理措施。</w:t>
      </w:r>
    </w:p>
    <w:p w14:paraId="4172B99F"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第二十六条</w:t>
      </w:r>
      <w:r>
        <w:rPr>
          <w:rFonts w:ascii="Times New Roman" w:eastAsia="仿宋_GB2312" w:hAnsi="Times New Roman" w:cs="Times New Roman"/>
        </w:rPr>
        <w:t xml:space="preserve"> </w:t>
      </w:r>
      <w:r>
        <w:rPr>
          <w:rFonts w:ascii="Times New Roman" w:eastAsia="仿宋_GB2312" w:hAnsi="Times New Roman" w:cs="Times New Roman"/>
        </w:rPr>
        <w:t>建立不合格品管理及不安全召回制度，规定不合格品控制以及不合格品处置的有关职责和权限，确保不符合要求的产品得到识别和控制，防止其非预期使用或交付，对过期产品定期进行销毁。</w:t>
      </w:r>
    </w:p>
    <w:p w14:paraId="6947EA64"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第二十七条</w:t>
      </w:r>
      <w:r>
        <w:rPr>
          <w:rFonts w:ascii="Times New Roman" w:eastAsia="仿宋_GB2312" w:hAnsi="Times New Roman" w:cs="Times New Roman"/>
        </w:rPr>
        <w:t xml:space="preserve"> </w:t>
      </w:r>
      <w:r>
        <w:rPr>
          <w:rFonts w:ascii="Times New Roman" w:eastAsia="仿宋_GB2312" w:hAnsi="Times New Roman" w:cs="Times New Roman"/>
        </w:rPr>
        <w:t>建立应</w:t>
      </w:r>
      <w:r>
        <w:rPr>
          <w:rFonts w:ascii="Times New Roman" w:eastAsia="仿宋_GB2312" w:hAnsi="Times New Roman" w:cs="Times New Roman"/>
        </w:rPr>
        <w:t>急准备和响应制度，确定能对可能影响产品安全的</w:t>
      </w:r>
      <w:proofErr w:type="gramStart"/>
      <w:r>
        <w:rPr>
          <w:rFonts w:ascii="Times New Roman" w:eastAsia="仿宋_GB2312" w:hAnsi="Times New Roman" w:cs="Times New Roman"/>
        </w:rPr>
        <w:t>潜在事故</w:t>
      </w:r>
      <w:proofErr w:type="gramEnd"/>
      <w:r>
        <w:rPr>
          <w:rFonts w:ascii="Times New Roman" w:eastAsia="仿宋_GB2312" w:hAnsi="Times New Roman" w:cs="Times New Roman"/>
        </w:rPr>
        <w:t>和紧急情况</w:t>
      </w:r>
      <w:proofErr w:type="gramStart"/>
      <w:r>
        <w:rPr>
          <w:rFonts w:ascii="Times New Roman" w:eastAsia="仿宋_GB2312" w:hAnsi="Times New Roman" w:cs="Times New Roman"/>
        </w:rPr>
        <w:t>作出</w:t>
      </w:r>
      <w:proofErr w:type="gramEnd"/>
      <w:r>
        <w:rPr>
          <w:rFonts w:ascii="Times New Roman" w:eastAsia="仿宋_GB2312" w:hAnsi="Times New Roman" w:cs="Times New Roman"/>
        </w:rPr>
        <w:t>响应，并防止和减少可能伴随的食品安全影响。</w:t>
      </w:r>
    </w:p>
    <w:p w14:paraId="06F7F22C"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第二十八条</w:t>
      </w:r>
      <w:r>
        <w:rPr>
          <w:rFonts w:ascii="Times New Roman" w:eastAsia="仿宋_GB2312" w:hAnsi="Times New Roman" w:cs="Times New Roman"/>
        </w:rPr>
        <w:t xml:space="preserve">  </w:t>
      </w:r>
      <w:r>
        <w:rPr>
          <w:rFonts w:ascii="Times New Roman" w:eastAsia="仿宋_GB2312" w:hAnsi="Times New Roman" w:cs="Times New Roman"/>
        </w:rPr>
        <w:t>建立并执行仓储管理制度。包括原料仓库</w:t>
      </w:r>
      <w:r>
        <w:rPr>
          <w:rFonts w:ascii="Times New Roman" w:eastAsia="仿宋_GB2312" w:hAnsi="Times New Roman" w:cs="Times New Roman"/>
        </w:rPr>
        <w:lastRenderedPageBreak/>
        <w:t>管理制度和产品仓库管理制度。</w:t>
      </w:r>
    </w:p>
    <w:p w14:paraId="71122E6A" w14:textId="77777777" w:rsidR="00C674ED" w:rsidRDefault="003C1283" w:rsidP="00A35941">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第七章</w:t>
      </w:r>
      <w:r>
        <w:rPr>
          <w:rFonts w:ascii="Times New Roman" w:eastAsia="仿宋_GB2312" w:hAnsi="Times New Roman" w:cs="Times New Roman"/>
        </w:rPr>
        <w:t xml:space="preserve"> </w:t>
      </w:r>
      <w:r>
        <w:rPr>
          <w:rFonts w:ascii="Times New Roman" w:eastAsia="仿宋_GB2312" w:hAnsi="Times New Roman" w:cs="Times New Roman"/>
        </w:rPr>
        <w:t>试制产品检验</w:t>
      </w:r>
    </w:p>
    <w:p w14:paraId="618B8DB2"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第二十九条</w:t>
      </w:r>
      <w:r>
        <w:rPr>
          <w:rFonts w:ascii="Times New Roman" w:eastAsia="仿宋_GB2312" w:hAnsi="Times New Roman" w:cs="Times New Roman"/>
        </w:rPr>
        <w:t xml:space="preserve"> </w:t>
      </w:r>
      <w:r>
        <w:rPr>
          <w:rFonts w:ascii="Times New Roman" w:eastAsia="仿宋_GB2312" w:hAnsi="Times New Roman" w:cs="Times New Roman"/>
        </w:rPr>
        <w:t>按所申报方便菜肴的类别和执行标准，提供同一规格、同一批次的试制产品合格报告，企业对检验报告真实性负责。</w:t>
      </w:r>
    </w:p>
    <w:p w14:paraId="41C7C2CD"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第三十条</w:t>
      </w:r>
      <w:r>
        <w:rPr>
          <w:rFonts w:ascii="Times New Roman" w:eastAsia="仿宋_GB2312" w:hAnsi="Times New Roman" w:cs="Times New Roman"/>
        </w:rPr>
        <w:t xml:space="preserve"> </w:t>
      </w:r>
      <w:r>
        <w:rPr>
          <w:rFonts w:ascii="Times New Roman" w:eastAsia="仿宋_GB2312" w:hAnsi="Times New Roman" w:cs="Times New Roman"/>
        </w:rPr>
        <w:t>检验项目应符合相应的食品安全国家标准及企业明示的产品执行标准，包括国家标准、行业标准、地方标准、团体标准、企业标准等及国务院卫生行政部门的相关公告的要求。</w:t>
      </w:r>
    </w:p>
    <w:p w14:paraId="278903D9" w14:textId="77777777" w:rsidR="00C674ED" w:rsidRDefault="003C1283" w:rsidP="00A35941">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第八章</w:t>
      </w:r>
      <w:r>
        <w:rPr>
          <w:rFonts w:ascii="Times New Roman" w:eastAsia="仿宋_GB2312" w:hAnsi="Times New Roman" w:cs="Times New Roman"/>
        </w:rPr>
        <w:t xml:space="preserve"> </w:t>
      </w:r>
      <w:r>
        <w:rPr>
          <w:rFonts w:ascii="Times New Roman" w:eastAsia="仿宋_GB2312" w:hAnsi="Times New Roman" w:cs="Times New Roman"/>
        </w:rPr>
        <w:t>附则</w:t>
      </w:r>
    </w:p>
    <w:p w14:paraId="4E655959" w14:textId="77777777" w:rsidR="00C674ED" w:rsidRDefault="003C1283">
      <w:pPr>
        <w:pStyle w:val="a3"/>
        <w:spacing w:line="560" w:lineRule="exact"/>
        <w:ind w:left="0" w:firstLineChars="200" w:firstLine="640"/>
        <w:rPr>
          <w:rFonts w:ascii="Times New Roman" w:eastAsia="仿宋_GB2312" w:hAnsi="Times New Roman" w:cs="Times New Roman"/>
        </w:rPr>
      </w:pPr>
      <w:r>
        <w:rPr>
          <w:rFonts w:ascii="Times New Roman" w:eastAsia="仿宋_GB2312" w:hAnsi="Times New Roman" w:cs="Times New Roman"/>
        </w:rPr>
        <w:t>第三十一条</w:t>
      </w:r>
      <w:r>
        <w:rPr>
          <w:rFonts w:ascii="Times New Roman" w:eastAsia="仿宋_GB2312" w:hAnsi="Times New Roman" w:cs="Times New Roman"/>
        </w:rPr>
        <w:t xml:space="preserve"> </w:t>
      </w:r>
      <w:r>
        <w:rPr>
          <w:rFonts w:ascii="Times New Roman" w:eastAsia="仿宋_GB2312" w:hAnsi="Times New Roman" w:cs="Times New Roman"/>
        </w:rPr>
        <w:t>方便菜肴食品相关标准、检验项目、标签标识以及生产许可审查要求参见附件（资料性文件）。</w:t>
      </w:r>
      <w:bookmarkEnd w:id="0"/>
    </w:p>
    <w:p w14:paraId="21218A0B" w14:textId="77777777" w:rsidR="00C674ED" w:rsidRDefault="003C1283">
      <w:pPr>
        <w:rPr>
          <w:rFonts w:ascii="Times New Roman" w:eastAsia="仿宋_GB2312" w:hAnsi="Times New Roman" w:cs="Times New Roman"/>
          <w:kern w:val="0"/>
          <w:sz w:val="32"/>
          <w:szCs w:val="32"/>
        </w:rPr>
      </w:pPr>
      <w:r>
        <w:rPr>
          <w:rFonts w:ascii="Times New Roman" w:hAnsi="Times New Roman" w:cs="Times New Roman"/>
          <w:kern w:val="0"/>
          <w:sz w:val="32"/>
          <w:szCs w:val="32"/>
        </w:rPr>
        <w:br w:type="page"/>
      </w:r>
      <w:r>
        <w:rPr>
          <w:rFonts w:ascii="Times New Roman" w:eastAsia="仿宋_GB2312" w:hAnsi="Times New Roman" w:cs="Times New Roman"/>
          <w:sz w:val="32"/>
          <w:szCs w:val="32"/>
        </w:rPr>
        <w:lastRenderedPageBreak/>
        <w:t>附件</w:t>
      </w:r>
      <w:r>
        <w:rPr>
          <w:rFonts w:ascii="Times New Roman" w:eastAsia="仿宋_GB2312" w:hAnsi="Times New Roman" w:cs="Times New Roman"/>
          <w:sz w:val="32"/>
          <w:szCs w:val="32"/>
        </w:rPr>
        <w:t>1</w:t>
      </w:r>
    </w:p>
    <w:p w14:paraId="1EB99241" w14:textId="77777777" w:rsidR="00C674ED" w:rsidRDefault="003C1283">
      <w:pPr>
        <w:pStyle w:val="a3"/>
        <w:spacing w:line="560" w:lineRule="exact"/>
        <w:ind w:left="153" w:firstLine="680"/>
        <w:jc w:val="center"/>
        <w:rPr>
          <w:rFonts w:ascii="Times New Roman" w:eastAsia="仿宋_GB2312" w:hAnsi="Times New Roman" w:cs="Times New Roman"/>
        </w:rPr>
      </w:pPr>
      <w:r>
        <w:rPr>
          <w:rFonts w:ascii="Times New Roman" w:eastAsia="仿宋_GB2312" w:hAnsi="Times New Roman" w:cs="Times New Roman"/>
        </w:rPr>
        <w:t>方便菜肴生产涉及的主要标准</w:t>
      </w:r>
    </w:p>
    <w:tbl>
      <w:tblPr>
        <w:tblW w:w="923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6"/>
        <w:gridCol w:w="1919"/>
        <w:gridCol w:w="6438"/>
      </w:tblGrid>
      <w:tr w:rsidR="00C674ED" w14:paraId="390F8BA9" w14:textId="77777777">
        <w:trPr>
          <w:trHeight w:val="454"/>
        </w:trPr>
        <w:tc>
          <w:tcPr>
            <w:tcW w:w="876" w:type="dxa"/>
          </w:tcPr>
          <w:p w14:paraId="502C7B50"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序号</w:t>
            </w:r>
          </w:p>
        </w:tc>
        <w:tc>
          <w:tcPr>
            <w:tcW w:w="1919" w:type="dxa"/>
          </w:tcPr>
          <w:p w14:paraId="558392A3"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标准号</w:t>
            </w:r>
          </w:p>
        </w:tc>
        <w:tc>
          <w:tcPr>
            <w:tcW w:w="6438" w:type="dxa"/>
          </w:tcPr>
          <w:p w14:paraId="339D6A9B"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标准名称</w:t>
            </w:r>
          </w:p>
        </w:tc>
      </w:tr>
      <w:tr w:rsidR="00C674ED" w14:paraId="43416610" w14:textId="77777777">
        <w:trPr>
          <w:trHeight w:val="654"/>
        </w:trPr>
        <w:tc>
          <w:tcPr>
            <w:tcW w:w="876" w:type="dxa"/>
          </w:tcPr>
          <w:p w14:paraId="246D9396"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1</w:t>
            </w:r>
          </w:p>
        </w:tc>
        <w:tc>
          <w:tcPr>
            <w:tcW w:w="1919" w:type="dxa"/>
          </w:tcPr>
          <w:p w14:paraId="1AC39605"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GB/T 191</w:t>
            </w:r>
          </w:p>
        </w:tc>
        <w:tc>
          <w:tcPr>
            <w:tcW w:w="6438" w:type="dxa"/>
          </w:tcPr>
          <w:p w14:paraId="5C5EFDF4"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包装储运图示标志</w:t>
            </w:r>
          </w:p>
        </w:tc>
      </w:tr>
      <w:tr w:rsidR="00C674ED" w14:paraId="71F096A0" w14:textId="77777777">
        <w:trPr>
          <w:trHeight w:val="620"/>
        </w:trPr>
        <w:tc>
          <w:tcPr>
            <w:tcW w:w="876" w:type="dxa"/>
          </w:tcPr>
          <w:p w14:paraId="3EF54748"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2</w:t>
            </w:r>
          </w:p>
        </w:tc>
        <w:tc>
          <w:tcPr>
            <w:tcW w:w="1919" w:type="dxa"/>
          </w:tcPr>
          <w:p w14:paraId="62BC7C55"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 2707</w:t>
            </w:r>
          </w:p>
        </w:tc>
        <w:tc>
          <w:tcPr>
            <w:tcW w:w="6438" w:type="dxa"/>
          </w:tcPr>
          <w:p w14:paraId="73FAA749"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w:t>
            </w:r>
            <w:r>
              <w:rPr>
                <w:rFonts w:ascii="Times New Roman" w:eastAsia="仿宋_GB2312" w:hAnsi="Times New Roman" w:cs="Times New Roman"/>
              </w:rPr>
              <w:t xml:space="preserve"> </w:t>
            </w:r>
            <w:r>
              <w:rPr>
                <w:rFonts w:ascii="Times New Roman" w:eastAsia="仿宋_GB2312" w:hAnsi="Times New Roman" w:cs="Times New Roman"/>
              </w:rPr>
              <w:t>鲜（冻）畜、禽产品</w:t>
            </w:r>
          </w:p>
        </w:tc>
      </w:tr>
      <w:tr w:rsidR="00C674ED" w14:paraId="4EE464E2" w14:textId="77777777">
        <w:trPr>
          <w:trHeight w:val="628"/>
        </w:trPr>
        <w:tc>
          <w:tcPr>
            <w:tcW w:w="876" w:type="dxa"/>
          </w:tcPr>
          <w:p w14:paraId="35CF62C0"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3</w:t>
            </w:r>
          </w:p>
        </w:tc>
        <w:tc>
          <w:tcPr>
            <w:tcW w:w="1919" w:type="dxa"/>
          </w:tcPr>
          <w:p w14:paraId="700C2581"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 29921</w:t>
            </w:r>
          </w:p>
        </w:tc>
        <w:tc>
          <w:tcPr>
            <w:tcW w:w="6438" w:type="dxa"/>
          </w:tcPr>
          <w:p w14:paraId="1D07CA30"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w:t>
            </w:r>
            <w:r>
              <w:rPr>
                <w:rFonts w:ascii="Times New Roman" w:eastAsia="仿宋_GB2312" w:hAnsi="Times New Roman" w:cs="Times New Roman"/>
              </w:rPr>
              <w:t xml:space="preserve"> </w:t>
            </w:r>
            <w:r>
              <w:rPr>
                <w:rFonts w:ascii="Times New Roman" w:eastAsia="仿宋_GB2312" w:hAnsi="Times New Roman" w:cs="Times New Roman"/>
              </w:rPr>
              <w:t>食品致病菌限量</w:t>
            </w:r>
          </w:p>
        </w:tc>
      </w:tr>
      <w:tr w:rsidR="00C674ED" w14:paraId="7ECADD55" w14:textId="77777777">
        <w:trPr>
          <w:trHeight w:val="608"/>
        </w:trPr>
        <w:tc>
          <w:tcPr>
            <w:tcW w:w="876" w:type="dxa"/>
          </w:tcPr>
          <w:p w14:paraId="2AFF1CF3"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4</w:t>
            </w:r>
          </w:p>
        </w:tc>
        <w:tc>
          <w:tcPr>
            <w:tcW w:w="1919" w:type="dxa"/>
          </w:tcPr>
          <w:p w14:paraId="180670DE"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 xml:space="preserve">GB </w:t>
            </w:r>
            <w:r>
              <w:rPr>
                <w:rFonts w:ascii="Times New Roman" w:eastAsia="仿宋_GB2312" w:hAnsi="Times New Roman" w:cs="Times New Roman"/>
              </w:rPr>
              <w:t>2760</w:t>
            </w:r>
          </w:p>
        </w:tc>
        <w:tc>
          <w:tcPr>
            <w:tcW w:w="6438" w:type="dxa"/>
          </w:tcPr>
          <w:p w14:paraId="4A24BF47"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w:t>
            </w:r>
            <w:r>
              <w:rPr>
                <w:rFonts w:ascii="Times New Roman" w:eastAsia="仿宋_GB2312" w:hAnsi="Times New Roman" w:cs="Times New Roman"/>
              </w:rPr>
              <w:t xml:space="preserve"> </w:t>
            </w:r>
            <w:r>
              <w:rPr>
                <w:rFonts w:ascii="Times New Roman" w:eastAsia="仿宋_GB2312" w:hAnsi="Times New Roman" w:cs="Times New Roman"/>
              </w:rPr>
              <w:t>食品添加剂使用标准</w:t>
            </w:r>
          </w:p>
        </w:tc>
      </w:tr>
      <w:tr w:rsidR="00C674ED" w14:paraId="127EB0A7" w14:textId="77777777">
        <w:trPr>
          <w:trHeight w:val="616"/>
        </w:trPr>
        <w:tc>
          <w:tcPr>
            <w:tcW w:w="876" w:type="dxa"/>
          </w:tcPr>
          <w:p w14:paraId="4799FE37"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5</w:t>
            </w:r>
          </w:p>
        </w:tc>
        <w:tc>
          <w:tcPr>
            <w:tcW w:w="1919" w:type="dxa"/>
          </w:tcPr>
          <w:p w14:paraId="79BA5307"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 2761</w:t>
            </w:r>
          </w:p>
        </w:tc>
        <w:tc>
          <w:tcPr>
            <w:tcW w:w="6438" w:type="dxa"/>
          </w:tcPr>
          <w:p w14:paraId="7C102595"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w:t>
            </w:r>
            <w:r>
              <w:rPr>
                <w:rFonts w:ascii="Times New Roman" w:eastAsia="仿宋_GB2312" w:hAnsi="Times New Roman" w:cs="Times New Roman"/>
              </w:rPr>
              <w:t xml:space="preserve"> </w:t>
            </w:r>
            <w:r>
              <w:rPr>
                <w:rFonts w:ascii="Times New Roman" w:eastAsia="仿宋_GB2312" w:hAnsi="Times New Roman" w:cs="Times New Roman"/>
              </w:rPr>
              <w:t>食品中真菌毒素限量</w:t>
            </w:r>
          </w:p>
        </w:tc>
      </w:tr>
      <w:tr w:rsidR="00C674ED" w14:paraId="663CBA86" w14:textId="77777777">
        <w:trPr>
          <w:trHeight w:val="624"/>
        </w:trPr>
        <w:tc>
          <w:tcPr>
            <w:tcW w:w="876" w:type="dxa"/>
          </w:tcPr>
          <w:p w14:paraId="214BC352"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6</w:t>
            </w:r>
          </w:p>
        </w:tc>
        <w:tc>
          <w:tcPr>
            <w:tcW w:w="1919" w:type="dxa"/>
          </w:tcPr>
          <w:p w14:paraId="7290F3A8"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 2762</w:t>
            </w:r>
          </w:p>
        </w:tc>
        <w:tc>
          <w:tcPr>
            <w:tcW w:w="6438" w:type="dxa"/>
          </w:tcPr>
          <w:p w14:paraId="3DE07030"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w:t>
            </w:r>
            <w:r>
              <w:rPr>
                <w:rFonts w:ascii="Times New Roman" w:eastAsia="仿宋_GB2312" w:hAnsi="Times New Roman" w:cs="Times New Roman"/>
              </w:rPr>
              <w:t xml:space="preserve"> </w:t>
            </w:r>
            <w:r>
              <w:rPr>
                <w:rFonts w:ascii="Times New Roman" w:eastAsia="仿宋_GB2312" w:hAnsi="Times New Roman" w:cs="Times New Roman"/>
              </w:rPr>
              <w:t>食品中污染物限量</w:t>
            </w:r>
          </w:p>
        </w:tc>
      </w:tr>
      <w:tr w:rsidR="00C674ED" w14:paraId="795A5AF8" w14:textId="77777777">
        <w:trPr>
          <w:trHeight w:val="619"/>
        </w:trPr>
        <w:tc>
          <w:tcPr>
            <w:tcW w:w="876" w:type="dxa"/>
          </w:tcPr>
          <w:p w14:paraId="42CCA5C2"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7</w:t>
            </w:r>
          </w:p>
        </w:tc>
        <w:tc>
          <w:tcPr>
            <w:tcW w:w="1919" w:type="dxa"/>
          </w:tcPr>
          <w:p w14:paraId="3FFFDFB7"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 2763</w:t>
            </w:r>
          </w:p>
        </w:tc>
        <w:tc>
          <w:tcPr>
            <w:tcW w:w="6438" w:type="dxa"/>
          </w:tcPr>
          <w:p w14:paraId="563639F5"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w:t>
            </w:r>
            <w:r>
              <w:rPr>
                <w:rFonts w:ascii="Times New Roman" w:eastAsia="仿宋_GB2312" w:hAnsi="Times New Roman" w:cs="Times New Roman"/>
              </w:rPr>
              <w:t xml:space="preserve"> </w:t>
            </w:r>
            <w:r>
              <w:rPr>
                <w:rFonts w:ascii="Times New Roman" w:eastAsia="仿宋_GB2312" w:hAnsi="Times New Roman" w:cs="Times New Roman"/>
              </w:rPr>
              <w:t>食品中农药最大残留量</w:t>
            </w:r>
          </w:p>
        </w:tc>
      </w:tr>
      <w:tr w:rsidR="00C674ED" w14:paraId="394E7A19" w14:textId="77777777">
        <w:trPr>
          <w:trHeight w:val="613"/>
        </w:trPr>
        <w:tc>
          <w:tcPr>
            <w:tcW w:w="876" w:type="dxa"/>
          </w:tcPr>
          <w:p w14:paraId="1A60DCAC"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8</w:t>
            </w:r>
          </w:p>
        </w:tc>
        <w:tc>
          <w:tcPr>
            <w:tcW w:w="1919" w:type="dxa"/>
          </w:tcPr>
          <w:p w14:paraId="10FE80A3"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 4789</w:t>
            </w:r>
          </w:p>
        </w:tc>
        <w:tc>
          <w:tcPr>
            <w:tcW w:w="6438" w:type="dxa"/>
          </w:tcPr>
          <w:p w14:paraId="0E99B201"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w:t>
            </w:r>
            <w:r>
              <w:rPr>
                <w:rFonts w:ascii="Times New Roman" w:eastAsia="仿宋_GB2312" w:hAnsi="Times New Roman" w:cs="Times New Roman"/>
              </w:rPr>
              <w:t xml:space="preserve"> </w:t>
            </w:r>
            <w:r>
              <w:rPr>
                <w:rFonts w:ascii="Times New Roman" w:eastAsia="仿宋_GB2312" w:hAnsi="Times New Roman" w:cs="Times New Roman"/>
              </w:rPr>
              <w:t>食品微生物学检验</w:t>
            </w:r>
          </w:p>
        </w:tc>
      </w:tr>
      <w:tr w:rsidR="00C674ED" w14:paraId="312C1442" w14:textId="77777777">
        <w:trPr>
          <w:trHeight w:val="621"/>
        </w:trPr>
        <w:tc>
          <w:tcPr>
            <w:tcW w:w="876" w:type="dxa"/>
          </w:tcPr>
          <w:p w14:paraId="12AEF198"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9</w:t>
            </w:r>
          </w:p>
        </w:tc>
        <w:tc>
          <w:tcPr>
            <w:tcW w:w="1919" w:type="dxa"/>
          </w:tcPr>
          <w:p w14:paraId="5C7705E5"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 4789.3</w:t>
            </w:r>
          </w:p>
        </w:tc>
        <w:tc>
          <w:tcPr>
            <w:tcW w:w="6438" w:type="dxa"/>
          </w:tcPr>
          <w:p w14:paraId="5D2A0C70"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w:t>
            </w:r>
            <w:r>
              <w:rPr>
                <w:rFonts w:ascii="Times New Roman" w:eastAsia="仿宋_GB2312" w:hAnsi="Times New Roman" w:cs="Times New Roman"/>
              </w:rPr>
              <w:t xml:space="preserve"> </w:t>
            </w:r>
            <w:r>
              <w:rPr>
                <w:rFonts w:ascii="Times New Roman" w:eastAsia="仿宋_GB2312" w:hAnsi="Times New Roman" w:cs="Times New Roman"/>
              </w:rPr>
              <w:t>食品微生物学检验</w:t>
            </w:r>
            <w:r>
              <w:rPr>
                <w:rFonts w:ascii="Times New Roman" w:eastAsia="仿宋_GB2312" w:hAnsi="Times New Roman" w:cs="Times New Roman"/>
              </w:rPr>
              <w:t xml:space="preserve"> </w:t>
            </w:r>
            <w:r>
              <w:rPr>
                <w:rFonts w:ascii="Times New Roman" w:eastAsia="仿宋_GB2312" w:hAnsi="Times New Roman" w:cs="Times New Roman"/>
              </w:rPr>
              <w:t>大肠菌群计数</w:t>
            </w:r>
          </w:p>
        </w:tc>
      </w:tr>
      <w:tr w:rsidR="00C674ED" w14:paraId="373B7BED" w14:textId="77777777">
        <w:trPr>
          <w:trHeight w:val="629"/>
        </w:trPr>
        <w:tc>
          <w:tcPr>
            <w:tcW w:w="876" w:type="dxa"/>
          </w:tcPr>
          <w:p w14:paraId="0311ED37"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10</w:t>
            </w:r>
          </w:p>
        </w:tc>
        <w:tc>
          <w:tcPr>
            <w:tcW w:w="1919" w:type="dxa"/>
          </w:tcPr>
          <w:p w14:paraId="61C60429"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 7718</w:t>
            </w:r>
          </w:p>
        </w:tc>
        <w:tc>
          <w:tcPr>
            <w:tcW w:w="6438" w:type="dxa"/>
          </w:tcPr>
          <w:p w14:paraId="049A870C"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食品安全国家标准预包装食品标签通则</w:t>
            </w:r>
          </w:p>
        </w:tc>
      </w:tr>
      <w:tr w:rsidR="00C674ED" w14:paraId="5B85649D" w14:textId="77777777">
        <w:trPr>
          <w:trHeight w:val="623"/>
        </w:trPr>
        <w:tc>
          <w:tcPr>
            <w:tcW w:w="876" w:type="dxa"/>
          </w:tcPr>
          <w:p w14:paraId="000DFF27"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11</w:t>
            </w:r>
          </w:p>
        </w:tc>
        <w:tc>
          <w:tcPr>
            <w:tcW w:w="1919" w:type="dxa"/>
          </w:tcPr>
          <w:p w14:paraId="34023CA8"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 14881</w:t>
            </w:r>
          </w:p>
        </w:tc>
        <w:tc>
          <w:tcPr>
            <w:tcW w:w="6438" w:type="dxa"/>
          </w:tcPr>
          <w:p w14:paraId="54DDC96E"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w:t>
            </w:r>
            <w:r>
              <w:rPr>
                <w:rFonts w:ascii="Times New Roman" w:eastAsia="仿宋_GB2312" w:hAnsi="Times New Roman" w:cs="Times New Roman"/>
              </w:rPr>
              <w:t xml:space="preserve"> </w:t>
            </w:r>
            <w:r>
              <w:rPr>
                <w:rFonts w:ascii="Times New Roman" w:eastAsia="仿宋_GB2312" w:hAnsi="Times New Roman" w:cs="Times New Roman"/>
              </w:rPr>
              <w:t>食品生产通用卫生规范</w:t>
            </w:r>
          </w:p>
        </w:tc>
      </w:tr>
      <w:tr w:rsidR="00C674ED" w14:paraId="5C2A2066" w14:textId="77777777">
        <w:trPr>
          <w:trHeight w:val="616"/>
        </w:trPr>
        <w:tc>
          <w:tcPr>
            <w:tcW w:w="876" w:type="dxa"/>
          </w:tcPr>
          <w:p w14:paraId="2771CB34"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12</w:t>
            </w:r>
          </w:p>
        </w:tc>
        <w:tc>
          <w:tcPr>
            <w:tcW w:w="1919" w:type="dxa"/>
          </w:tcPr>
          <w:p w14:paraId="538D6082"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 xml:space="preserve">GB </w:t>
            </w:r>
            <w:r>
              <w:rPr>
                <w:rFonts w:ascii="Times New Roman" w:eastAsia="仿宋_GB2312" w:hAnsi="Times New Roman" w:cs="Times New Roman"/>
              </w:rPr>
              <w:t>5749</w:t>
            </w:r>
          </w:p>
        </w:tc>
        <w:tc>
          <w:tcPr>
            <w:tcW w:w="6438" w:type="dxa"/>
          </w:tcPr>
          <w:p w14:paraId="71BC342A"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生活饮用水卫生标准</w:t>
            </w:r>
          </w:p>
        </w:tc>
      </w:tr>
      <w:tr w:rsidR="00C674ED" w14:paraId="63ED0F58" w14:textId="77777777">
        <w:trPr>
          <w:trHeight w:val="610"/>
        </w:trPr>
        <w:tc>
          <w:tcPr>
            <w:tcW w:w="876" w:type="dxa"/>
          </w:tcPr>
          <w:p w14:paraId="5729CDAF"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13</w:t>
            </w:r>
          </w:p>
        </w:tc>
        <w:tc>
          <w:tcPr>
            <w:tcW w:w="1919" w:type="dxa"/>
          </w:tcPr>
          <w:p w14:paraId="79C48A3D"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GB 28050</w:t>
            </w:r>
          </w:p>
        </w:tc>
        <w:tc>
          <w:tcPr>
            <w:tcW w:w="6438" w:type="dxa"/>
          </w:tcPr>
          <w:p w14:paraId="03F833EF"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食品安全国家标准预包装食品营养标签通则</w:t>
            </w:r>
          </w:p>
        </w:tc>
      </w:tr>
      <w:tr w:rsidR="00C674ED" w14:paraId="4273F1A3" w14:textId="77777777">
        <w:trPr>
          <w:trHeight w:val="618"/>
        </w:trPr>
        <w:tc>
          <w:tcPr>
            <w:tcW w:w="876" w:type="dxa"/>
          </w:tcPr>
          <w:p w14:paraId="187293AA"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14</w:t>
            </w:r>
          </w:p>
        </w:tc>
        <w:tc>
          <w:tcPr>
            <w:tcW w:w="1919" w:type="dxa"/>
          </w:tcPr>
          <w:p w14:paraId="7E979B6C"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JJF 1070</w:t>
            </w:r>
          </w:p>
        </w:tc>
        <w:tc>
          <w:tcPr>
            <w:tcW w:w="6438" w:type="dxa"/>
          </w:tcPr>
          <w:p w14:paraId="1932870E"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定量包装商品净含量计量检验规则</w:t>
            </w:r>
          </w:p>
        </w:tc>
      </w:tr>
      <w:tr w:rsidR="00C674ED" w14:paraId="3949DF8B" w14:textId="77777777">
        <w:trPr>
          <w:trHeight w:val="626"/>
        </w:trPr>
        <w:tc>
          <w:tcPr>
            <w:tcW w:w="876" w:type="dxa"/>
          </w:tcPr>
          <w:p w14:paraId="7509D3FA" w14:textId="77777777" w:rsidR="00C674ED" w:rsidRDefault="003C1283">
            <w:pPr>
              <w:pStyle w:val="a3"/>
              <w:spacing w:line="560" w:lineRule="exact"/>
              <w:ind w:left="0"/>
              <w:jc w:val="center"/>
              <w:rPr>
                <w:rFonts w:ascii="Times New Roman" w:eastAsia="仿宋_GB2312" w:hAnsi="Times New Roman" w:cs="Times New Roman"/>
              </w:rPr>
            </w:pPr>
            <w:r>
              <w:rPr>
                <w:rFonts w:ascii="Times New Roman" w:eastAsia="仿宋_GB2312" w:hAnsi="Times New Roman" w:cs="Times New Roman"/>
              </w:rPr>
              <w:t>15</w:t>
            </w:r>
          </w:p>
        </w:tc>
        <w:tc>
          <w:tcPr>
            <w:tcW w:w="1919" w:type="dxa"/>
          </w:tcPr>
          <w:p w14:paraId="15160EE4"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DBS 32/005</w:t>
            </w:r>
          </w:p>
        </w:tc>
        <w:tc>
          <w:tcPr>
            <w:tcW w:w="6438" w:type="dxa"/>
          </w:tcPr>
          <w:p w14:paraId="0A45F80E" w14:textId="77777777" w:rsidR="00C674ED" w:rsidRDefault="003C1283">
            <w:pPr>
              <w:pStyle w:val="a3"/>
              <w:spacing w:line="560" w:lineRule="exact"/>
              <w:ind w:left="0"/>
              <w:jc w:val="both"/>
              <w:rPr>
                <w:rFonts w:ascii="Times New Roman" w:eastAsia="仿宋_GB2312" w:hAnsi="Times New Roman" w:cs="Times New Roman"/>
              </w:rPr>
            </w:pPr>
            <w:r>
              <w:rPr>
                <w:rFonts w:ascii="Times New Roman" w:eastAsia="仿宋_GB2312" w:hAnsi="Times New Roman" w:cs="Times New Roman"/>
              </w:rPr>
              <w:t>食品安全地方标准</w:t>
            </w:r>
            <w:r>
              <w:rPr>
                <w:rFonts w:ascii="Times New Roman" w:eastAsia="仿宋_GB2312" w:hAnsi="Times New Roman" w:cs="Times New Roman"/>
              </w:rPr>
              <w:t xml:space="preserve"> </w:t>
            </w:r>
            <w:r>
              <w:rPr>
                <w:rFonts w:ascii="Times New Roman" w:eastAsia="仿宋_GB2312" w:hAnsi="Times New Roman" w:cs="Times New Roman"/>
              </w:rPr>
              <w:t>方便菜肴</w:t>
            </w:r>
          </w:p>
        </w:tc>
      </w:tr>
    </w:tbl>
    <w:p w14:paraId="6211A2A6" w14:textId="77777777" w:rsidR="00C674ED" w:rsidRDefault="003C1283" w:rsidP="00A35941">
      <w:pPr>
        <w:pStyle w:val="a3"/>
        <w:spacing w:line="560" w:lineRule="exact"/>
        <w:ind w:left="153"/>
        <w:rPr>
          <w:rFonts w:ascii="Times New Roman" w:eastAsia="仿宋_GB2312" w:hAnsi="Times New Roman" w:cs="Times New Roman"/>
        </w:rPr>
      </w:pPr>
      <w:r>
        <w:rPr>
          <w:rFonts w:ascii="Times New Roman" w:eastAsia="仿宋_GB2312" w:hAnsi="Times New Roman" w:cs="Times New Roman"/>
        </w:rPr>
        <w:t>本表为方便菜肴生产涉及的主要标准，仅供参考</w:t>
      </w:r>
    </w:p>
    <w:p w14:paraId="59999B43" w14:textId="77777777" w:rsidR="00C674ED" w:rsidRDefault="003C1283">
      <w:pPr>
        <w:rPr>
          <w:rFonts w:ascii="Times New Roman" w:eastAsia="仿宋_GB2312" w:hAnsi="Times New Roman" w:cs="Times New Roman"/>
          <w:kern w:val="0"/>
          <w:sz w:val="32"/>
          <w:szCs w:val="32"/>
        </w:rPr>
      </w:pPr>
      <w:r>
        <w:rPr>
          <w:rFonts w:ascii="Times New Roman" w:eastAsia="仿宋_GB2312" w:hAnsi="Times New Roman" w:cs="Times New Roman"/>
          <w:kern w:val="0"/>
          <w:sz w:val="32"/>
          <w:szCs w:val="32"/>
        </w:rPr>
        <w:br w:type="page"/>
      </w:r>
      <w:r>
        <w:rPr>
          <w:rFonts w:ascii="Times New Roman" w:eastAsia="仿宋_GB2312" w:hAnsi="Times New Roman" w:cs="Times New Roman"/>
          <w:sz w:val="32"/>
          <w:szCs w:val="32"/>
        </w:rPr>
        <w:lastRenderedPageBreak/>
        <w:t>附件</w:t>
      </w:r>
      <w:r>
        <w:rPr>
          <w:rFonts w:ascii="Times New Roman" w:eastAsia="仿宋_GB2312" w:hAnsi="Times New Roman" w:cs="Times New Roman"/>
          <w:sz w:val="32"/>
          <w:szCs w:val="32"/>
        </w:rPr>
        <w:t>2</w:t>
      </w:r>
    </w:p>
    <w:p w14:paraId="74E634D3" w14:textId="77777777" w:rsidR="00C674ED" w:rsidRDefault="003C1283">
      <w:pPr>
        <w:pStyle w:val="a3"/>
        <w:spacing w:line="500" w:lineRule="exact"/>
        <w:ind w:left="153" w:firstLine="680"/>
        <w:jc w:val="center"/>
        <w:rPr>
          <w:rFonts w:ascii="Times New Roman" w:eastAsia="仿宋_GB2312" w:hAnsi="Times New Roman" w:cs="Times New Roman"/>
        </w:rPr>
      </w:pPr>
      <w:r>
        <w:rPr>
          <w:rFonts w:ascii="Times New Roman" w:eastAsia="仿宋_GB2312" w:hAnsi="Times New Roman" w:cs="Times New Roman"/>
        </w:rPr>
        <w:t>方便菜肴检验项目与方法</w:t>
      </w:r>
    </w:p>
    <w:tbl>
      <w:tblPr>
        <w:tblW w:w="964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2628"/>
        <w:gridCol w:w="1800"/>
        <w:gridCol w:w="2160"/>
        <w:gridCol w:w="2160"/>
      </w:tblGrid>
      <w:tr w:rsidR="00C674ED" w14:paraId="7291EB22" w14:textId="77777777">
        <w:trPr>
          <w:trHeight w:val="23"/>
        </w:trPr>
        <w:tc>
          <w:tcPr>
            <w:tcW w:w="900" w:type="dxa"/>
            <w:vAlign w:val="center"/>
          </w:tcPr>
          <w:p w14:paraId="3E857A8A"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序号</w:t>
            </w:r>
          </w:p>
        </w:tc>
        <w:tc>
          <w:tcPr>
            <w:tcW w:w="2628" w:type="dxa"/>
            <w:vAlign w:val="center"/>
          </w:tcPr>
          <w:p w14:paraId="21BACB96"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检验项目</w:t>
            </w:r>
          </w:p>
        </w:tc>
        <w:tc>
          <w:tcPr>
            <w:tcW w:w="1800" w:type="dxa"/>
            <w:vAlign w:val="center"/>
          </w:tcPr>
          <w:p w14:paraId="16210FF6"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标准号</w:t>
            </w:r>
          </w:p>
        </w:tc>
        <w:tc>
          <w:tcPr>
            <w:tcW w:w="2160" w:type="dxa"/>
            <w:vAlign w:val="center"/>
          </w:tcPr>
          <w:p w14:paraId="0D6E1B60"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标准名称</w:t>
            </w:r>
          </w:p>
        </w:tc>
        <w:tc>
          <w:tcPr>
            <w:tcW w:w="2160" w:type="dxa"/>
            <w:vAlign w:val="center"/>
          </w:tcPr>
          <w:p w14:paraId="541CDE88"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检验方法</w:t>
            </w:r>
          </w:p>
        </w:tc>
      </w:tr>
      <w:tr w:rsidR="00C674ED" w14:paraId="20C4FA87" w14:textId="77777777">
        <w:trPr>
          <w:trHeight w:val="23"/>
        </w:trPr>
        <w:tc>
          <w:tcPr>
            <w:tcW w:w="900" w:type="dxa"/>
            <w:vAlign w:val="center"/>
          </w:tcPr>
          <w:p w14:paraId="62F66E7C"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1</w:t>
            </w:r>
          </w:p>
        </w:tc>
        <w:tc>
          <w:tcPr>
            <w:tcW w:w="2628" w:type="dxa"/>
            <w:vAlign w:val="center"/>
          </w:tcPr>
          <w:p w14:paraId="22F9840F"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感官</w:t>
            </w:r>
          </w:p>
        </w:tc>
        <w:tc>
          <w:tcPr>
            <w:tcW w:w="1800" w:type="dxa"/>
            <w:vAlign w:val="center"/>
          </w:tcPr>
          <w:p w14:paraId="594BF456"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DBS32/005</w:t>
            </w:r>
          </w:p>
        </w:tc>
        <w:tc>
          <w:tcPr>
            <w:tcW w:w="2160" w:type="dxa"/>
            <w:vAlign w:val="center"/>
          </w:tcPr>
          <w:p w14:paraId="51E96C9F"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食品安全地方标准方便菜肴</w:t>
            </w:r>
          </w:p>
        </w:tc>
        <w:tc>
          <w:tcPr>
            <w:tcW w:w="2160" w:type="dxa"/>
            <w:vAlign w:val="center"/>
          </w:tcPr>
          <w:p w14:paraId="02F8E063"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DBS 32/005</w:t>
            </w:r>
          </w:p>
        </w:tc>
      </w:tr>
      <w:tr w:rsidR="00C674ED" w14:paraId="5959A638" w14:textId="77777777">
        <w:trPr>
          <w:trHeight w:val="23"/>
        </w:trPr>
        <w:tc>
          <w:tcPr>
            <w:tcW w:w="900" w:type="dxa"/>
            <w:vAlign w:val="center"/>
          </w:tcPr>
          <w:p w14:paraId="3FCBC83D"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2</w:t>
            </w:r>
          </w:p>
        </w:tc>
        <w:tc>
          <w:tcPr>
            <w:tcW w:w="2628" w:type="dxa"/>
            <w:vAlign w:val="center"/>
          </w:tcPr>
          <w:p w14:paraId="07CDA9AD"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总砷</w:t>
            </w:r>
          </w:p>
        </w:tc>
        <w:tc>
          <w:tcPr>
            <w:tcW w:w="1800" w:type="dxa"/>
            <w:vMerge w:val="restart"/>
            <w:tcBorders>
              <w:top w:val="nil"/>
            </w:tcBorders>
            <w:vAlign w:val="center"/>
          </w:tcPr>
          <w:p w14:paraId="77F2F955"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GB2762</w:t>
            </w:r>
          </w:p>
          <w:p w14:paraId="3F542784"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val="restart"/>
            <w:tcBorders>
              <w:top w:val="nil"/>
            </w:tcBorders>
            <w:vAlign w:val="center"/>
          </w:tcPr>
          <w:p w14:paraId="1A7CD3B0"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w:t>
            </w:r>
            <w:r>
              <w:rPr>
                <w:rFonts w:ascii="Times New Roman" w:eastAsia="仿宋_GB2312" w:hAnsi="Times New Roman" w:cs="Times New Roman"/>
              </w:rPr>
              <w:t xml:space="preserve"> </w:t>
            </w:r>
            <w:r>
              <w:rPr>
                <w:rFonts w:ascii="Times New Roman" w:eastAsia="仿宋_GB2312" w:hAnsi="Times New Roman" w:cs="Times New Roman"/>
              </w:rPr>
              <w:t>食品中污染物限量</w:t>
            </w:r>
          </w:p>
          <w:p w14:paraId="41D1CD85"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28C64534"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 xml:space="preserve">GB </w:t>
            </w:r>
            <w:r>
              <w:rPr>
                <w:rFonts w:ascii="Times New Roman" w:eastAsia="仿宋_GB2312" w:hAnsi="Times New Roman" w:cs="Times New Roman"/>
              </w:rPr>
              <w:t>5009.11</w:t>
            </w:r>
          </w:p>
        </w:tc>
      </w:tr>
      <w:tr w:rsidR="00C674ED" w14:paraId="319D579C" w14:textId="77777777">
        <w:trPr>
          <w:trHeight w:val="23"/>
        </w:trPr>
        <w:tc>
          <w:tcPr>
            <w:tcW w:w="900" w:type="dxa"/>
            <w:vAlign w:val="center"/>
          </w:tcPr>
          <w:p w14:paraId="5F4A9360"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3</w:t>
            </w:r>
          </w:p>
        </w:tc>
        <w:tc>
          <w:tcPr>
            <w:tcW w:w="2628" w:type="dxa"/>
            <w:vAlign w:val="center"/>
          </w:tcPr>
          <w:p w14:paraId="4B04AC55"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总汞</w:t>
            </w:r>
          </w:p>
        </w:tc>
        <w:tc>
          <w:tcPr>
            <w:tcW w:w="1800" w:type="dxa"/>
            <w:vMerge/>
            <w:tcBorders>
              <w:top w:val="nil"/>
            </w:tcBorders>
            <w:vAlign w:val="center"/>
          </w:tcPr>
          <w:p w14:paraId="0D540649"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6B81C3FB"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6C486D7D"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5009.17</w:t>
            </w:r>
          </w:p>
        </w:tc>
      </w:tr>
      <w:tr w:rsidR="00C674ED" w14:paraId="74BDC511" w14:textId="77777777">
        <w:trPr>
          <w:trHeight w:val="23"/>
        </w:trPr>
        <w:tc>
          <w:tcPr>
            <w:tcW w:w="900" w:type="dxa"/>
            <w:vAlign w:val="center"/>
          </w:tcPr>
          <w:p w14:paraId="7C36D79B"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4</w:t>
            </w:r>
          </w:p>
        </w:tc>
        <w:tc>
          <w:tcPr>
            <w:tcW w:w="2628" w:type="dxa"/>
            <w:vAlign w:val="center"/>
          </w:tcPr>
          <w:p w14:paraId="5EFA50A4"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铅</w:t>
            </w:r>
          </w:p>
        </w:tc>
        <w:tc>
          <w:tcPr>
            <w:tcW w:w="1800" w:type="dxa"/>
            <w:vMerge/>
            <w:tcBorders>
              <w:top w:val="nil"/>
            </w:tcBorders>
            <w:vAlign w:val="center"/>
          </w:tcPr>
          <w:p w14:paraId="43F47CD1"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15654495"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6904B5C2"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5009.12</w:t>
            </w:r>
          </w:p>
        </w:tc>
      </w:tr>
      <w:tr w:rsidR="00C674ED" w14:paraId="121F6146" w14:textId="77777777">
        <w:trPr>
          <w:trHeight w:val="23"/>
        </w:trPr>
        <w:tc>
          <w:tcPr>
            <w:tcW w:w="900" w:type="dxa"/>
            <w:vAlign w:val="center"/>
          </w:tcPr>
          <w:p w14:paraId="2F3E051A"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5</w:t>
            </w:r>
          </w:p>
        </w:tc>
        <w:tc>
          <w:tcPr>
            <w:tcW w:w="2628" w:type="dxa"/>
            <w:vAlign w:val="center"/>
          </w:tcPr>
          <w:p w14:paraId="79568DE2"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镉</w:t>
            </w:r>
          </w:p>
        </w:tc>
        <w:tc>
          <w:tcPr>
            <w:tcW w:w="1800" w:type="dxa"/>
            <w:vMerge/>
            <w:tcBorders>
              <w:top w:val="nil"/>
            </w:tcBorders>
            <w:vAlign w:val="center"/>
          </w:tcPr>
          <w:p w14:paraId="088E1655"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4DFB7ED7"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443DCE47"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5009.15</w:t>
            </w:r>
          </w:p>
        </w:tc>
      </w:tr>
      <w:tr w:rsidR="00C674ED" w14:paraId="70C06F2D" w14:textId="77777777">
        <w:trPr>
          <w:trHeight w:val="23"/>
        </w:trPr>
        <w:tc>
          <w:tcPr>
            <w:tcW w:w="900" w:type="dxa"/>
            <w:vAlign w:val="center"/>
          </w:tcPr>
          <w:p w14:paraId="58E367FC"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6</w:t>
            </w:r>
          </w:p>
        </w:tc>
        <w:tc>
          <w:tcPr>
            <w:tcW w:w="2628" w:type="dxa"/>
            <w:vAlign w:val="center"/>
          </w:tcPr>
          <w:p w14:paraId="2719192C"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铬</w:t>
            </w:r>
          </w:p>
        </w:tc>
        <w:tc>
          <w:tcPr>
            <w:tcW w:w="1800" w:type="dxa"/>
            <w:vMerge/>
            <w:tcBorders>
              <w:top w:val="nil"/>
            </w:tcBorders>
            <w:vAlign w:val="center"/>
          </w:tcPr>
          <w:p w14:paraId="08E772AC"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3226E11D"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1896EAF5"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5009.123</w:t>
            </w:r>
          </w:p>
        </w:tc>
      </w:tr>
      <w:tr w:rsidR="00C674ED" w14:paraId="42D55B8F" w14:textId="77777777">
        <w:trPr>
          <w:trHeight w:val="23"/>
        </w:trPr>
        <w:tc>
          <w:tcPr>
            <w:tcW w:w="900" w:type="dxa"/>
            <w:vAlign w:val="center"/>
          </w:tcPr>
          <w:p w14:paraId="2175F7B4"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7</w:t>
            </w:r>
          </w:p>
        </w:tc>
        <w:tc>
          <w:tcPr>
            <w:tcW w:w="2628" w:type="dxa"/>
            <w:vAlign w:val="center"/>
          </w:tcPr>
          <w:p w14:paraId="45AC6CA9"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N-</w:t>
            </w:r>
            <w:r>
              <w:rPr>
                <w:rFonts w:ascii="Times New Roman" w:eastAsia="仿宋_GB2312" w:hAnsi="Times New Roman" w:cs="Times New Roman"/>
              </w:rPr>
              <w:t>二甲基亚硝胺</w:t>
            </w:r>
          </w:p>
        </w:tc>
        <w:tc>
          <w:tcPr>
            <w:tcW w:w="1800" w:type="dxa"/>
            <w:vMerge/>
            <w:tcBorders>
              <w:top w:val="nil"/>
            </w:tcBorders>
            <w:vAlign w:val="center"/>
          </w:tcPr>
          <w:p w14:paraId="02D1790C"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391D792F"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3ABEBFEB"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5009.26</w:t>
            </w:r>
          </w:p>
        </w:tc>
      </w:tr>
      <w:tr w:rsidR="00C674ED" w14:paraId="49C39877" w14:textId="77777777">
        <w:trPr>
          <w:trHeight w:val="23"/>
        </w:trPr>
        <w:tc>
          <w:tcPr>
            <w:tcW w:w="900" w:type="dxa"/>
            <w:vAlign w:val="center"/>
          </w:tcPr>
          <w:p w14:paraId="0E2657D7"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8</w:t>
            </w:r>
          </w:p>
        </w:tc>
        <w:tc>
          <w:tcPr>
            <w:tcW w:w="2628" w:type="dxa"/>
            <w:vAlign w:val="center"/>
          </w:tcPr>
          <w:p w14:paraId="7004933E"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多氯联苯</w:t>
            </w:r>
            <w:r>
              <w:rPr>
                <w:rFonts w:ascii="Times New Roman" w:eastAsia="仿宋_GB2312" w:hAnsi="Times New Roman" w:cs="Times New Roman"/>
              </w:rPr>
              <w:t>a</w:t>
            </w:r>
          </w:p>
        </w:tc>
        <w:tc>
          <w:tcPr>
            <w:tcW w:w="1800" w:type="dxa"/>
            <w:vMerge/>
            <w:tcBorders>
              <w:top w:val="nil"/>
            </w:tcBorders>
            <w:vAlign w:val="center"/>
          </w:tcPr>
          <w:p w14:paraId="7A919DF1"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3F652076"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259B16BA"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5009.190</w:t>
            </w:r>
          </w:p>
        </w:tc>
      </w:tr>
      <w:tr w:rsidR="00C674ED" w14:paraId="4A0E0173" w14:textId="77777777">
        <w:trPr>
          <w:trHeight w:val="23"/>
        </w:trPr>
        <w:tc>
          <w:tcPr>
            <w:tcW w:w="900" w:type="dxa"/>
            <w:vAlign w:val="center"/>
          </w:tcPr>
          <w:p w14:paraId="6FBCDE3A"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9</w:t>
            </w:r>
          </w:p>
        </w:tc>
        <w:tc>
          <w:tcPr>
            <w:tcW w:w="2628" w:type="dxa"/>
            <w:vAlign w:val="center"/>
          </w:tcPr>
          <w:p w14:paraId="3BA63E79"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大肠菌群</w:t>
            </w:r>
          </w:p>
        </w:tc>
        <w:tc>
          <w:tcPr>
            <w:tcW w:w="1800" w:type="dxa"/>
            <w:vMerge w:val="restart"/>
            <w:tcBorders>
              <w:top w:val="nil"/>
            </w:tcBorders>
            <w:vAlign w:val="center"/>
          </w:tcPr>
          <w:p w14:paraId="73B774E8"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DBS32/005</w:t>
            </w:r>
          </w:p>
        </w:tc>
        <w:tc>
          <w:tcPr>
            <w:tcW w:w="2160" w:type="dxa"/>
            <w:vMerge w:val="restart"/>
            <w:tcBorders>
              <w:top w:val="nil"/>
            </w:tcBorders>
            <w:vAlign w:val="center"/>
          </w:tcPr>
          <w:p w14:paraId="600CD706"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食品安全地方标准方便菜肴</w:t>
            </w:r>
          </w:p>
        </w:tc>
        <w:tc>
          <w:tcPr>
            <w:tcW w:w="2160" w:type="dxa"/>
            <w:vAlign w:val="center"/>
          </w:tcPr>
          <w:p w14:paraId="67A1ED00"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4789.3</w:t>
            </w:r>
          </w:p>
        </w:tc>
      </w:tr>
      <w:tr w:rsidR="00C674ED" w14:paraId="7B058D19" w14:textId="77777777">
        <w:trPr>
          <w:trHeight w:val="23"/>
        </w:trPr>
        <w:tc>
          <w:tcPr>
            <w:tcW w:w="900" w:type="dxa"/>
            <w:vAlign w:val="center"/>
          </w:tcPr>
          <w:p w14:paraId="165A7A90"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10</w:t>
            </w:r>
          </w:p>
        </w:tc>
        <w:tc>
          <w:tcPr>
            <w:tcW w:w="2628" w:type="dxa"/>
            <w:vAlign w:val="center"/>
          </w:tcPr>
          <w:p w14:paraId="281C9B5D"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单核细胞增生李斯</w:t>
            </w:r>
            <w:proofErr w:type="gramStart"/>
            <w:r>
              <w:rPr>
                <w:rFonts w:ascii="Times New Roman" w:eastAsia="仿宋_GB2312" w:hAnsi="Times New Roman" w:cs="Times New Roman"/>
              </w:rPr>
              <w:t>特</w:t>
            </w:r>
            <w:proofErr w:type="gramEnd"/>
            <w:r>
              <w:rPr>
                <w:rFonts w:ascii="Times New Roman" w:eastAsia="仿宋_GB2312" w:hAnsi="Times New Roman" w:cs="Times New Roman"/>
              </w:rPr>
              <w:t>氏菌</w:t>
            </w:r>
          </w:p>
        </w:tc>
        <w:tc>
          <w:tcPr>
            <w:tcW w:w="1800" w:type="dxa"/>
            <w:vMerge/>
            <w:tcBorders>
              <w:top w:val="nil"/>
            </w:tcBorders>
            <w:vAlign w:val="center"/>
          </w:tcPr>
          <w:p w14:paraId="6C810956"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2D501E2E"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75A2A0F3"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4789.30</w:t>
            </w:r>
          </w:p>
        </w:tc>
      </w:tr>
      <w:tr w:rsidR="00C674ED" w14:paraId="110C20D9" w14:textId="77777777">
        <w:trPr>
          <w:trHeight w:val="23"/>
        </w:trPr>
        <w:tc>
          <w:tcPr>
            <w:tcW w:w="900" w:type="dxa"/>
            <w:vAlign w:val="center"/>
          </w:tcPr>
          <w:p w14:paraId="1F02FDFB"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11</w:t>
            </w:r>
          </w:p>
        </w:tc>
        <w:tc>
          <w:tcPr>
            <w:tcW w:w="2628" w:type="dxa"/>
            <w:vAlign w:val="center"/>
          </w:tcPr>
          <w:p w14:paraId="50D65070"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大肠埃希氏菌</w:t>
            </w:r>
            <w:r>
              <w:rPr>
                <w:rFonts w:ascii="Times New Roman" w:eastAsia="仿宋_GB2312" w:hAnsi="Times New Roman" w:cs="Times New Roman"/>
              </w:rPr>
              <w:t>O157</w:t>
            </w:r>
            <w:r>
              <w:rPr>
                <w:rFonts w:ascii="Times New Roman" w:eastAsia="仿宋_GB2312" w:hAnsi="Times New Roman" w:cs="Times New Roman"/>
              </w:rPr>
              <w:t>：</w:t>
            </w:r>
            <w:r>
              <w:rPr>
                <w:rFonts w:ascii="Times New Roman" w:eastAsia="仿宋_GB2312" w:hAnsi="Times New Roman" w:cs="Times New Roman"/>
              </w:rPr>
              <w:t>H7a</w:t>
            </w:r>
          </w:p>
        </w:tc>
        <w:tc>
          <w:tcPr>
            <w:tcW w:w="1800" w:type="dxa"/>
            <w:vMerge/>
            <w:tcBorders>
              <w:top w:val="nil"/>
            </w:tcBorders>
            <w:vAlign w:val="center"/>
          </w:tcPr>
          <w:p w14:paraId="48D8B2C0"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3C4E5654"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2452A18B"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4789.36</w:t>
            </w:r>
          </w:p>
        </w:tc>
      </w:tr>
      <w:tr w:rsidR="00C674ED" w14:paraId="758E0E2B" w14:textId="77777777">
        <w:trPr>
          <w:trHeight w:val="23"/>
        </w:trPr>
        <w:tc>
          <w:tcPr>
            <w:tcW w:w="900" w:type="dxa"/>
            <w:vAlign w:val="center"/>
          </w:tcPr>
          <w:p w14:paraId="1954E606"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12</w:t>
            </w:r>
          </w:p>
        </w:tc>
        <w:tc>
          <w:tcPr>
            <w:tcW w:w="2628" w:type="dxa"/>
            <w:vAlign w:val="center"/>
          </w:tcPr>
          <w:p w14:paraId="690928B4"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沙门氏菌</w:t>
            </w:r>
          </w:p>
        </w:tc>
        <w:tc>
          <w:tcPr>
            <w:tcW w:w="1800" w:type="dxa"/>
            <w:vMerge/>
            <w:tcBorders>
              <w:top w:val="nil"/>
            </w:tcBorders>
            <w:vAlign w:val="center"/>
          </w:tcPr>
          <w:p w14:paraId="1F6B67E5"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767D823F"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47FAA4B8"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 xml:space="preserve">GB </w:t>
            </w:r>
            <w:r>
              <w:rPr>
                <w:rFonts w:ascii="Times New Roman" w:eastAsia="仿宋_GB2312" w:hAnsi="Times New Roman" w:cs="Times New Roman"/>
              </w:rPr>
              <w:t>4789.4</w:t>
            </w:r>
          </w:p>
        </w:tc>
      </w:tr>
      <w:tr w:rsidR="00C674ED" w14:paraId="4A8FE7A8" w14:textId="77777777">
        <w:trPr>
          <w:trHeight w:val="23"/>
        </w:trPr>
        <w:tc>
          <w:tcPr>
            <w:tcW w:w="900" w:type="dxa"/>
            <w:vAlign w:val="center"/>
          </w:tcPr>
          <w:p w14:paraId="65C273F7"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13</w:t>
            </w:r>
          </w:p>
        </w:tc>
        <w:tc>
          <w:tcPr>
            <w:tcW w:w="2628" w:type="dxa"/>
            <w:vAlign w:val="center"/>
          </w:tcPr>
          <w:p w14:paraId="6FE7BDBE"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副溶血性弧菌</w:t>
            </w:r>
          </w:p>
        </w:tc>
        <w:tc>
          <w:tcPr>
            <w:tcW w:w="1800" w:type="dxa"/>
            <w:vMerge/>
            <w:tcBorders>
              <w:top w:val="nil"/>
            </w:tcBorders>
            <w:vAlign w:val="center"/>
          </w:tcPr>
          <w:p w14:paraId="28671B42"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168D88EC"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4ECA8652"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4789.7</w:t>
            </w:r>
          </w:p>
        </w:tc>
      </w:tr>
      <w:tr w:rsidR="00C674ED" w14:paraId="5CAAFE61" w14:textId="77777777">
        <w:trPr>
          <w:trHeight w:val="23"/>
        </w:trPr>
        <w:tc>
          <w:tcPr>
            <w:tcW w:w="900" w:type="dxa"/>
            <w:vAlign w:val="center"/>
          </w:tcPr>
          <w:p w14:paraId="0DB6F924"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14</w:t>
            </w:r>
          </w:p>
        </w:tc>
        <w:tc>
          <w:tcPr>
            <w:tcW w:w="2628" w:type="dxa"/>
            <w:vAlign w:val="center"/>
          </w:tcPr>
          <w:p w14:paraId="3F809D24"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金黄色葡萄球菌</w:t>
            </w:r>
          </w:p>
        </w:tc>
        <w:tc>
          <w:tcPr>
            <w:tcW w:w="1800" w:type="dxa"/>
            <w:vMerge/>
            <w:tcBorders>
              <w:top w:val="nil"/>
            </w:tcBorders>
            <w:vAlign w:val="center"/>
          </w:tcPr>
          <w:p w14:paraId="4419375C"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Merge/>
            <w:tcBorders>
              <w:top w:val="nil"/>
            </w:tcBorders>
            <w:vAlign w:val="center"/>
          </w:tcPr>
          <w:p w14:paraId="166D90A0" w14:textId="77777777" w:rsidR="00C674ED" w:rsidRDefault="00C674ED">
            <w:pPr>
              <w:pStyle w:val="a3"/>
              <w:spacing w:line="500" w:lineRule="exact"/>
              <w:ind w:left="0"/>
              <w:jc w:val="both"/>
              <w:rPr>
                <w:rFonts w:ascii="Times New Roman" w:eastAsia="仿宋_GB2312" w:hAnsi="Times New Roman" w:cs="Times New Roman"/>
              </w:rPr>
            </w:pPr>
          </w:p>
        </w:tc>
        <w:tc>
          <w:tcPr>
            <w:tcW w:w="2160" w:type="dxa"/>
            <w:vAlign w:val="center"/>
          </w:tcPr>
          <w:p w14:paraId="0452198E"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4789.10</w:t>
            </w:r>
          </w:p>
        </w:tc>
      </w:tr>
      <w:tr w:rsidR="00C674ED" w14:paraId="56C3755B" w14:textId="77777777">
        <w:trPr>
          <w:trHeight w:val="23"/>
        </w:trPr>
        <w:tc>
          <w:tcPr>
            <w:tcW w:w="900" w:type="dxa"/>
            <w:vAlign w:val="center"/>
          </w:tcPr>
          <w:p w14:paraId="26EDA602"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15</w:t>
            </w:r>
          </w:p>
        </w:tc>
        <w:tc>
          <w:tcPr>
            <w:tcW w:w="2628" w:type="dxa"/>
            <w:vAlign w:val="center"/>
          </w:tcPr>
          <w:p w14:paraId="06065B3E"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食品添加剂</w:t>
            </w:r>
          </w:p>
        </w:tc>
        <w:tc>
          <w:tcPr>
            <w:tcW w:w="1800" w:type="dxa"/>
            <w:vAlign w:val="center"/>
          </w:tcPr>
          <w:p w14:paraId="3CE71C0F"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GB 2760</w:t>
            </w:r>
          </w:p>
        </w:tc>
        <w:tc>
          <w:tcPr>
            <w:tcW w:w="2160" w:type="dxa"/>
            <w:vAlign w:val="center"/>
          </w:tcPr>
          <w:p w14:paraId="092C50AE"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食品安全国家标准食品添加剂使用标准</w:t>
            </w:r>
          </w:p>
        </w:tc>
        <w:tc>
          <w:tcPr>
            <w:tcW w:w="2160" w:type="dxa"/>
            <w:vAlign w:val="center"/>
          </w:tcPr>
          <w:p w14:paraId="041FE5E7"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对照相应标准</w:t>
            </w:r>
          </w:p>
        </w:tc>
      </w:tr>
      <w:tr w:rsidR="00C674ED" w14:paraId="113B393D" w14:textId="77777777">
        <w:trPr>
          <w:trHeight w:val="23"/>
        </w:trPr>
        <w:tc>
          <w:tcPr>
            <w:tcW w:w="900" w:type="dxa"/>
            <w:vAlign w:val="center"/>
          </w:tcPr>
          <w:p w14:paraId="237A04DE" w14:textId="77777777" w:rsidR="00C674ED" w:rsidRDefault="003C1283">
            <w:pPr>
              <w:pStyle w:val="a3"/>
              <w:spacing w:line="500" w:lineRule="exact"/>
              <w:ind w:left="0"/>
              <w:jc w:val="center"/>
              <w:rPr>
                <w:rFonts w:ascii="Times New Roman" w:eastAsia="仿宋_GB2312" w:hAnsi="Times New Roman" w:cs="Times New Roman"/>
              </w:rPr>
            </w:pPr>
            <w:r>
              <w:rPr>
                <w:rFonts w:ascii="Times New Roman" w:eastAsia="仿宋_GB2312" w:hAnsi="Times New Roman" w:cs="Times New Roman"/>
              </w:rPr>
              <w:t>16</w:t>
            </w:r>
          </w:p>
        </w:tc>
        <w:tc>
          <w:tcPr>
            <w:tcW w:w="2628" w:type="dxa"/>
            <w:vAlign w:val="center"/>
          </w:tcPr>
          <w:p w14:paraId="1B198634"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净含量</w:t>
            </w:r>
          </w:p>
        </w:tc>
        <w:tc>
          <w:tcPr>
            <w:tcW w:w="1800" w:type="dxa"/>
            <w:vAlign w:val="center"/>
          </w:tcPr>
          <w:p w14:paraId="3D3E2C4B"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JJF 1070</w:t>
            </w:r>
          </w:p>
        </w:tc>
        <w:tc>
          <w:tcPr>
            <w:tcW w:w="2160" w:type="dxa"/>
            <w:vAlign w:val="center"/>
          </w:tcPr>
          <w:p w14:paraId="153603F4"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定量包装商品净含量计量检验规则</w:t>
            </w:r>
          </w:p>
        </w:tc>
        <w:tc>
          <w:tcPr>
            <w:tcW w:w="2160" w:type="dxa"/>
            <w:vAlign w:val="center"/>
          </w:tcPr>
          <w:p w14:paraId="54425EC9" w14:textId="77777777" w:rsidR="00C674ED" w:rsidRDefault="003C1283">
            <w:pPr>
              <w:pStyle w:val="a3"/>
              <w:spacing w:line="500" w:lineRule="exact"/>
              <w:ind w:left="0"/>
              <w:jc w:val="both"/>
              <w:rPr>
                <w:rFonts w:ascii="Times New Roman" w:eastAsia="仿宋_GB2312" w:hAnsi="Times New Roman" w:cs="Times New Roman"/>
              </w:rPr>
            </w:pPr>
            <w:r>
              <w:rPr>
                <w:rFonts w:ascii="Times New Roman" w:eastAsia="仿宋_GB2312" w:hAnsi="Times New Roman" w:cs="Times New Roman"/>
              </w:rPr>
              <w:t>JJF 1070</w:t>
            </w:r>
          </w:p>
        </w:tc>
      </w:tr>
    </w:tbl>
    <w:p w14:paraId="280F8213" w14:textId="77777777" w:rsidR="00C674ED" w:rsidRDefault="00C674ED">
      <w:pPr>
        <w:pStyle w:val="a3"/>
        <w:spacing w:line="560" w:lineRule="exact"/>
        <w:ind w:left="0"/>
        <w:jc w:val="both"/>
        <w:rPr>
          <w:rFonts w:ascii="仿宋_GB2312" w:eastAsia="仿宋_GB2312" w:cs="Times New Roman"/>
        </w:rPr>
      </w:pPr>
    </w:p>
    <w:sectPr w:rsidR="00C674ED">
      <w:footerReference w:type="default" r:id="rId7"/>
      <w:pgSz w:w="11906" w:h="16838"/>
      <w:pgMar w:top="1440" w:right="1803" w:bottom="1440" w:left="1803" w:header="0" w:footer="975" w:gutter="0"/>
      <w:cols w:space="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BCE37" w14:textId="77777777" w:rsidR="003C1283" w:rsidRDefault="003C1283">
      <w:pPr>
        <w:spacing w:after="0" w:line="240" w:lineRule="auto"/>
      </w:pPr>
      <w:r>
        <w:separator/>
      </w:r>
    </w:p>
  </w:endnote>
  <w:endnote w:type="continuationSeparator" w:id="0">
    <w:p w14:paraId="4A00D6E5" w14:textId="77777777" w:rsidR="003C1283" w:rsidRDefault="003C12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32C15F" w14:textId="77777777" w:rsidR="00C674ED" w:rsidRDefault="003C1283">
    <w:pPr>
      <w:pStyle w:val="a5"/>
      <w:framePr w:wrap="around" w:vAnchor="text" w:hAnchor="margin" w:xAlign="center" w:y="1"/>
      <w:rPr>
        <w:rStyle w:val="ab"/>
        <w:rFonts w:cs="Times New Roman"/>
      </w:rPr>
    </w:pPr>
    <w:r>
      <w:rPr>
        <w:rStyle w:val="ab"/>
      </w:rPr>
      <w:fldChar w:fldCharType="begin"/>
    </w:r>
    <w:r>
      <w:rPr>
        <w:rStyle w:val="ab"/>
      </w:rPr>
      <w:instrText xml:space="preserve">PAGE  </w:instrText>
    </w:r>
    <w:r>
      <w:rPr>
        <w:rStyle w:val="ab"/>
      </w:rPr>
      <w:fldChar w:fldCharType="separate"/>
    </w:r>
    <w:r>
      <w:rPr>
        <w:rStyle w:val="ab"/>
      </w:rPr>
      <w:t>8</w:t>
    </w:r>
    <w:r>
      <w:rPr>
        <w:rStyle w:val="ab"/>
      </w:rPr>
      <w:fldChar w:fldCharType="end"/>
    </w:r>
  </w:p>
  <w:p w14:paraId="7231434F" w14:textId="77777777" w:rsidR="00C674ED" w:rsidRDefault="00C674ED">
    <w:pPr>
      <w:pStyle w:val="a5"/>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A26CAF" w14:textId="77777777" w:rsidR="003C1283" w:rsidRDefault="003C1283">
      <w:pPr>
        <w:spacing w:after="0" w:line="240" w:lineRule="auto"/>
      </w:pPr>
      <w:r>
        <w:separator/>
      </w:r>
    </w:p>
  </w:footnote>
  <w:footnote w:type="continuationSeparator" w:id="0">
    <w:p w14:paraId="7E713A17" w14:textId="77777777" w:rsidR="003C1283" w:rsidRDefault="003C12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174D"/>
    <w:rsid w:val="000847C1"/>
    <w:rsid w:val="000A1ED9"/>
    <w:rsid w:val="000D78A3"/>
    <w:rsid w:val="00182466"/>
    <w:rsid w:val="001944A8"/>
    <w:rsid w:val="002B6FE5"/>
    <w:rsid w:val="002D44DE"/>
    <w:rsid w:val="003C1283"/>
    <w:rsid w:val="003E20A4"/>
    <w:rsid w:val="004162DD"/>
    <w:rsid w:val="004B174D"/>
    <w:rsid w:val="00674012"/>
    <w:rsid w:val="0071472B"/>
    <w:rsid w:val="0075112D"/>
    <w:rsid w:val="00842779"/>
    <w:rsid w:val="008A52C9"/>
    <w:rsid w:val="008C2A35"/>
    <w:rsid w:val="009C7A39"/>
    <w:rsid w:val="00A35941"/>
    <w:rsid w:val="00A836D2"/>
    <w:rsid w:val="00C334E3"/>
    <w:rsid w:val="00C674ED"/>
    <w:rsid w:val="00CA4F27"/>
    <w:rsid w:val="00D7071A"/>
    <w:rsid w:val="213B19DB"/>
    <w:rsid w:val="33046017"/>
    <w:rsid w:val="56EF791D"/>
    <w:rsid w:val="60413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0820CAA"/>
  <w15:docId w15:val="{7CB03535-3F49-476C-A317-C660D5A37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cs="等线"/>
      <w:kern w:val="2"/>
      <w:sz w:val="22"/>
      <w:szCs w:val="22"/>
    </w:rPr>
  </w:style>
  <w:style w:type="paragraph" w:styleId="1">
    <w:name w:val="heading 1"/>
    <w:basedOn w:val="a"/>
    <w:next w:val="a"/>
    <w:link w:val="10"/>
    <w:uiPriority w:val="99"/>
    <w:qFormat/>
    <w:pPr>
      <w:keepNext/>
      <w:keepLines/>
      <w:spacing w:before="480" w:after="80"/>
      <w:outlineLvl w:val="0"/>
    </w:pPr>
    <w:rPr>
      <w:rFonts w:ascii="等线 Light" w:eastAsia="等线 Light" w:hAnsi="等线 Light" w:cs="等线 Light"/>
      <w:color w:val="0F4761"/>
      <w:sz w:val="48"/>
      <w:szCs w:val="48"/>
    </w:rPr>
  </w:style>
  <w:style w:type="paragraph" w:styleId="2">
    <w:name w:val="heading 2"/>
    <w:basedOn w:val="a"/>
    <w:next w:val="a"/>
    <w:link w:val="20"/>
    <w:uiPriority w:val="99"/>
    <w:qFormat/>
    <w:pPr>
      <w:keepNext/>
      <w:keepLines/>
      <w:spacing w:before="160" w:after="80"/>
      <w:outlineLvl w:val="1"/>
    </w:pPr>
    <w:rPr>
      <w:rFonts w:ascii="等线 Light" w:eastAsia="等线 Light" w:hAnsi="等线 Light" w:cs="等线 Light"/>
      <w:color w:val="0F4761"/>
      <w:sz w:val="40"/>
      <w:szCs w:val="40"/>
    </w:rPr>
  </w:style>
  <w:style w:type="paragraph" w:styleId="3">
    <w:name w:val="heading 3"/>
    <w:basedOn w:val="a"/>
    <w:next w:val="a"/>
    <w:link w:val="30"/>
    <w:uiPriority w:val="99"/>
    <w:qFormat/>
    <w:pPr>
      <w:keepNext/>
      <w:keepLines/>
      <w:spacing w:before="160" w:after="80"/>
      <w:outlineLvl w:val="2"/>
    </w:pPr>
    <w:rPr>
      <w:rFonts w:ascii="等线 Light" w:eastAsia="等线 Light" w:hAnsi="等线 Light" w:cs="等线 Light"/>
      <w:color w:val="0F4761"/>
      <w:sz w:val="32"/>
      <w:szCs w:val="32"/>
    </w:rPr>
  </w:style>
  <w:style w:type="paragraph" w:styleId="4">
    <w:name w:val="heading 4"/>
    <w:basedOn w:val="a"/>
    <w:next w:val="a"/>
    <w:link w:val="40"/>
    <w:uiPriority w:val="99"/>
    <w:qFormat/>
    <w:pPr>
      <w:keepNext/>
      <w:keepLines/>
      <w:spacing w:before="80" w:after="40"/>
      <w:outlineLvl w:val="3"/>
    </w:pPr>
    <w:rPr>
      <w:color w:val="0F4761"/>
      <w:sz w:val="28"/>
      <w:szCs w:val="28"/>
    </w:rPr>
  </w:style>
  <w:style w:type="paragraph" w:styleId="5">
    <w:name w:val="heading 5"/>
    <w:basedOn w:val="a"/>
    <w:next w:val="a"/>
    <w:link w:val="50"/>
    <w:uiPriority w:val="99"/>
    <w:qFormat/>
    <w:pPr>
      <w:keepNext/>
      <w:keepLines/>
      <w:spacing w:before="80" w:after="40"/>
      <w:outlineLvl w:val="4"/>
    </w:pPr>
    <w:rPr>
      <w:color w:val="0F4761"/>
      <w:sz w:val="24"/>
      <w:szCs w:val="24"/>
    </w:rPr>
  </w:style>
  <w:style w:type="paragraph" w:styleId="6">
    <w:name w:val="heading 6"/>
    <w:basedOn w:val="a"/>
    <w:next w:val="a"/>
    <w:link w:val="60"/>
    <w:uiPriority w:val="99"/>
    <w:qFormat/>
    <w:pPr>
      <w:keepNext/>
      <w:keepLines/>
      <w:spacing w:before="40" w:after="0"/>
      <w:outlineLvl w:val="5"/>
    </w:pPr>
    <w:rPr>
      <w:b/>
      <w:bCs/>
      <w:color w:val="0F4761"/>
    </w:rPr>
  </w:style>
  <w:style w:type="paragraph" w:styleId="7">
    <w:name w:val="heading 7"/>
    <w:basedOn w:val="a"/>
    <w:next w:val="a"/>
    <w:link w:val="70"/>
    <w:uiPriority w:val="99"/>
    <w:qFormat/>
    <w:pPr>
      <w:keepNext/>
      <w:keepLines/>
      <w:spacing w:before="40" w:after="0"/>
      <w:outlineLvl w:val="6"/>
    </w:pPr>
    <w:rPr>
      <w:b/>
      <w:bCs/>
      <w:color w:val="595959"/>
    </w:rPr>
  </w:style>
  <w:style w:type="paragraph" w:styleId="8">
    <w:name w:val="heading 8"/>
    <w:basedOn w:val="a"/>
    <w:next w:val="a"/>
    <w:link w:val="80"/>
    <w:uiPriority w:val="99"/>
    <w:qFormat/>
    <w:pPr>
      <w:keepNext/>
      <w:keepLines/>
      <w:spacing w:after="0"/>
      <w:outlineLvl w:val="7"/>
    </w:pPr>
    <w:rPr>
      <w:color w:val="595959"/>
    </w:rPr>
  </w:style>
  <w:style w:type="paragraph" w:styleId="9">
    <w:name w:val="heading 9"/>
    <w:basedOn w:val="a"/>
    <w:next w:val="a"/>
    <w:link w:val="90"/>
    <w:uiPriority w:val="99"/>
    <w:qFormat/>
    <w:pPr>
      <w:keepNext/>
      <w:keepLines/>
      <w:spacing w:after="0"/>
      <w:outlineLvl w:val="8"/>
    </w:pPr>
    <w:rPr>
      <w:rFonts w:eastAsia="等线 Light"/>
      <w:color w:val="59595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pPr>
      <w:autoSpaceDE w:val="0"/>
      <w:autoSpaceDN w:val="0"/>
      <w:spacing w:after="0" w:line="240" w:lineRule="auto"/>
      <w:ind w:left="151"/>
    </w:pPr>
    <w:rPr>
      <w:rFonts w:ascii="仿宋" w:eastAsia="仿宋" w:hAnsi="仿宋" w:cs="仿宋"/>
      <w:kern w:val="0"/>
      <w:sz w:val="32"/>
      <w:szCs w:val="32"/>
    </w:rPr>
  </w:style>
  <w:style w:type="paragraph" w:styleId="a5">
    <w:name w:val="footer"/>
    <w:basedOn w:val="a"/>
    <w:link w:val="a6"/>
    <w:uiPriority w:val="99"/>
    <w:qFormat/>
    <w:pPr>
      <w:tabs>
        <w:tab w:val="center" w:pos="4153"/>
        <w:tab w:val="right" w:pos="8306"/>
      </w:tabs>
      <w:snapToGrid w:val="0"/>
      <w:spacing w:line="240" w:lineRule="auto"/>
    </w:pPr>
    <w:rPr>
      <w:sz w:val="18"/>
      <w:szCs w:val="18"/>
    </w:rPr>
  </w:style>
  <w:style w:type="paragraph" w:styleId="a7">
    <w:name w:val="Subtitle"/>
    <w:basedOn w:val="a"/>
    <w:next w:val="a"/>
    <w:link w:val="a8"/>
    <w:uiPriority w:val="99"/>
    <w:qFormat/>
    <w:pPr>
      <w:jc w:val="center"/>
    </w:pPr>
    <w:rPr>
      <w:rFonts w:ascii="等线 Light" w:eastAsia="等线 Light" w:hAnsi="等线 Light" w:cs="等线 Light"/>
      <w:color w:val="595959"/>
      <w:spacing w:val="15"/>
      <w:sz w:val="28"/>
      <w:szCs w:val="28"/>
    </w:rPr>
  </w:style>
  <w:style w:type="paragraph" w:styleId="a9">
    <w:name w:val="Title"/>
    <w:basedOn w:val="a"/>
    <w:next w:val="a"/>
    <w:link w:val="aa"/>
    <w:uiPriority w:val="99"/>
    <w:qFormat/>
    <w:pPr>
      <w:spacing w:after="80" w:line="240" w:lineRule="auto"/>
      <w:jc w:val="center"/>
    </w:pPr>
    <w:rPr>
      <w:rFonts w:ascii="等线 Light" w:eastAsia="等线 Light" w:hAnsi="等线 Light" w:cs="等线 Light"/>
      <w:spacing w:val="-10"/>
      <w:kern w:val="28"/>
      <w:sz w:val="56"/>
      <w:szCs w:val="56"/>
    </w:rPr>
  </w:style>
  <w:style w:type="character" w:styleId="ab">
    <w:name w:val="page number"/>
    <w:basedOn w:val="a0"/>
    <w:uiPriority w:val="99"/>
    <w:qFormat/>
  </w:style>
  <w:style w:type="character" w:customStyle="1" w:styleId="10">
    <w:name w:val="标题 1 字符"/>
    <w:basedOn w:val="a0"/>
    <w:link w:val="1"/>
    <w:uiPriority w:val="99"/>
    <w:qFormat/>
    <w:locked/>
    <w:rPr>
      <w:rFonts w:ascii="等线 Light" w:eastAsia="等线 Light" w:hAnsi="等线 Light" w:cs="等线 Light"/>
      <w:color w:val="0F4761"/>
      <w:sz w:val="48"/>
      <w:szCs w:val="48"/>
    </w:rPr>
  </w:style>
  <w:style w:type="character" w:customStyle="1" w:styleId="20">
    <w:name w:val="标题 2 字符"/>
    <w:basedOn w:val="a0"/>
    <w:link w:val="2"/>
    <w:uiPriority w:val="99"/>
    <w:semiHidden/>
    <w:locked/>
    <w:rPr>
      <w:rFonts w:ascii="等线 Light" w:eastAsia="等线 Light" w:hAnsi="等线 Light" w:cs="等线 Light"/>
      <w:color w:val="0F4761"/>
      <w:sz w:val="40"/>
      <w:szCs w:val="40"/>
    </w:rPr>
  </w:style>
  <w:style w:type="character" w:customStyle="1" w:styleId="30">
    <w:name w:val="标题 3 字符"/>
    <w:basedOn w:val="a0"/>
    <w:link w:val="3"/>
    <w:uiPriority w:val="99"/>
    <w:semiHidden/>
    <w:qFormat/>
    <w:locked/>
    <w:rPr>
      <w:rFonts w:ascii="等线 Light" w:eastAsia="等线 Light" w:hAnsi="等线 Light" w:cs="等线 Light"/>
      <w:color w:val="0F4761"/>
      <w:sz w:val="32"/>
      <w:szCs w:val="32"/>
    </w:rPr>
  </w:style>
  <w:style w:type="character" w:customStyle="1" w:styleId="40">
    <w:name w:val="标题 4 字符"/>
    <w:basedOn w:val="a0"/>
    <w:link w:val="4"/>
    <w:uiPriority w:val="99"/>
    <w:semiHidden/>
    <w:qFormat/>
    <w:locked/>
    <w:rPr>
      <w:color w:val="0F4761"/>
      <w:sz w:val="28"/>
      <w:szCs w:val="28"/>
    </w:rPr>
  </w:style>
  <w:style w:type="character" w:customStyle="1" w:styleId="50">
    <w:name w:val="标题 5 字符"/>
    <w:basedOn w:val="a0"/>
    <w:link w:val="5"/>
    <w:uiPriority w:val="99"/>
    <w:semiHidden/>
    <w:locked/>
    <w:rPr>
      <w:color w:val="0F4761"/>
      <w:sz w:val="24"/>
      <w:szCs w:val="24"/>
    </w:rPr>
  </w:style>
  <w:style w:type="character" w:customStyle="1" w:styleId="60">
    <w:name w:val="标题 6 字符"/>
    <w:basedOn w:val="a0"/>
    <w:link w:val="6"/>
    <w:uiPriority w:val="99"/>
    <w:semiHidden/>
    <w:qFormat/>
    <w:locked/>
    <w:rPr>
      <w:b/>
      <w:bCs/>
      <w:color w:val="0F4761"/>
    </w:rPr>
  </w:style>
  <w:style w:type="character" w:customStyle="1" w:styleId="70">
    <w:name w:val="标题 7 字符"/>
    <w:basedOn w:val="a0"/>
    <w:link w:val="7"/>
    <w:uiPriority w:val="99"/>
    <w:semiHidden/>
    <w:locked/>
    <w:rPr>
      <w:b/>
      <w:bCs/>
      <w:color w:val="595959"/>
    </w:rPr>
  </w:style>
  <w:style w:type="character" w:customStyle="1" w:styleId="80">
    <w:name w:val="标题 8 字符"/>
    <w:basedOn w:val="a0"/>
    <w:link w:val="8"/>
    <w:uiPriority w:val="99"/>
    <w:semiHidden/>
    <w:locked/>
    <w:rPr>
      <w:color w:val="595959"/>
    </w:rPr>
  </w:style>
  <w:style w:type="character" w:customStyle="1" w:styleId="90">
    <w:name w:val="标题 9 字符"/>
    <w:basedOn w:val="a0"/>
    <w:link w:val="9"/>
    <w:uiPriority w:val="99"/>
    <w:semiHidden/>
    <w:locked/>
    <w:rPr>
      <w:rFonts w:eastAsia="等线 Light"/>
      <w:color w:val="595959"/>
    </w:rPr>
  </w:style>
  <w:style w:type="character" w:customStyle="1" w:styleId="a4">
    <w:name w:val="正文文本 字符"/>
    <w:basedOn w:val="a0"/>
    <w:link w:val="a3"/>
    <w:uiPriority w:val="99"/>
    <w:locked/>
    <w:rPr>
      <w:rFonts w:ascii="仿宋" w:eastAsia="仿宋" w:hAnsi="仿宋" w:cs="仿宋"/>
      <w:kern w:val="0"/>
      <w:sz w:val="32"/>
      <w:szCs w:val="32"/>
    </w:rPr>
  </w:style>
  <w:style w:type="character" w:customStyle="1" w:styleId="a8">
    <w:name w:val="副标题 字符"/>
    <w:basedOn w:val="a0"/>
    <w:link w:val="a7"/>
    <w:uiPriority w:val="99"/>
    <w:locked/>
    <w:rPr>
      <w:rFonts w:ascii="等线 Light" w:eastAsia="等线 Light" w:hAnsi="等线 Light" w:cs="等线 Light"/>
      <w:color w:val="595959"/>
      <w:spacing w:val="15"/>
      <w:sz w:val="28"/>
      <w:szCs w:val="28"/>
    </w:rPr>
  </w:style>
  <w:style w:type="character" w:customStyle="1" w:styleId="aa">
    <w:name w:val="标题 字符"/>
    <w:basedOn w:val="a0"/>
    <w:link w:val="a9"/>
    <w:uiPriority w:val="99"/>
    <w:locked/>
    <w:rPr>
      <w:rFonts w:ascii="等线 Light" w:eastAsia="等线 Light" w:hAnsi="等线 Light" w:cs="等线 Light"/>
      <w:spacing w:val="-10"/>
      <w:kern w:val="28"/>
      <w:sz w:val="56"/>
      <w:szCs w:val="56"/>
    </w:rPr>
  </w:style>
  <w:style w:type="paragraph" w:styleId="ac">
    <w:name w:val="Quote"/>
    <w:basedOn w:val="a"/>
    <w:next w:val="a"/>
    <w:link w:val="ad"/>
    <w:uiPriority w:val="99"/>
    <w:qFormat/>
    <w:pPr>
      <w:spacing w:before="160"/>
      <w:jc w:val="center"/>
    </w:pPr>
    <w:rPr>
      <w:i/>
      <w:iCs/>
      <w:color w:val="404040"/>
    </w:rPr>
  </w:style>
  <w:style w:type="character" w:customStyle="1" w:styleId="ad">
    <w:name w:val="引用 字符"/>
    <w:basedOn w:val="a0"/>
    <w:link w:val="ac"/>
    <w:uiPriority w:val="99"/>
    <w:locked/>
    <w:rPr>
      <w:i/>
      <w:iCs/>
      <w:color w:val="404040"/>
    </w:rPr>
  </w:style>
  <w:style w:type="paragraph" w:styleId="ae">
    <w:name w:val="List Paragraph"/>
    <w:basedOn w:val="a"/>
    <w:uiPriority w:val="99"/>
    <w:qFormat/>
    <w:pPr>
      <w:ind w:left="720"/>
    </w:pPr>
  </w:style>
  <w:style w:type="character" w:customStyle="1" w:styleId="IntenseEmphasis1">
    <w:name w:val="Intense Emphasis1"/>
    <w:basedOn w:val="a0"/>
    <w:uiPriority w:val="99"/>
    <w:rPr>
      <w:i/>
      <w:iCs/>
      <w:color w:val="0F4761"/>
    </w:rPr>
  </w:style>
  <w:style w:type="paragraph" w:styleId="af">
    <w:name w:val="Intense Quote"/>
    <w:basedOn w:val="a"/>
    <w:next w:val="a"/>
    <w:link w:val="af0"/>
    <w:uiPriority w:val="99"/>
    <w:qFormat/>
    <w:pPr>
      <w:pBdr>
        <w:top w:val="single" w:sz="4" w:space="10" w:color="0F4761"/>
        <w:bottom w:val="single" w:sz="4" w:space="10" w:color="0F4761"/>
      </w:pBdr>
      <w:spacing w:before="360" w:after="360"/>
      <w:ind w:left="864" w:right="864"/>
      <w:jc w:val="center"/>
    </w:pPr>
    <w:rPr>
      <w:i/>
      <w:iCs/>
      <w:color w:val="0F4761"/>
    </w:rPr>
  </w:style>
  <w:style w:type="character" w:customStyle="1" w:styleId="af0">
    <w:name w:val="明显引用 字符"/>
    <w:basedOn w:val="a0"/>
    <w:link w:val="af"/>
    <w:uiPriority w:val="99"/>
    <w:locked/>
    <w:rPr>
      <w:i/>
      <w:iCs/>
      <w:color w:val="0F4761"/>
    </w:rPr>
  </w:style>
  <w:style w:type="character" w:customStyle="1" w:styleId="IntenseReference1">
    <w:name w:val="Intense Reference1"/>
    <w:basedOn w:val="a0"/>
    <w:uiPriority w:val="99"/>
    <w:rPr>
      <w:b/>
      <w:bCs/>
      <w:smallCaps/>
      <w:color w:val="0F4761"/>
      <w:spacing w:val="5"/>
    </w:rPr>
  </w:style>
  <w:style w:type="character" w:customStyle="1" w:styleId="a6">
    <w:name w:val="页脚 字符"/>
    <w:basedOn w:val="a0"/>
    <w:link w:val="a5"/>
    <w:uiPriority w:val="99"/>
    <w:semiHidden/>
    <w:rPr>
      <w:rFonts w:cs="等线"/>
      <w:sz w:val="18"/>
      <w:szCs w:val="18"/>
    </w:rPr>
  </w:style>
  <w:style w:type="paragraph" w:styleId="af1">
    <w:name w:val="header"/>
    <w:basedOn w:val="a"/>
    <w:link w:val="af2"/>
    <w:uiPriority w:val="99"/>
    <w:unhideWhenUsed/>
    <w:rsid w:val="00A35941"/>
    <w:pPr>
      <w:pBdr>
        <w:bottom w:val="single" w:sz="6" w:space="1" w:color="auto"/>
      </w:pBdr>
      <w:tabs>
        <w:tab w:val="center" w:pos="4153"/>
        <w:tab w:val="right" w:pos="8306"/>
      </w:tabs>
      <w:snapToGrid w:val="0"/>
      <w:spacing w:line="240" w:lineRule="auto"/>
      <w:jc w:val="center"/>
    </w:pPr>
    <w:rPr>
      <w:sz w:val="18"/>
      <w:szCs w:val="18"/>
    </w:rPr>
  </w:style>
  <w:style w:type="character" w:customStyle="1" w:styleId="af2">
    <w:name w:val="页眉 字符"/>
    <w:basedOn w:val="a0"/>
    <w:link w:val="af1"/>
    <w:uiPriority w:val="99"/>
    <w:rsid w:val="00A35941"/>
    <w:rPr>
      <w:rFonts w:cs="等线"/>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9</Pages>
  <Words>672</Words>
  <Characters>3834</Characters>
  <Application>Microsoft Office Word</Application>
  <DocSecurity>0</DocSecurity>
  <Lines>31</Lines>
  <Paragraphs>8</Paragraphs>
  <ScaleCrop>false</ScaleCrop>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贶 高</dc:creator>
  <cp:lastModifiedBy>admin</cp:lastModifiedBy>
  <cp:revision>9</cp:revision>
  <dcterms:created xsi:type="dcterms:W3CDTF">2025-07-21T09:44:00Z</dcterms:created>
  <dcterms:modified xsi:type="dcterms:W3CDTF">2025-07-24T07:38:00Z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eyJoZGlkIjoiZmM2MTRkMDgyZTMxNGQwYmY5NjNkZWY5NTc1OTkyZWUifQ==</vt:lpwstr>
  </property>
  <property fmtid="{D5CDD505-2E9C-101B-9397-08002B2CF9AE}" pid="3" name="KSOProductBuildVer">
    <vt:lpwstr>2052-10.8.2.7090</vt:lpwstr>
  </property>
  <property fmtid="{D5CDD505-2E9C-101B-9397-08002B2CF9AE}" pid="4" name="ICV">
    <vt:lpwstr>4D834C0152864874B609FF057D14AB3B_13</vt:lpwstr>
  </property>
</Properties>
</file>