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6</w:t>
      </w:r>
      <w:r>
        <w:rPr>
          <w:rFonts w:hint="eastAsia" w:ascii="方正小标宋简体" w:hAnsi="方正小标宋简体" w:eastAsia="方正小标宋简体" w:cs="方正小标宋简体"/>
          <w:sz w:val="44"/>
          <w:szCs w:val="44"/>
        </w:rPr>
        <w:t>年常州市安抚奶嘴产品</w:t>
      </w:r>
    </w:p>
    <w:p>
      <w:pPr>
        <w:spacing w:line="57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质量监督抽查实施细则</w:t>
      </w:r>
    </w:p>
    <w:p>
      <w:pPr>
        <w:spacing w:line="570" w:lineRule="exact"/>
        <w:ind w:firstLine="640" w:firstLineChars="200"/>
        <w:rPr>
          <w:rFonts w:ascii="黑体" w:hAnsi="黑体" w:eastAsia="黑体" w:cs="仿宋_GB2312"/>
          <w:color w:val="000000"/>
          <w:sz w:val="32"/>
          <w:szCs w:val="32"/>
        </w:rPr>
      </w:pPr>
      <w:r>
        <w:rPr>
          <w:rFonts w:ascii="黑体" w:hAnsi="黑体" w:eastAsia="黑体"/>
          <w:color w:val="000000"/>
          <w:sz w:val="32"/>
          <w:szCs w:val="32"/>
        </w:rPr>
        <w:t>1</w:t>
      </w:r>
      <w:r>
        <w:rPr>
          <w:rFonts w:hint="eastAsia" w:ascii="黑体" w:hAnsi="黑体" w:eastAsia="黑体" w:cs="仿宋_GB2312"/>
          <w:color w:val="000000"/>
          <w:sz w:val="32"/>
          <w:szCs w:val="32"/>
        </w:rPr>
        <w:t>.范围</w:t>
      </w:r>
    </w:p>
    <w:p>
      <w:pPr>
        <w:spacing w:line="57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本细则适用于常州市市场监督管理局组织的安抚奶嘴产品市级监督抽查。本细则规定了此产品的抽样方法、检验依据、检验项目、检验方法、判定原则、异议处理及复检。</w:t>
      </w:r>
    </w:p>
    <w:p>
      <w:pPr>
        <w:overflowPunct w:val="0"/>
        <w:autoSpaceDE w:val="0"/>
        <w:autoSpaceDN w:val="0"/>
        <w:adjustRightInd w:val="0"/>
        <w:snapToGrid w:val="0"/>
        <w:spacing w:line="570" w:lineRule="exact"/>
        <w:ind w:firstLine="640" w:firstLineChars="200"/>
        <w:rPr>
          <w:rFonts w:ascii="黑体" w:hAnsi="黑体" w:eastAsia="黑体" w:cs="仿宋_GB2312"/>
          <w:color w:val="000000"/>
          <w:sz w:val="32"/>
          <w:szCs w:val="32"/>
        </w:rPr>
      </w:pPr>
      <w:r>
        <w:rPr>
          <w:rFonts w:eastAsia="黑体"/>
          <w:color w:val="000000"/>
          <w:sz w:val="32"/>
          <w:szCs w:val="32"/>
        </w:rPr>
        <w:t>2</w:t>
      </w:r>
      <w:r>
        <w:rPr>
          <w:rFonts w:hint="eastAsia" w:ascii="黑体" w:hAnsi="黑体" w:eastAsia="黑体" w:cs="仿宋_GB2312"/>
          <w:color w:val="000000"/>
          <w:sz w:val="32"/>
          <w:szCs w:val="32"/>
        </w:rPr>
        <w:t>.抽样方法</w:t>
      </w:r>
    </w:p>
    <w:p>
      <w:pPr>
        <w:spacing w:line="570" w:lineRule="exact"/>
        <w:ind w:firstLine="640" w:firstLineChars="200"/>
        <w:rPr>
          <w:rFonts w:hint="eastAsia" w:ascii="仿宋_GB2312" w:hAnsi="方正仿宋_GB2312" w:eastAsia="仿宋_GB2312" w:cs="方正仿宋_GB2312"/>
          <w:color w:val="000000"/>
          <w:kern w:val="0"/>
          <w:sz w:val="32"/>
          <w:szCs w:val="32"/>
        </w:rPr>
      </w:pPr>
      <w:r>
        <w:rPr>
          <w:rFonts w:hint="eastAsia" w:ascii="仿宋_GB2312" w:hAnsi="方正仿宋_GB2312" w:eastAsia="仿宋_GB2312" w:cs="方正仿宋_GB2312"/>
          <w:color w:val="000000"/>
          <w:kern w:val="0"/>
          <w:sz w:val="32"/>
          <w:szCs w:val="32"/>
        </w:rPr>
        <w:t>在生产企业、实体店抽样时，</w:t>
      </w:r>
      <w:r>
        <w:rPr>
          <w:rFonts w:hint="eastAsia" w:ascii="仿宋_GB2312" w:hAnsi="方正仿宋_GB2312" w:eastAsia="仿宋_GB2312" w:cs="方正仿宋_GB2312"/>
          <w:sz w:val="32"/>
          <w:szCs w:val="32"/>
        </w:rPr>
        <w:t>在待销产品中随机抽取</w:t>
      </w:r>
      <w:r>
        <w:rPr>
          <w:rFonts w:hint="eastAsia" w:ascii="仿宋_GB2312" w:hAnsi="方正仿宋_GB2312" w:eastAsia="仿宋_GB2312" w:cs="方正仿宋_GB2312"/>
          <w:color w:val="000000"/>
          <w:kern w:val="0"/>
          <w:sz w:val="32"/>
          <w:szCs w:val="32"/>
        </w:rPr>
        <w:t>。</w:t>
      </w:r>
      <w:r>
        <w:rPr>
          <w:rFonts w:hint="eastAsia" w:ascii="仿宋_GB2312" w:hAnsi="方正仿宋_GB2312" w:eastAsia="仿宋_GB2312" w:cs="方正仿宋_GB2312"/>
          <w:kern w:val="0"/>
          <w:sz w:val="32"/>
          <w:szCs w:val="32"/>
        </w:rPr>
        <w:t>样品数量为</w:t>
      </w:r>
      <w:r>
        <w:rPr>
          <w:rFonts w:hint="eastAsia" w:eastAsia="仿宋_GB2312"/>
          <w:color w:val="000000"/>
          <w:sz w:val="32"/>
          <w:szCs w:val="32"/>
        </w:rPr>
        <w:t>6</w:t>
      </w:r>
      <w:r>
        <w:rPr>
          <w:rFonts w:hint="eastAsia" w:ascii="仿宋_GB2312" w:hAnsi="方正仿宋_GB2312" w:eastAsia="仿宋_GB2312" w:cs="方正仿宋_GB2312"/>
          <w:kern w:val="0"/>
          <w:sz w:val="32"/>
          <w:szCs w:val="32"/>
        </w:rPr>
        <w:t>个，其中</w:t>
      </w:r>
      <w:r>
        <w:rPr>
          <w:rFonts w:hint="eastAsia" w:eastAsia="仿宋_GB2312"/>
          <w:color w:val="000000"/>
          <w:sz w:val="32"/>
          <w:szCs w:val="32"/>
        </w:rPr>
        <w:t>4</w:t>
      </w:r>
      <w:r>
        <w:rPr>
          <w:rFonts w:hint="eastAsia" w:ascii="仿宋_GB2312" w:hAnsi="方正仿宋_GB2312" w:eastAsia="仿宋_GB2312" w:cs="方正仿宋_GB2312"/>
          <w:kern w:val="0"/>
          <w:sz w:val="32"/>
          <w:szCs w:val="32"/>
        </w:rPr>
        <w:t>个为检验样品，另外</w:t>
      </w:r>
      <w:r>
        <w:rPr>
          <w:rFonts w:hint="eastAsia" w:eastAsia="仿宋_GB2312"/>
          <w:color w:val="000000"/>
          <w:sz w:val="32"/>
          <w:szCs w:val="32"/>
        </w:rPr>
        <w:t>2</w:t>
      </w:r>
      <w:r>
        <w:rPr>
          <w:rFonts w:hint="eastAsia" w:ascii="仿宋_GB2312" w:hAnsi="方正仿宋_GB2312" w:eastAsia="仿宋_GB2312" w:cs="方正仿宋_GB2312"/>
          <w:kern w:val="0"/>
          <w:sz w:val="32"/>
          <w:szCs w:val="32"/>
        </w:rPr>
        <w:t>个为备用样品。</w:t>
      </w:r>
      <w:r>
        <w:rPr>
          <w:rFonts w:hint="eastAsia" w:ascii="仿宋_GB2312" w:hAnsi="方正仿宋_GB2312" w:eastAsia="仿宋_GB2312" w:cs="方正仿宋_GB2312"/>
          <w:color w:val="000000"/>
          <w:kern w:val="0"/>
          <w:sz w:val="32"/>
          <w:szCs w:val="32"/>
        </w:rPr>
        <w:t>抽样基数满足抽样数量即可，</w:t>
      </w:r>
      <w:r>
        <w:rPr>
          <w:rFonts w:hint="eastAsia" w:ascii="仿宋_GB2312" w:hAnsi="方正仿宋_GB2312" w:eastAsia="仿宋_GB2312" w:cs="方正仿宋_GB2312"/>
          <w:sz w:val="32"/>
          <w:szCs w:val="32"/>
        </w:rPr>
        <w:t>抽取的备样封存于经营者门店。</w:t>
      </w:r>
    </w:p>
    <w:p>
      <w:pPr>
        <w:spacing w:line="570" w:lineRule="exact"/>
        <w:ind w:firstLine="640" w:firstLineChars="200"/>
        <w:rPr>
          <w:rFonts w:eastAsia="仿宋_GB2312"/>
          <w:sz w:val="32"/>
          <w:szCs w:val="32"/>
        </w:rPr>
      </w:pPr>
      <w:r>
        <w:rPr>
          <w:rFonts w:hint="eastAsia" w:ascii="仿宋_GB2312" w:hAnsi="方正仿宋_GB2312" w:eastAsia="仿宋_GB2312" w:cs="方正仿宋_GB2312"/>
          <w:color w:val="000000"/>
          <w:sz w:val="32"/>
          <w:szCs w:val="32"/>
        </w:rPr>
        <w:t>抽样工作由承检机构不少于</w:t>
      </w:r>
      <w:r>
        <w:rPr>
          <w:rFonts w:hint="eastAsia" w:eastAsia="仿宋_GB2312"/>
          <w:color w:val="000000"/>
          <w:sz w:val="32"/>
          <w:szCs w:val="32"/>
        </w:rPr>
        <w:t>2</w:t>
      </w:r>
      <w:r>
        <w:rPr>
          <w:rFonts w:hint="eastAsia" w:ascii="仿宋_GB2312" w:hAnsi="方正仿宋_GB2312" w:eastAsia="仿宋_GB2312" w:cs="方正仿宋_GB2312"/>
          <w:color w:val="000000"/>
          <w:sz w:val="32"/>
          <w:szCs w:val="32"/>
        </w:rPr>
        <w:t>名工作人员共同完成。</w:t>
      </w:r>
      <w:r>
        <w:rPr>
          <w:rFonts w:hint="eastAsia" w:ascii="仿宋_GB2312" w:hAnsi="方正仿宋_GB2312" w:eastAsia="仿宋_GB2312" w:cs="方正仿宋_GB2312"/>
          <w:color w:val="000000"/>
          <w:kern w:val="0"/>
          <w:sz w:val="32"/>
          <w:szCs w:val="32"/>
        </w:rPr>
        <w:t>抽取的样品必须经受检单位确认。</w:t>
      </w:r>
      <w:r>
        <w:rPr>
          <w:rFonts w:hint="eastAsia" w:ascii="仿宋_GB2312" w:hAnsi="方正仿宋_GB2312" w:eastAsia="仿宋_GB2312" w:cs="方正仿宋_GB2312"/>
          <w:sz w:val="32"/>
          <w:szCs w:val="32"/>
        </w:rPr>
        <w:t>抽样过程需拍照或</w:t>
      </w:r>
      <w:r>
        <w:rPr>
          <w:rFonts w:hint="eastAsia" w:ascii="仿宋_GB2312" w:eastAsia="仿宋_GB2312"/>
          <w:sz w:val="32"/>
          <w:szCs w:val="32"/>
        </w:rPr>
        <w:t>录</w:t>
      </w:r>
      <w:r>
        <w:rPr>
          <w:rFonts w:hint="eastAsia" w:eastAsia="仿宋_GB2312"/>
          <w:sz w:val="32"/>
          <w:szCs w:val="32"/>
        </w:rPr>
        <w:t>像留证，</w:t>
      </w:r>
      <w:r>
        <w:rPr>
          <w:rFonts w:hint="eastAsia" w:ascii="仿宋_GB2312" w:hAnsi="仿宋" w:eastAsia="仿宋_GB2312" w:cs="宋体"/>
          <w:color w:val="000000"/>
          <w:kern w:val="0"/>
          <w:sz w:val="32"/>
          <w:szCs w:val="32"/>
        </w:rPr>
        <w:t>样品一经抽取，应立即封样，且不允许调换。</w:t>
      </w:r>
      <w:r>
        <w:rPr>
          <w:rFonts w:hint="eastAsia" w:eastAsia="仿宋_GB2312"/>
          <w:sz w:val="32"/>
          <w:szCs w:val="32"/>
        </w:rPr>
        <w:t>检验样品和备用样品应分别加贴封条，封条要有抽样人员和被检企业代表共同签字，并对检验和备用样品分别加贴相应标识。</w:t>
      </w:r>
    </w:p>
    <w:p>
      <w:pPr>
        <w:spacing w:line="570" w:lineRule="exact"/>
        <w:ind w:firstLine="640" w:firstLineChars="200"/>
        <w:rPr>
          <w:rFonts w:ascii="黑体" w:hAnsi="黑体" w:eastAsia="黑体" w:cs="黑体"/>
          <w:bCs/>
          <w:sz w:val="32"/>
          <w:szCs w:val="32"/>
        </w:rPr>
      </w:pPr>
      <w:r>
        <w:rPr>
          <w:rFonts w:ascii="黑体" w:hAnsi="黑体" w:eastAsia="黑体"/>
          <w:color w:val="000000"/>
          <w:sz w:val="32"/>
          <w:szCs w:val="32"/>
        </w:rPr>
        <w:t>3</w:t>
      </w:r>
      <w:r>
        <w:rPr>
          <w:rFonts w:hint="eastAsia" w:ascii="黑体" w:hAnsi="黑体" w:eastAsia="黑体" w:cs="仿宋_GB2312"/>
          <w:color w:val="000000"/>
          <w:sz w:val="32"/>
          <w:szCs w:val="32"/>
        </w:rPr>
        <w:t>.检验依据</w:t>
      </w:r>
      <w:r>
        <w:rPr>
          <w:rFonts w:hint="eastAsia" w:ascii="黑体" w:hAnsi="黑体" w:eastAsia="黑体" w:cs="黑体"/>
          <w:bCs/>
          <w:sz w:val="32"/>
          <w:szCs w:val="32"/>
        </w:rPr>
        <w:t>及检测项目</w:t>
      </w:r>
    </w:p>
    <w:p>
      <w:pPr>
        <w:keepNext/>
        <w:spacing w:line="570" w:lineRule="exact"/>
        <w:ind w:firstLine="640" w:firstLineChars="200"/>
        <w:jc w:val="center"/>
        <w:rPr>
          <w:rFonts w:eastAsia="仿宋_GB2312"/>
          <w:color w:val="000000"/>
          <w:sz w:val="32"/>
          <w:szCs w:val="32"/>
        </w:rPr>
      </w:pPr>
      <w:r>
        <w:rPr>
          <w:rFonts w:hint="eastAsia" w:eastAsia="仿宋_GB2312"/>
          <w:color w:val="000000"/>
          <w:sz w:val="32"/>
          <w:szCs w:val="32"/>
        </w:rPr>
        <w:t>表1安抚奶嘴</w:t>
      </w:r>
    </w:p>
    <w:tbl>
      <w:tblPr>
        <w:tblStyle w:val="10"/>
        <w:tblW w:w="8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2572"/>
        <w:gridCol w:w="2615"/>
        <w:gridCol w:w="2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60" w:type="dxa"/>
            <w:noWrap/>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序号</w:t>
            </w:r>
          </w:p>
        </w:tc>
        <w:tc>
          <w:tcPr>
            <w:tcW w:w="2572" w:type="dxa"/>
            <w:noWrap/>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检验项目</w:t>
            </w:r>
          </w:p>
        </w:tc>
        <w:tc>
          <w:tcPr>
            <w:tcW w:w="2615" w:type="dxa"/>
            <w:noWrap/>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检验依据</w:t>
            </w:r>
          </w:p>
        </w:tc>
        <w:tc>
          <w:tcPr>
            <w:tcW w:w="2459" w:type="dxa"/>
            <w:noWrap/>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60" w:type="dxa"/>
            <w:noWrap/>
            <w:vAlign w:val="center"/>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1</w:t>
            </w:r>
          </w:p>
        </w:tc>
        <w:tc>
          <w:tcPr>
            <w:tcW w:w="2572" w:type="dxa"/>
            <w:noWrap/>
            <w:vAlign w:val="center"/>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特定元素迁移（锑、砷、钡、镉、铅、铬、汞、硒)</w:t>
            </w:r>
          </w:p>
        </w:tc>
        <w:tc>
          <w:tcPr>
            <w:tcW w:w="2615" w:type="dxa"/>
            <w:noWrap/>
            <w:vAlign w:val="center"/>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GB 28482-2012</w:t>
            </w:r>
          </w:p>
        </w:tc>
        <w:tc>
          <w:tcPr>
            <w:tcW w:w="2459" w:type="dxa"/>
            <w:noWrap/>
            <w:vAlign w:val="center"/>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GB 28482-2012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noWrap/>
            <w:vAlign w:val="center"/>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2</w:t>
            </w:r>
          </w:p>
        </w:tc>
        <w:tc>
          <w:tcPr>
            <w:tcW w:w="2572" w:type="dxa"/>
            <w:noWrap/>
            <w:vAlign w:val="center"/>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挥发性化合物含量</w:t>
            </w:r>
          </w:p>
        </w:tc>
        <w:tc>
          <w:tcPr>
            <w:tcW w:w="2615" w:type="dxa"/>
            <w:noWrap/>
            <w:vAlign w:val="center"/>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GB 28482-2012</w:t>
            </w:r>
          </w:p>
        </w:tc>
        <w:tc>
          <w:tcPr>
            <w:tcW w:w="2459" w:type="dxa"/>
            <w:noWrap/>
            <w:vAlign w:val="center"/>
          </w:tcPr>
          <w:p>
            <w:pPr>
              <w:pStyle w:val="24"/>
              <w:spacing w:before="0" w:beforeAutospacing="0" w:after="0" w:afterAutospacing="0" w:line="570" w:lineRule="exact"/>
              <w:ind w:firstLine="0" w:firstLineChars="0"/>
              <w:jc w:val="center"/>
              <w:rPr>
                <w:rFonts w:ascii="Times New Roman" w:hAnsi="Times New Roman"/>
                <w:kern w:val="2"/>
              </w:rPr>
            </w:pPr>
            <w:r>
              <w:rPr>
                <w:rFonts w:hint="eastAsia" w:ascii="Times New Roman" w:hAnsi="Times New Roman"/>
                <w:kern w:val="2"/>
              </w:rPr>
              <w:t>GB 28482-2012</w:t>
            </w:r>
          </w:p>
        </w:tc>
      </w:tr>
    </w:tbl>
    <w:p>
      <w:pPr>
        <w:spacing w:line="570" w:lineRule="exact"/>
        <w:ind w:firstLine="640" w:firstLineChars="200"/>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检验方法包括相关产品标准及试验方法标准。</w:t>
      </w:r>
    </w:p>
    <w:p>
      <w:pPr>
        <w:spacing w:line="570" w:lineRule="exact"/>
        <w:ind w:firstLine="560"/>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凡是注日期的文件，其随后所有的修改单（不包括勘误的内容）或修订版不适用于本细则。凡是不注日期的文件，其最新版本适用于本细则。</w:t>
      </w:r>
    </w:p>
    <w:p>
      <w:pPr>
        <w:spacing w:line="570" w:lineRule="exact"/>
        <w:ind w:firstLine="640" w:firstLineChars="200"/>
        <w:rPr>
          <w:rFonts w:ascii="黑体" w:hAnsi="黑体" w:eastAsia="黑体" w:cs="仿宋_GB2312"/>
          <w:color w:val="000000"/>
          <w:sz w:val="32"/>
          <w:szCs w:val="32"/>
        </w:rPr>
      </w:pPr>
      <w:r>
        <w:rPr>
          <w:rFonts w:eastAsia="黑体"/>
          <w:color w:val="000000"/>
          <w:sz w:val="32"/>
          <w:szCs w:val="32"/>
        </w:rPr>
        <w:t>4</w:t>
      </w:r>
      <w:r>
        <w:rPr>
          <w:rFonts w:hint="eastAsia" w:ascii="黑体" w:hAnsi="黑体" w:eastAsia="黑体" w:cs="仿宋_GB2312"/>
          <w:color w:val="000000"/>
          <w:sz w:val="32"/>
          <w:szCs w:val="32"/>
        </w:rPr>
        <w:t>.判定规则</w:t>
      </w:r>
    </w:p>
    <w:p>
      <w:pPr>
        <w:spacing w:line="570" w:lineRule="exact"/>
        <w:ind w:firstLine="642" w:firstLineChars="200"/>
        <w:rPr>
          <w:rFonts w:ascii="楷体_GB2312" w:hAnsi="楷体" w:eastAsia="楷体_GB2312" w:cs="方正仿宋_GBK"/>
          <w:b/>
          <w:sz w:val="32"/>
          <w:szCs w:val="32"/>
        </w:rPr>
      </w:pPr>
      <w:r>
        <w:rPr>
          <w:rFonts w:hint="eastAsia" w:ascii="楷体_GB2312" w:eastAsia="楷体_GB2312"/>
          <w:b/>
          <w:sz w:val="32"/>
          <w:szCs w:val="32"/>
        </w:rPr>
        <w:t>4</w:t>
      </w:r>
      <w:r>
        <w:rPr>
          <w:rFonts w:hint="eastAsia" w:ascii="楷体_GB2312" w:hAnsi="楷体" w:eastAsia="楷体_GB2312" w:cs="方正仿宋_GBK"/>
          <w:b/>
          <w:sz w:val="32"/>
          <w:szCs w:val="32"/>
        </w:rPr>
        <w:t>.</w:t>
      </w:r>
      <w:r>
        <w:rPr>
          <w:rFonts w:hint="eastAsia" w:ascii="楷体_GB2312" w:eastAsia="楷体_GB2312"/>
          <w:b/>
          <w:sz w:val="32"/>
          <w:szCs w:val="32"/>
        </w:rPr>
        <w:t>1</w:t>
      </w:r>
      <w:r>
        <w:rPr>
          <w:rFonts w:hint="eastAsia" w:ascii="楷体_GB2312" w:hAnsi="楷体" w:eastAsia="楷体_GB2312" w:cs="方正仿宋_GBK"/>
          <w:b/>
          <w:sz w:val="32"/>
          <w:szCs w:val="32"/>
        </w:rPr>
        <w:t>依据标准</w:t>
      </w:r>
    </w:p>
    <w:p>
      <w:pPr>
        <w:widowControl/>
        <w:shd w:val="clear" w:color="auto" w:fill="FFFFFF"/>
        <w:spacing w:line="570" w:lineRule="exact"/>
        <w:ind w:firstLine="640" w:firstLineChars="200"/>
        <w:jc w:val="left"/>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GB 28482-2012《婴幼儿安抚奶嘴安全要求》</w:t>
      </w:r>
    </w:p>
    <w:p>
      <w:pPr>
        <w:widowControl/>
        <w:shd w:val="clear" w:color="auto" w:fill="FFFFFF"/>
        <w:spacing w:line="570" w:lineRule="exact"/>
        <w:ind w:firstLine="576"/>
        <w:jc w:val="left"/>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相关的法律法规、部门规章和规范经备案现行有效的企业标准及产品明示质量要求。</w:t>
      </w:r>
    </w:p>
    <w:p>
      <w:pPr>
        <w:spacing w:line="570" w:lineRule="exact"/>
        <w:ind w:firstLine="642" w:firstLineChars="200"/>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4.2判定原则</w:t>
      </w:r>
    </w:p>
    <w:p>
      <w:pPr>
        <w:spacing w:line="570" w:lineRule="exact"/>
        <w:ind w:firstLine="640" w:firstLineChars="200"/>
        <w:rPr>
          <w:rFonts w:hint="eastAsia" w:ascii="仿宋_GB2312" w:hAnsi="仿宋" w:eastAsia="仿宋_GB2312"/>
          <w:bCs/>
          <w:kern w:val="0"/>
          <w:sz w:val="32"/>
          <w:szCs w:val="32"/>
        </w:rPr>
      </w:pPr>
      <w:r>
        <w:rPr>
          <w:rFonts w:hint="eastAsia" w:ascii="仿宋_GB2312" w:hAnsi="仿宋" w:eastAsia="仿宋_GB2312"/>
          <w:bCs/>
          <w:kern w:val="0"/>
          <w:sz w:val="32"/>
          <w:szCs w:val="32"/>
        </w:rPr>
        <w:t>经检验，检验项目全部合格，判定为被抽查产品所检项目未发现不合格；检验项目中任一项或一项以上不合格，判定为被抽查产品不合格。</w:t>
      </w:r>
    </w:p>
    <w:p>
      <w:pPr>
        <w:spacing w:line="570" w:lineRule="exact"/>
        <w:ind w:firstLine="640" w:firstLineChars="200"/>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若被检产品明示的质量要求高于本细则中检验项目依据的标准要求时，应按被检产品明示的质量要求判定。</w:t>
      </w:r>
    </w:p>
    <w:p>
      <w:pPr>
        <w:spacing w:line="570" w:lineRule="exact"/>
        <w:ind w:firstLine="640" w:firstLineChars="200"/>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若被检产品明示的质量要求低于本细则中检验项目依据的强制性标准要求时，应按照强制性标准要求判定。</w:t>
      </w:r>
    </w:p>
    <w:p>
      <w:pPr>
        <w:spacing w:line="570" w:lineRule="exact"/>
        <w:ind w:firstLine="640" w:firstLineChars="200"/>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若被检产品明示的质量要求低于或包含本细则中检验项目依据的推荐性标准要求时，应以被检产品明示的质量要求判定。</w:t>
      </w:r>
    </w:p>
    <w:p>
      <w:pPr>
        <w:spacing w:line="570" w:lineRule="exact"/>
        <w:ind w:firstLine="640" w:firstLineChars="200"/>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若被检产品明示的质量要求缺少本细则中检验项目依据的强制性标准要求时，应按照强制性标准要求判定。</w:t>
      </w:r>
    </w:p>
    <w:p>
      <w:pPr>
        <w:spacing w:line="570" w:lineRule="exact"/>
        <w:ind w:firstLine="640" w:firstLineChars="200"/>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若被检产品明示的质量要求缺少本细则中检验项目依据的推荐性标准要求时，该项目不参与判定。</w:t>
      </w:r>
    </w:p>
    <w:p>
      <w:pPr>
        <w:spacing w:line="570" w:lineRule="exact"/>
        <w:ind w:firstLine="640" w:firstLineChars="200"/>
        <w:rPr>
          <w:rFonts w:hint="eastAsia" w:ascii="黑体" w:hAnsi="黑体" w:eastAsia="黑体"/>
          <w:sz w:val="32"/>
          <w:szCs w:val="32"/>
        </w:rPr>
      </w:pPr>
      <w:r>
        <w:rPr>
          <w:rFonts w:hint="eastAsia" w:ascii="黑体" w:hAnsi="黑体" w:eastAsia="黑体"/>
          <w:sz w:val="32"/>
          <w:szCs w:val="32"/>
        </w:rPr>
        <w:t>5.异议处理</w:t>
      </w:r>
    </w:p>
    <w:p>
      <w:pPr>
        <w:spacing w:line="570" w:lineRule="exact"/>
        <w:ind w:firstLine="640" w:firstLineChars="200"/>
        <w:rPr>
          <w:rFonts w:hint="eastAsia" w:ascii="仿宋_GB2312" w:eastAsia="仿宋_GB2312"/>
          <w:bCs/>
          <w:color w:val="000000"/>
          <w:sz w:val="32"/>
          <w:szCs w:val="32"/>
        </w:rPr>
      </w:pPr>
      <w:r>
        <w:rPr>
          <w:rFonts w:hint="eastAsia" w:eastAsia="方正仿宋_GBK"/>
          <w:sz w:val="32"/>
          <w:szCs w:val="32"/>
        </w:rPr>
        <w:t>5.1</w:t>
      </w:r>
      <w:r>
        <w:rPr>
          <w:rFonts w:hint="eastAsia" w:ascii="仿宋_GB2312" w:eastAsia="仿宋_GB2312"/>
          <w:bCs/>
          <w:color w:val="000000"/>
          <w:sz w:val="32"/>
          <w:szCs w:val="32"/>
        </w:rPr>
        <w:t>对监督抽查程序有异议的，由任务下达部门核查相关证据后维持或者撤销原检验结果。</w:t>
      </w:r>
    </w:p>
    <w:p>
      <w:pPr>
        <w:spacing w:line="570" w:lineRule="exact"/>
        <w:ind w:firstLine="640" w:firstLineChars="200"/>
        <w:rPr>
          <w:rFonts w:hint="eastAsia" w:ascii="仿宋_GB2312" w:eastAsia="仿宋_GB2312"/>
          <w:bCs/>
          <w:color w:val="000000"/>
          <w:sz w:val="32"/>
          <w:szCs w:val="32"/>
        </w:rPr>
      </w:pPr>
      <w:r>
        <w:rPr>
          <w:rFonts w:hint="eastAsia" w:eastAsia="方正仿宋_GBK"/>
          <w:sz w:val="32"/>
          <w:szCs w:val="32"/>
        </w:rPr>
        <w:t>5.2</w:t>
      </w:r>
      <w:r>
        <w:rPr>
          <w:rFonts w:hint="eastAsia" w:ascii="仿宋_GB2312" w:eastAsia="仿宋_GB2312"/>
          <w:bCs/>
          <w:color w:val="000000"/>
          <w:sz w:val="32"/>
          <w:szCs w:val="32"/>
        </w:rPr>
        <w:t>对检验结果有异议的，任务下达部门核查相关证据，能够证明原检验结果准确的，维持原检验结果；不能证明原检验结果准确，需要进行复检的，</w:t>
      </w:r>
      <w:bookmarkStart w:id="0" w:name="_GoBack"/>
      <w:bookmarkEnd w:id="0"/>
      <w:r>
        <w:rPr>
          <w:rFonts w:hint="eastAsia" w:ascii="仿宋_GB2312" w:eastAsia="仿宋_GB2312"/>
          <w:bCs/>
          <w:color w:val="000000"/>
          <w:sz w:val="32"/>
          <w:szCs w:val="32"/>
        </w:rPr>
        <w:t>由任务下达部门指定复检机构进行复检，复检结果为本次监督抽查最终结论。</w:t>
      </w:r>
    </w:p>
    <w:p>
      <w:pPr>
        <w:spacing w:line="570" w:lineRule="exact"/>
        <w:ind w:firstLine="560"/>
        <w:rPr>
          <w:rFonts w:ascii="仿宋_GB2312" w:eastAsia="仿宋_GB2312"/>
          <w:sz w:val="32"/>
          <w:szCs w:val="32"/>
        </w:rPr>
      </w:pPr>
      <w:r>
        <w:rPr>
          <w:rFonts w:hint="eastAsia" w:eastAsia="方正仿宋_GBK"/>
          <w:sz w:val="32"/>
          <w:szCs w:val="32"/>
        </w:rPr>
        <w:t>5.3</w:t>
      </w:r>
      <w:r>
        <w:rPr>
          <w:rFonts w:hint="eastAsia" w:ascii="仿宋_GB2312" w:eastAsia="仿宋_GB2312"/>
          <w:bCs/>
          <w:color w:val="000000"/>
          <w:sz w:val="32"/>
          <w:szCs w:val="32"/>
        </w:rPr>
        <w:t>对样品信息有异议的，任务下达部门核查样品确认情况和生产企业提交证明材料后，维持或者撤销原检验结果。</w:t>
      </w:r>
    </w:p>
    <w:sectPr>
      <w:headerReference r:id="rId3" w:type="default"/>
      <w:footerReference r:id="rId4" w:type="default"/>
      <w:pgSz w:w="11906" w:h="16838"/>
      <w:pgMar w:top="2098" w:right="1531" w:bottom="1985" w:left="1531" w:header="709" w:footer="1361"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Verdana">
    <w:altName w:val="Ubuntu Light"/>
    <w:panose1 w:val="020B0604030504040204"/>
    <w:charset w:val="00"/>
    <w:family w:val="swiss"/>
    <w:pitch w:val="default"/>
    <w:sig w:usb0="00000000" w:usb1="00000000" w:usb2="00000010" w:usb3="00000000" w:csb0="0000019F" w:csb1="00000000"/>
  </w:font>
  <w:font w:name="Ubuntu Light">
    <w:panose1 w:val="020B0604030602030204"/>
    <w:charset w:val="00"/>
    <w:family w:val="auto"/>
    <w:pitch w:val="default"/>
    <w:sig w:usb0="E00002FF" w:usb1="5000205B" w:usb2="00000000" w:usb3="00000000" w:csb0="2000009F" w:csb1="5601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2312">
    <w:altName w:val="方正仿宋_GBK"/>
    <w:panose1 w:val="00000000000000000000"/>
    <w:charset w:val="86"/>
    <w:family w:val="auto"/>
    <w:pitch w:val="default"/>
    <w:sig w:usb0="00000000" w:usb1="00000000" w:usb2="00000012"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汉仪中等线B5">
    <w:panose1 w:val="0101010401010101010B"/>
    <w:charset w:val="86"/>
    <w:family w:val="auto"/>
    <w:pitch w:val="default"/>
    <w:sig w:usb0="800000A3" w:usb1="00497878"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w:t>
    </w:r>
    <w:r>
      <w:t xml:space="preserve"> 3 -</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B23319"/>
    <w:rsid w:val="00000D90"/>
    <w:rsid w:val="0001130B"/>
    <w:rsid w:val="0002244E"/>
    <w:rsid w:val="00025CA2"/>
    <w:rsid w:val="00026854"/>
    <w:rsid w:val="00030067"/>
    <w:rsid w:val="00030FC7"/>
    <w:rsid w:val="000404D9"/>
    <w:rsid w:val="00041807"/>
    <w:rsid w:val="0004210C"/>
    <w:rsid w:val="00046ACB"/>
    <w:rsid w:val="00054A03"/>
    <w:rsid w:val="00056B96"/>
    <w:rsid w:val="000607FF"/>
    <w:rsid w:val="000615B0"/>
    <w:rsid w:val="00062664"/>
    <w:rsid w:val="00063F1E"/>
    <w:rsid w:val="0006746D"/>
    <w:rsid w:val="00067F88"/>
    <w:rsid w:val="00072AAC"/>
    <w:rsid w:val="00076376"/>
    <w:rsid w:val="00086D33"/>
    <w:rsid w:val="00094AB9"/>
    <w:rsid w:val="000A01F1"/>
    <w:rsid w:val="000A22D6"/>
    <w:rsid w:val="000B45BF"/>
    <w:rsid w:val="000C46FA"/>
    <w:rsid w:val="000D67A2"/>
    <w:rsid w:val="000E28CD"/>
    <w:rsid w:val="000E7636"/>
    <w:rsid w:val="000F0C7B"/>
    <w:rsid w:val="00127D80"/>
    <w:rsid w:val="00127E6B"/>
    <w:rsid w:val="00131787"/>
    <w:rsid w:val="001331D2"/>
    <w:rsid w:val="00134B9F"/>
    <w:rsid w:val="001361E2"/>
    <w:rsid w:val="00136EFA"/>
    <w:rsid w:val="00145921"/>
    <w:rsid w:val="00152358"/>
    <w:rsid w:val="0017102F"/>
    <w:rsid w:val="00172F78"/>
    <w:rsid w:val="00176623"/>
    <w:rsid w:val="0018019D"/>
    <w:rsid w:val="00184632"/>
    <w:rsid w:val="0019108D"/>
    <w:rsid w:val="00191944"/>
    <w:rsid w:val="00192377"/>
    <w:rsid w:val="001B370E"/>
    <w:rsid w:val="001B5C4F"/>
    <w:rsid w:val="001D4265"/>
    <w:rsid w:val="001D573A"/>
    <w:rsid w:val="001E0CBE"/>
    <w:rsid w:val="001E2538"/>
    <w:rsid w:val="001E2957"/>
    <w:rsid w:val="00202098"/>
    <w:rsid w:val="00206390"/>
    <w:rsid w:val="00210E02"/>
    <w:rsid w:val="002110A9"/>
    <w:rsid w:val="00211183"/>
    <w:rsid w:val="0021479A"/>
    <w:rsid w:val="00214889"/>
    <w:rsid w:val="00220C63"/>
    <w:rsid w:val="002216BE"/>
    <w:rsid w:val="002316AD"/>
    <w:rsid w:val="002328AB"/>
    <w:rsid w:val="002417DE"/>
    <w:rsid w:val="002426A3"/>
    <w:rsid w:val="00245240"/>
    <w:rsid w:val="0025037B"/>
    <w:rsid w:val="00252341"/>
    <w:rsid w:val="0026236F"/>
    <w:rsid w:val="0026368E"/>
    <w:rsid w:val="0026680C"/>
    <w:rsid w:val="00270494"/>
    <w:rsid w:val="00281075"/>
    <w:rsid w:val="002815A1"/>
    <w:rsid w:val="00282FA6"/>
    <w:rsid w:val="0028328A"/>
    <w:rsid w:val="002B5A20"/>
    <w:rsid w:val="002B6690"/>
    <w:rsid w:val="002C194B"/>
    <w:rsid w:val="002C1983"/>
    <w:rsid w:val="002C7E2D"/>
    <w:rsid w:val="002D0E83"/>
    <w:rsid w:val="002D171E"/>
    <w:rsid w:val="002D1E2B"/>
    <w:rsid w:val="002D4B27"/>
    <w:rsid w:val="002E0B2B"/>
    <w:rsid w:val="0031024B"/>
    <w:rsid w:val="0031094B"/>
    <w:rsid w:val="00323B78"/>
    <w:rsid w:val="00330047"/>
    <w:rsid w:val="00332F55"/>
    <w:rsid w:val="00335B99"/>
    <w:rsid w:val="00341E80"/>
    <w:rsid w:val="0035079C"/>
    <w:rsid w:val="003575C3"/>
    <w:rsid w:val="00360BB2"/>
    <w:rsid w:val="003656B5"/>
    <w:rsid w:val="003724C8"/>
    <w:rsid w:val="00373C5B"/>
    <w:rsid w:val="00384FD0"/>
    <w:rsid w:val="00391F14"/>
    <w:rsid w:val="003936D8"/>
    <w:rsid w:val="003A2DF8"/>
    <w:rsid w:val="003A351C"/>
    <w:rsid w:val="003C19E1"/>
    <w:rsid w:val="003C1F18"/>
    <w:rsid w:val="003C4765"/>
    <w:rsid w:val="003D28D3"/>
    <w:rsid w:val="003F3213"/>
    <w:rsid w:val="003F7F67"/>
    <w:rsid w:val="00434879"/>
    <w:rsid w:val="00436027"/>
    <w:rsid w:val="00446525"/>
    <w:rsid w:val="0045292F"/>
    <w:rsid w:val="00452A6F"/>
    <w:rsid w:val="004550E4"/>
    <w:rsid w:val="004574F0"/>
    <w:rsid w:val="00457CB9"/>
    <w:rsid w:val="00460692"/>
    <w:rsid w:val="004638DB"/>
    <w:rsid w:val="00466033"/>
    <w:rsid w:val="00482674"/>
    <w:rsid w:val="00486BD9"/>
    <w:rsid w:val="00486F04"/>
    <w:rsid w:val="004907A3"/>
    <w:rsid w:val="004A3289"/>
    <w:rsid w:val="004C1FB2"/>
    <w:rsid w:val="004C69FE"/>
    <w:rsid w:val="004D2E64"/>
    <w:rsid w:val="004E3BDD"/>
    <w:rsid w:val="004F1831"/>
    <w:rsid w:val="005017AD"/>
    <w:rsid w:val="00521A71"/>
    <w:rsid w:val="00525B6D"/>
    <w:rsid w:val="00535B5D"/>
    <w:rsid w:val="00537847"/>
    <w:rsid w:val="00537C80"/>
    <w:rsid w:val="00552CE9"/>
    <w:rsid w:val="00553599"/>
    <w:rsid w:val="005566CE"/>
    <w:rsid w:val="00557E0B"/>
    <w:rsid w:val="00567E85"/>
    <w:rsid w:val="00573442"/>
    <w:rsid w:val="005758F0"/>
    <w:rsid w:val="00580258"/>
    <w:rsid w:val="00581383"/>
    <w:rsid w:val="00592F1E"/>
    <w:rsid w:val="005953F6"/>
    <w:rsid w:val="005A08FC"/>
    <w:rsid w:val="005A3B63"/>
    <w:rsid w:val="005B4050"/>
    <w:rsid w:val="005B43E0"/>
    <w:rsid w:val="005C0BFD"/>
    <w:rsid w:val="005C69F1"/>
    <w:rsid w:val="005D3181"/>
    <w:rsid w:val="005E06BA"/>
    <w:rsid w:val="005E3523"/>
    <w:rsid w:val="005E4D8D"/>
    <w:rsid w:val="00602BFE"/>
    <w:rsid w:val="00610A6A"/>
    <w:rsid w:val="0061344B"/>
    <w:rsid w:val="00625212"/>
    <w:rsid w:val="00626AD4"/>
    <w:rsid w:val="00635A26"/>
    <w:rsid w:val="006361EE"/>
    <w:rsid w:val="00640709"/>
    <w:rsid w:val="00651C73"/>
    <w:rsid w:val="006538E9"/>
    <w:rsid w:val="006677AA"/>
    <w:rsid w:val="006729AA"/>
    <w:rsid w:val="0067557E"/>
    <w:rsid w:val="006812CD"/>
    <w:rsid w:val="00685DA2"/>
    <w:rsid w:val="0068716B"/>
    <w:rsid w:val="006A0116"/>
    <w:rsid w:val="006A2161"/>
    <w:rsid w:val="006A6E27"/>
    <w:rsid w:val="006A7525"/>
    <w:rsid w:val="006B7F21"/>
    <w:rsid w:val="006C019C"/>
    <w:rsid w:val="006D4694"/>
    <w:rsid w:val="006D60CF"/>
    <w:rsid w:val="006E1245"/>
    <w:rsid w:val="006E1C17"/>
    <w:rsid w:val="006F6A29"/>
    <w:rsid w:val="006F7E16"/>
    <w:rsid w:val="0070459D"/>
    <w:rsid w:val="0070590B"/>
    <w:rsid w:val="0070673A"/>
    <w:rsid w:val="0071192F"/>
    <w:rsid w:val="00712057"/>
    <w:rsid w:val="00713D13"/>
    <w:rsid w:val="00714032"/>
    <w:rsid w:val="0071435E"/>
    <w:rsid w:val="007225D8"/>
    <w:rsid w:val="00723BDE"/>
    <w:rsid w:val="00737577"/>
    <w:rsid w:val="00747916"/>
    <w:rsid w:val="007812FC"/>
    <w:rsid w:val="00781A96"/>
    <w:rsid w:val="007916D5"/>
    <w:rsid w:val="00791FF2"/>
    <w:rsid w:val="0079404B"/>
    <w:rsid w:val="007A2F04"/>
    <w:rsid w:val="007A3D31"/>
    <w:rsid w:val="007C2D64"/>
    <w:rsid w:val="007D0F61"/>
    <w:rsid w:val="007D59FD"/>
    <w:rsid w:val="007D6664"/>
    <w:rsid w:val="007E30C2"/>
    <w:rsid w:val="007F544A"/>
    <w:rsid w:val="008175E3"/>
    <w:rsid w:val="00821DED"/>
    <w:rsid w:val="00825D64"/>
    <w:rsid w:val="008265A2"/>
    <w:rsid w:val="00827D95"/>
    <w:rsid w:val="00833197"/>
    <w:rsid w:val="008337E3"/>
    <w:rsid w:val="00836118"/>
    <w:rsid w:val="00836B72"/>
    <w:rsid w:val="00837AFB"/>
    <w:rsid w:val="00841625"/>
    <w:rsid w:val="00845D00"/>
    <w:rsid w:val="0085178A"/>
    <w:rsid w:val="008613BF"/>
    <w:rsid w:val="00870BF4"/>
    <w:rsid w:val="008721AC"/>
    <w:rsid w:val="00873CEB"/>
    <w:rsid w:val="0087614B"/>
    <w:rsid w:val="008767BE"/>
    <w:rsid w:val="00885003"/>
    <w:rsid w:val="00887355"/>
    <w:rsid w:val="00894EC2"/>
    <w:rsid w:val="0089545E"/>
    <w:rsid w:val="008976ED"/>
    <w:rsid w:val="008A51C5"/>
    <w:rsid w:val="008C62D3"/>
    <w:rsid w:val="008D0104"/>
    <w:rsid w:val="008E0704"/>
    <w:rsid w:val="008E7310"/>
    <w:rsid w:val="008E788F"/>
    <w:rsid w:val="0090547C"/>
    <w:rsid w:val="00906501"/>
    <w:rsid w:val="00911B05"/>
    <w:rsid w:val="009309F7"/>
    <w:rsid w:val="009327B9"/>
    <w:rsid w:val="00941390"/>
    <w:rsid w:val="0094619E"/>
    <w:rsid w:val="00946DA2"/>
    <w:rsid w:val="00950A37"/>
    <w:rsid w:val="00956C7E"/>
    <w:rsid w:val="0095704C"/>
    <w:rsid w:val="00960C2C"/>
    <w:rsid w:val="00961FB4"/>
    <w:rsid w:val="009622EA"/>
    <w:rsid w:val="009700DE"/>
    <w:rsid w:val="00971D5E"/>
    <w:rsid w:val="009803A1"/>
    <w:rsid w:val="00981501"/>
    <w:rsid w:val="0098489E"/>
    <w:rsid w:val="00986116"/>
    <w:rsid w:val="00993DC3"/>
    <w:rsid w:val="009945AB"/>
    <w:rsid w:val="00996C6C"/>
    <w:rsid w:val="009A4B42"/>
    <w:rsid w:val="009A51EE"/>
    <w:rsid w:val="009B0ACD"/>
    <w:rsid w:val="009B281B"/>
    <w:rsid w:val="009B30EB"/>
    <w:rsid w:val="009C696C"/>
    <w:rsid w:val="009D04F0"/>
    <w:rsid w:val="009D1F66"/>
    <w:rsid w:val="009D4C29"/>
    <w:rsid w:val="009E13EF"/>
    <w:rsid w:val="009F570E"/>
    <w:rsid w:val="009F622A"/>
    <w:rsid w:val="00A00C69"/>
    <w:rsid w:val="00A23036"/>
    <w:rsid w:val="00A23E55"/>
    <w:rsid w:val="00A30CB4"/>
    <w:rsid w:val="00A40F2C"/>
    <w:rsid w:val="00A5051A"/>
    <w:rsid w:val="00A81E4D"/>
    <w:rsid w:val="00A85146"/>
    <w:rsid w:val="00A91BE3"/>
    <w:rsid w:val="00AA61A4"/>
    <w:rsid w:val="00AB2A2A"/>
    <w:rsid w:val="00AB4E2D"/>
    <w:rsid w:val="00AB75DF"/>
    <w:rsid w:val="00AD05AC"/>
    <w:rsid w:val="00AD76F5"/>
    <w:rsid w:val="00AE1EFC"/>
    <w:rsid w:val="00AE32F2"/>
    <w:rsid w:val="00AF64D5"/>
    <w:rsid w:val="00B061D5"/>
    <w:rsid w:val="00B11192"/>
    <w:rsid w:val="00B143B9"/>
    <w:rsid w:val="00B148B2"/>
    <w:rsid w:val="00B20E1F"/>
    <w:rsid w:val="00B23319"/>
    <w:rsid w:val="00B35AFF"/>
    <w:rsid w:val="00B41EE8"/>
    <w:rsid w:val="00B43E44"/>
    <w:rsid w:val="00B55165"/>
    <w:rsid w:val="00B55224"/>
    <w:rsid w:val="00B6292E"/>
    <w:rsid w:val="00B63EDE"/>
    <w:rsid w:val="00B75878"/>
    <w:rsid w:val="00B8300A"/>
    <w:rsid w:val="00B970C1"/>
    <w:rsid w:val="00B978B8"/>
    <w:rsid w:val="00BF6E4B"/>
    <w:rsid w:val="00C10D63"/>
    <w:rsid w:val="00C152A4"/>
    <w:rsid w:val="00C224F6"/>
    <w:rsid w:val="00C2380B"/>
    <w:rsid w:val="00C26DF9"/>
    <w:rsid w:val="00C32493"/>
    <w:rsid w:val="00C5064B"/>
    <w:rsid w:val="00C530F8"/>
    <w:rsid w:val="00C56445"/>
    <w:rsid w:val="00C606CA"/>
    <w:rsid w:val="00C630B8"/>
    <w:rsid w:val="00C65F3B"/>
    <w:rsid w:val="00C6632F"/>
    <w:rsid w:val="00C66E77"/>
    <w:rsid w:val="00C729E0"/>
    <w:rsid w:val="00C81BDA"/>
    <w:rsid w:val="00C8358B"/>
    <w:rsid w:val="00C86069"/>
    <w:rsid w:val="00C87AA0"/>
    <w:rsid w:val="00C9481E"/>
    <w:rsid w:val="00CA2460"/>
    <w:rsid w:val="00CA5F16"/>
    <w:rsid w:val="00CB1737"/>
    <w:rsid w:val="00CC4233"/>
    <w:rsid w:val="00CC4784"/>
    <w:rsid w:val="00CC6522"/>
    <w:rsid w:val="00CD23CA"/>
    <w:rsid w:val="00CD39B3"/>
    <w:rsid w:val="00CE391D"/>
    <w:rsid w:val="00CE41FA"/>
    <w:rsid w:val="00CE6DB4"/>
    <w:rsid w:val="00CF02E1"/>
    <w:rsid w:val="00CF54F8"/>
    <w:rsid w:val="00D01FC2"/>
    <w:rsid w:val="00D06152"/>
    <w:rsid w:val="00D06BC8"/>
    <w:rsid w:val="00D10F37"/>
    <w:rsid w:val="00D34E28"/>
    <w:rsid w:val="00D351FB"/>
    <w:rsid w:val="00D35ED2"/>
    <w:rsid w:val="00D367BD"/>
    <w:rsid w:val="00D36C7E"/>
    <w:rsid w:val="00D43255"/>
    <w:rsid w:val="00D5292A"/>
    <w:rsid w:val="00D536EB"/>
    <w:rsid w:val="00D624F0"/>
    <w:rsid w:val="00D71785"/>
    <w:rsid w:val="00D74CD7"/>
    <w:rsid w:val="00DA298F"/>
    <w:rsid w:val="00DA6AE4"/>
    <w:rsid w:val="00DB4A0A"/>
    <w:rsid w:val="00DB698E"/>
    <w:rsid w:val="00DD2A41"/>
    <w:rsid w:val="00DE3685"/>
    <w:rsid w:val="00DF3C01"/>
    <w:rsid w:val="00E031F9"/>
    <w:rsid w:val="00E20638"/>
    <w:rsid w:val="00E20692"/>
    <w:rsid w:val="00E23FB4"/>
    <w:rsid w:val="00E272CE"/>
    <w:rsid w:val="00E30472"/>
    <w:rsid w:val="00E518C3"/>
    <w:rsid w:val="00E53A97"/>
    <w:rsid w:val="00E54496"/>
    <w:rsid w:val="00E74E6E"/>
    <w:rsid w:val="00E76CD6"/>
    <w:rsid w:val="00E8032B"/>
    <w:rsid w:val="00E83123"/>
    <w:rsid w:val="00E91F83"/>
    <w:rsid w:val="00E93A64"/>
    <w:rsid w:val="00E96E83"/>
    <w:rsid w:val="00EA0B3B"/>
    <w:rsid w:val="00EA13D3"/>
    <w:rsid w:val="00EB00C7"/>
    <w:rsid w:val="00EE2AA1"/>
    <w:rsid w:val="00EF478E"/>
    <w:rsid w:val="00EF5F33"/>
    <w:rsid w:val="00F10DCD"/>
    <w:rsid w:val="00F14F1F"/>
    <w:rsid w:val="00F16DF8"/>
    <w:rsid w:val="00F20A60"/>
    <w:rsid w:val="00F20E1F"/>
    <w:rsid w:val="00F21761"/>
    <w:rsid w:val="00F24352"/>
    <w:rsid w:val="00F25FF1"/>
    <w:rsid w:val="00F269EA"/>
    <w:rsid w:val="00F2772D"/>
    <w:rsid w:val="00F71EF0"/>
    <w:rsid w:val="00F80931"/>
    <w:rsid w:val="00F964CB"/>
    <w:rsid w:val="00FA1644"/>
    <w:rsid w:val="00FB4044"/>
    <w:rsid w:val="00FB491F"/>
    <w:rsid w:val="00FB4A92"/>
    <w:rsid w:val="00FB76A5"/>
    <w:rsid w:val="00FC55FE"/>
    <w:rsid w:val="00FC5A64"/>
    <w:rsid w:val="00FC66AE"/>
    <w:rsid w:val="00FC72A0"/>
    <w:rsid w:val="00FD2AB8"/>
    <w:rsid w:val="00FE12A1"/>
    <w:rsid w:val="00FF0ECF"/>
    <w:rsid w:val="00FF2EF5"/>
    <w:rsid w:val="00FF6D5D"/>
    <w:rsid w:val="016533AB"/>
    <w:rsid w:val="017066A4"/>
    <w:rsid w:val="01AF66F5"/>
    <w:rsid w:val="01D733CC"/>
    <w:rsid w:val="01ED3C51"/>
    <w:rsid w:val="020A50C9"/>
    <w:rsid w:val="02693A80"/>
    <w:rsid w:val="02B37899"/>
    <w:rsid w:val="02BB77E4"/>
    <w:rsid w:val="03776577"/>
    <w:rsid w:val="04205B7A"/>
    <w:rsid w:val="04C6640E"/>
    <w:rsid w:val="04E162DB"/>
    <w:rsid w:val="056836DC"/>
    <w:rsid w:val="056B55C9"/>
    <w:rsid w:val="057847EE"/>
    <w:rsid w:val="065C6843"/>
    <w:rsid w:val="06DA5E26"/>
    <w:rsid w:val="07103966"/>
    <w:rsid w:val="07EC567A"/>
    <w:rsid w:val="0806125E"/>
    <w:rsid w:val="08414162"/>
    <w:rsid w:val="095538B5"/>
    <w:rsid w:val="0A042AF5"/>
    <w:rsid w:val="0A0D1476"/>
    <w:rsid w:val="0A721AE4"/>
    <w:rsid w:val="0AB55C23"/>
    <w:rsid w:val="0B0D6838"/>
    <w:rsid w:val="0B7E733B"/>
    <w:rsid w:val="0BB258C6"/>
    <w:rsid w:val="0C300AF9"/>
    <w:rsid w:val="0E916078"/>
    <w:rsid w:val="0EDD5800"/>
    <w:rsid w:val="10356DF2"/>
    <w:rsid w:val="108D33E7"/>
    <w:rsid w:val="10EE044E"/>
    <w:rsid w:val="11A05BB5"/>
    <w:rsid w:val="11CA7BFF"/>
    <w:rsid w:val="12197CB0"/>
    <w:rsid w:val="121B5F5C"/>
    <w:rsid w:val="12480A15"/>
    <w:rsid w:val="12F93CA3"/>
    <w:rsid w:val="137A6790"/>
    <w:rsid w:val="13BB0BE6"/>
    <w:rsid w:val="14987A16"/>
    <w:rsid w:val="149B6BF0"/>
    <w:rsid w:val="14E1570A"/>
    <w:rsid w:val="15705885"/>
    <w:rsid w:val="15A93B45"/>
    <w:rsid w:val="1670520E"/>
    <w:rsid w:val="16F11C88"/>
    <w:rsid w:val="17F13D2F"/>
    <w:rsid w:val="183660B4"/>
    <w:rsid w:val="18856C25"/>
    <w:rsid w:val="19E21628"/>
    <w:rsid w:val="1A7A7A29"/>
    <w:rsid w:val="1A7B7DF9"/>
    <w:rsid w:val="1B7E5CCF"/>
    <w:rsid w:val="1B925356"/>
    <w:rsid w:val="1B9B174A"/>
    <w:rsid w:val="1BD20A61"/>
    <w:rsid w:val="1BEE480C"/>
    <w:rsid w:val="1C0F7B0E"/>
    <w:rsid w:val="1C2472F6"/>
    <w:rsid w:val="1C2B02C8"/>
    <w:rsid w:val="1C5965DD"/>
    <w:rsid w:val="1DC51EE2"/>
    <w:rsid w:val="1DF42E4D"/>
    <w:rsid w:val="1E993A75"/>
    <w:rsid w:val="1EA76EE9"/>
    <w:rsid w:val="1EF062B0"/>
    <w:rsid w:val="1F62074F"/>
    <w:rsid w:val="1F9066AC"/>
    <w:rsid w:val="1F9FFA23"/>
    <w:rsid w:val="1FD1349E"/>
    <w:rsid w:val="20717A70"/>
    <w:rsid w:val="20D32E77"/>
    <w:rsid w:val="21014B41"/>
    <w:rsid w:val="2128584D"/>
    <w:rsid w:val="216270A9"/>
    <w:rsid w:val="21B324AE"/>
    <w:rsid w:val="21E41646"/>
    <w:rsid w:val="229175B6"/>
    <w:rsid w:val="22947508"/>
    <w:rsid w:val="22F96045"/>
    <w:rsid w:val="235B4756"/>
    <w:rsid w:val="23E95402"/>
    <w:rsid w:val="2419770F"/>
    <w:rsid w:val="24850715"/>
    <w:rsid w:val="24CC3C09"/>
    <w:rsid w:val="25420AA1"/>
    <w:rsid w:val="256C7940"/>
    <w:rsid w:val="25D15342"/>
    <w:rsid w:val="26276F08"/>
    <w:rsid w:val="26556C3D"/>
    <w:rsid w:val="268C140C"/>
    <w:rsid w:val="26994EF2"/>
    <w:rsid w:val="26F04C32"/>
    <w:rsid w:val="27CB6FE1"/>
    <w:rsid w:val="27F67D1D"/>
    <w:rsid w:val="27FF7565"/>
    <w:rsid w:val="28727364"/>
    <w:rsid w:val="28FC6790"/>
    <w:rsid w:val="2900197C"/>
    <w:rsid w:val="29796611"/>
    <w:rsid w:val="2ADC0CAD"/>
    <w:rsid w:val="2B47788F"/>
    <w:rsid w:val="2BC543F4"/>
    <w:rsid w:val="2BCB1A43"/>
    <w:rsid w:val="2BD43190"/>
    <w:rsid w:val="2CE10710"/>
    <w:rsid w:val="2CE85F5A"/>
    <w:rsid w:val="2D7E3D18"/>
    <w:rsid w:val="2DDD3326"/>
    <w:rsid w:val="2F45627A"/>
    <w:rsid w:val="2F6949FE"/>
    <w:rsid w:val="2FB87DE1"/>
    <w:rsid w:val="2FEC59DE"/>
    <w:rsid w:val="303A6BC9"/>
    <w:rsid w:val="31607A94"/>
    <w:rsid w:val="31C50242"/>
    <w:rsid w:val="325469A5"/>
    <w:rsid w:val="326B5648"/>
    <w:rsid w:val="32975988"/>
    <w:rsid w:val="32F44C3D"/>
    <w:rsid w:val="341F632A"/>
    <w:rsid w:val="34D668DD"/>
    <w:rsid w:val="354B0A39"/>
    <w:rsid w:val="35640483"/>
    <w:rsid w:val="3576772B"/>
    <w:rsid w:val="35CB55CA"/>
    <w:rsid w:val="35D858AF"/>
    <w:rsid w:val="35DF2F12"/>
    <w:rsid w:val="36536EAE"/>
    <w:rsid w:val="36543527"/>
    <w:rsid w:val="37DF02C6"/>
    <w:rsid w:val="383F0E1F"/>
    <w:rsid w:val="387D660E"/>
    <w:rsid w:val="388D05E7"/>
    <w:rsid w:val="39613CE9"/>
    <w:rsid w:val="39ED4E5D"/>
    <w:rsid w:val="3A00193B"/>
    <w:rsid w:val="3A5D6FC0"/>
    <w:rsid w:val="3A6173C2"/>
    <w:rsid w:val="3AAC01AC"/>
    <w:rsid w:val="3B0A72A6"/>
    <w:rsid w:val="3B8A754C"/>
    <w:rsid w:val="3B8B0275"/>
    <w:rsid w:val="3BAA1AEF"/>
    <w:rsid w:val="3C563907"/>
    <w:rsid w:val="3C927782"/>
    <w:rsid w:val="3CDB3B76"/>
    <w:rsid w:val="3CE339D8"/>
    <w:rsid w:val="3D18652D"/>
    <w:rsid w:val="3D994A3B"/>
    <w:rsid w:val="3DB84502"/>
    <w:rsid w:val="3E8D1E58"/>
    <w:rsid w:val="3EA7114B"/>
    <w:rsid w:val="3EFA3D39"/>
    <w:rsid w:val="3F2C269F"/>
    <w:rsid w:val="3F2D41C8"/>
    <w:rsid w:val="3F62719B"/>
    <w:rsid w:val="3FCD1079"/>
    <w:rsid w:val="3FFFC097"/>
    <w:rsid w:val="41007258"/>
    <w:rsid w:val="414016F7"/>
    <w:rsid w:val="416D009A"/>
    <w:rsid w:val="41C2308A"/>
    <w:rsid w:val="42AC12DF"/>
    <w:rsid w:val="4403385A"/>
    <w:rsid w:val="4687279B"/>
    <w:rsid w:val="47B757C1"/>
    <w:rsid w:val="48863E0A"/>
    <w:rsid w:val="490833CF"/>
    <w:rsid w:val="49704E95"/>
    <w:rsid w:val="49D4419C"/>
    <w:rsid w:val="49F77EC3"/>
    <w:rsid w:val="4A061877"/>
    <w:rsid w:val="4A7529A2"/>
    <w:rsid w:val="4AE616BD"/>
    <w:rsid w:val="4AFB0A4E"/>
    <w:rsid w:val="4C471AF3"/>
    <w:rsid w:val="4C9E737C"/>
    <w:rsid w:val="4D07469E"/>
    <w:rsid w:val="4D461029"/>
    <w:rsid w:val="4D871B90"/>
    <w:rsid w:val="4DE67177"/>
    <w:rsid w:val="4E104C11"/>
    <w:rsid w:val="4E2A06D6"/>
    <w:rsid w:val="4E342AE4"/>
    <w:rsid w:val="4E49147A"/>
    <w:rsid w:val="4F1C522C"/>
    <w:rsid w:val="4F973E7F"/>
    <w:rsid w:val="509F6F98"/>
    <w:rsid w:val="50B15F4E"/>
    <w:rsid w:val="51791AA0"/>
    <w:rsid w:val="51975186"/>
    <w:rsid w:val="5217107E"/>
    <w:rsid w:val="524F3FFB"/>
    <w:rsid w:val="52816145"/>
    <w:rsid w:val="528C7FEF"/>
    <w:rsid w:val="53354E63"/>
    <w:rsid w:val="538F1A33"/>
    <w:rsid w:val="539861E6"/>
    <w:rsid w:val="53B31126"/>
    <w:rsid w:val="542D7F38"/>
    <w:rsid w:val="54633D11"/>
    <w:rsid w:val="54661FE4"/>
    <w:rsid w:val="55142EB5"/>
    <w:rsid w:val="568E4BB1"/>
    <w:rsid w:val="56FB1310"/>
    <w:rsid w:val="57F36F9A"/>
    <w:rsid w:val="58243433"/>
    <w:rsid w:val="5834492C"/>
    <w:rsid w:val="583771DE"/>
    <w:rsid w:val="58B84658"/>
    <w:rsid w:val="590234F2"/>
    <w:rsid w:val="594A04F0"/>
    <w:rsid w:val="597A213B"/>
    <w:rsid w:val="59920975"/>
    <w:rsid w:val="59B3074A"/>
    <w:rsid w:val="59BB4699"/>
    <w:rsid w:val="5A283D64"/>
    <w:rsid w:val="5A4022F8"/>
    <w:rsid w:val="5AFA12CC"/>
    <w:rsid w:val="5B0603A1"/>
    <w:rsid w:val="5B775815"/>
    <w:rsid w:val="5BC83D82"/>
    <w:rsid w:val="5C1C6367"/>
    <w:rsid w:val="5C6C2081"/>
    <w:rsid w:val="5C913A01"/>
    <w:rsid w:val="5CE9053B"/>
    <w:rsid w:val="5E3A104D"/>
    <w:rsid w:val="5E74240F"/>
    <w:rsid w:val="5E904A7B"/>
    <w:rsid w:val="5F092E3E"/>
    <w:rsid w:val="60582906"/>
    <w:rsid w:val="607D3E4C"/>
    <w:rsid w:val="608D41D9"/>
    <w:rsid w:val="60C33095"/>
    <w:rsid w:val="6185683E"/>
    <w:rsid w:val="62563D7B"/>
    <w:rsid w:val="63021BA8"/>
    <w:rsid w:val="63074E55"/>
    <w:rsid w:val="630A243D"/>
    <w:rsid w:val="640E4E21"/>
    <w:rsid w:val="642D5E74"/>
    <w:rsid w:val="647C2EF6"/>
    <w:rsid w:val="648A7D50"/>
    <w:rsid w:val="648F40E9"/>
    <w:rsid w:val="64BB14E6"/>
    <w:rsid w:val="64C47C99"/>
    <w:rsid w:val="64D97F88"/>
    <w:rsid w:val="65682C45"/>
    <w:rsid w:val="65846AED"/>
    <w:rsid w:val="65E372CD"/>
    <w:rsid w:val="66277C26"/>
    <w:rsid w:val="66294AE5"/>
    <w:rsid w:val="68906B4E"/>
    <w:rsid w:val="68A9143F"/>
    <w:rsid w:val="698E36B9"/>
    <w:rsid w:val="69B707BE"/>
    <w:rsid w:val="69C51212"/>
    <w:rsid w:val="6A08309F"/>
    <w:rsid w:val="6A6B6D42"/>
    <w:rsid w:val="6AB447A0"/>
    <w:rsid w:val="6AC6674A"/>
    <w:rsid w:val="6B1D2762"/>
    <w:rsid w:val="6BF41341"/>
    <w:rsid w:val="6CC51FBB"/>
    <w:rsid w:val="6CF4451F"/>
    <w:rsid w:val="6D350EDC"/>
    <w:rsid w:val="6D7672B6"/>
    <w:rsid w:val="6DA325F9"/>
    <w:rsid w:val="6DCD6F07"/>
    <w:rsid w:val="6E2B0937"/>
    <w:rsid w:val="6F075254"/>
    <w:rsid w:val="6F554AEA"/>
    <w:rsid w:val="6F9540E9"/>
    <w:rsid w:val="6FBB9A0B"/>
    <w:rsid w:val="6FF769AA"/>
    <w:rsid w:val="701B1493"/>
    <w:rsid w:val="705F69D3"/>
    <w:rsid w:val="7067206D"/>
    <w:rsid w:val="714535C5"/>
    <w:rsid w:val="71FC0FB1"/>
    <w:rsid w:val="72616F80"/>
    <w:rsid w:val="72F2089E"/>
    <w:rsid w:val="734350A8"/>
    <w:rsid w:val="735B235F"/>
    <w:rsid w:val="73B44D96"/>
    <w:rsid w:val="745463AC"/>
    <w:rsid w:val="75430823"/>
    <w:rsid w:val="7567100D"/>
    <w:rsid w:val="760C033F"/>
    <w:rsid w:val="76131F66"/>
    <w:rsid w:val="76264BB4"/>
    <w:rsid w:val="762C03C6"/>
    <w:rsid w:val="77573C5D"/>
    <w:rsid w:val="77604877"/>
    <w:rsid w:val="778D6ACB"/>
    <w:rsid w:val="781F55FF"/>
    <w:rsid w:val="782A542E"/>
    <w:rsid w:val="78760398"/>
    <w:rsid w:val="78A01947"/>
    <w:rsid w:val="79237CCE"/>
    <w:rsid w:val="79AD038B"/>
    <w:rsid w:val="7A6A64EE"/>
    <w:rsid w:val="7B5A783B"/>
    <w:rsid w:val="7B932823"/>
    <w:rsid w:val="7B9A28A2"/>
    <w:rsid w:val="7BF02378"/>
    <w:rsid w:val="7C0D1FF9"/>
    <w:rsid w:val="7CC5504D"/>
    <w:rsid w:val="7CFEB3BD"/>
    <w:rsid w:val="7D0E5AA8"/>
    <w:rsid w:val="7D395B88"/>
    <w:rsid w:val="7D527565"/>
    <w:rsid w:val="7E11763D"/>
    <w:rsid w:val="7E657E86"/>
    <w:rsid w:val="7EDE3ED2"/>
    <w:rsid w:val="7EF75476"/>
    <w:rsid w:val="7F030C71"/>
    <w:rsid w:val="7F206281"/>
    <w:rsid w:val="7F3942E4"/>
    <w:rsid w:val="7FAF531C"/>
    <w:rsid w:val="7FEF249F"/>
    <w:rsid w:val="FDD7EC52"/>
    <w:rsid w:val="FF5B33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ind w:firstLine="200" w:firstLineChars="200"/>
      <w:outlineLvl w:val="0"/>
    </w:pPr>
    <w:rPr>
      <w:rFonts w:ascii="宋体" w:hAnsi="宋体" w:eastAsia="黑体"/>
      <w:b/>
      <w:color w:val="000000"/>
      <w:kern w:val="44"/>
      <w:sz w:val="32"/>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4">
    <w:name w:val="annotation text"/>
    <w:basedOn w:val="1"/>
    <w:qFormat/>
    <w:uiPriority w:val="0"/>
    <w:pPr>
      <w:jc w:val="left"/>
    </w:pPr>
  </w:style>
  <w:style w:type="paragraph" w:styleId="5">
    <w:name w:val="Balloon Text"/>
    <w:basedOn w:val="1"/>
    <w:link w:val="16"/>
    <w:qFormat/>
    <w:uiPriority w:val="0"/>
    <w:rPr>
      <w:sz w:val="18"/>
      <w:szCs w:val="18"/>
    </w:rPr>
  </w:style>
  <w:style w:type="paragraph" w:styleId="6">
    <w:name w:val="footer"/>
    <w:basedOn w:val="1"/>
    <w:link w:val="17"/>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8"/>
    <w:qFormat/>
    <w:uiPriority w:val="0"/>
    <w:pPr>
      <w:jc w:val="left"/>
    </w:pPr>
    <w:rPr>
      <w:rFonts w:ascii="宋体" w:hAnsi="宋体"/>
      <w:kern w:val="0"/>
      <w:sz w:val="24"/>
    </w:rPr>
  </w:style>
  <w:style w:type="paragraph" w:styleId="9">
    <w:name w:val="Normal (Web)"/>
    <w:basedOn w:val="1"/>
    <w:qFormat/>
    <w:uiPriority w:val="99"/>
    <w:pPr>
      <w:spacing w:before="100" w:beforeAutospacing="1" w:after="100" w:afterAutospacing="1"/>
      <w:jc w:val="left"/>
    </w:pPr>
    <w:rPr>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qFormat/>
    <w:uiPriority w:val="0"/>
    <w:rPr>
      <w:color w:val="00A7D8"/>
      <w:u w:val="none"/>
    </w:rPr>
  </w:style>
  <w:style w:type="character" w:styleId="15">
    <w:name w:val="Hyperlink"/>
    <w:qFormat/>
    <w:uiPriority w:val="0"/>
    <w:rPr>
      <w:color w:val="444444"/>
      <w:u w:val="none"/>
    </w:rPr>
  </w:style>
  <w:style w:type="character" w:customStyle="1" w:styleId="16">
    <w:name w:val="批注框文本 Char"/>
    <w:link w:val="5"/>
    <w:qFormat/>
    <w:uiPriority w:val="0"/>
    <w:rPr>
      <w:kern w:val="2"/>
      <w:sz w:val="18"/>
      <w:szCs w:val="18"/>
    </w:rPr>
  </w:style>
  <w:style w:type="character" w:customStyle="1" w:styleId="17">
    <w:name w:val="页脚 Char"/>
    <w:link w:val="6"/>
    <w:qFormat/>
    <w:uiPriority w:val="99"/>
    <w:rPr>
      <w:kern w:val="2"/>
      <w:sz w:val="18"/>
      <w:szCs w:val="18"/>
    </w:rPr>
  </w:style>
  <w:style w:type="character" w:customStyle="1" w:styleId="18">
    <w:name w:val="HTML 预设格式 Char"/>
    <w:link w:val="8"/>
    <w:qFormat/>
    <w:uiPriority w:val="0"/>
    <w:rPr>
      <w:rFonts w:ascii="宋体" w:hAnsi="宋体"/>
      <w:sz w:val="24"/>
      <w:szCs w:val="24"/>
    </w:rPr>
  </w:style>
  <w:style w:type="paragraph" w:customStyle="1" w:styleId="19">
    <w:name w:val="Table Paragraph"/>
    <w:basedOn w:val="1"/>
    <w:qFormat/>
    <w:uiPriority w:val="1"/>
    <w:rPr>
      <w:rFonts w:ascii="宋体" w:hAnsi="宋体" w:cs="宋体"/>
      <w:lang w:val="zh-CN" w:bidi="zh-CN"/>
    </w:rPr>
  </w:style>
  <w:style w:type="paragraph" w:customStyle="1" w:styleId="20">
    <w:name w:val="Char"/>
    <w:basedOn w:val="1"/>
    <w:qFormat/>
    <w:uiPriority w:val="0"/>
    <w:pPr>
      <w:widowControl/>
      <w:spacing w:after="160" w:line="240" w:lineRule="exact"/>
      <w:jc w:val="left"/>
    </w:pPr>
    <w:rPr>
      <w:rFonts w:ascii="Verdana" w:hAnsi="Verdana"/>
      <w:kern w:val="0"/>
      <w:sz w:val="18"/>
      <w:szCs w:val="20"/>
      <w:lang w:eastAsia="en-US"/>
    </w:rPr>
  </w:style>
  <w:style w:type="paragraph" w:customStyle="1" w:styleId="21">
    <w:name w:val="正文+宋体"/>
    <w:basedOn w:val="1"/>
    <w:qFormat/>
    <w:uiPriority w:val="0"/>
  </w:style>
  <w:style w:type="paragraph" w:customStyle="1" w:styleId="22">
    <w:name w:val="段"/>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szCs w:val="22"/>
      <w:lang w:val="en-US" w:eastAsia="zh-CN" w:bidi="ar-SA"/>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4">
    <w:name w:val="正文 + (西文) Times New Roman"/>
    <w:basedOn w:val="9"/>
    <w:link w:val="25"/>
    <w:qFormat/>
    <w:uiPriority w:val="99"/>
    <w:pPr>
      <w:widowControl/>
      <w:spacing w:line="360" w:lineRule="auto"/>
      <w:ind w:firstLine="560" w:firstLineChars="200"/>
    </w:pPr>
    <w:rPr>
      <w:rFonts w:ascii="仿宋_GB2312" w:hAnsi="宋体" w:eastAsia="仿宋_GB2312"/>
      <w:color w:val="000000"/>
      <w:sz w:val="28"/>
      <w:szCs w:val="28"/>
    </w:rPr>
  </w:style>
  <w:style w:type="character" w:customStyle="1" w:styleId="25">
    <w:name w:val="正文 + (西文) Times New Roman Char"/>
    <w:link w:val="24"/>
    <w:qFormat/>
    <w:uiPriority w:val="99"/>
    <w:rPr>
      <w:rFonts w:ascii="仿宋_GB2312" w:hAnsi="宋体" w:eastAsia="仿宋_GB2312" w:cs="仿宋_GB2312"/>
      <w:color w:val="00000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169</Words>
  <Characters>965</Characters>
  <Lines>8</Lines>
  <Paragraphs>2</Paragraphs>
  <TotalTime>27</TotalTime>
  <ScaleCrop>false</ScaleCrop>
  <LinksUpToDate>false</LinksUpToDate>
  <CharactersWithSpaces>1132</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2025-11-26T10:41:00Z</dcterms:created>
  <dc:creator>cj_wong</dc:creator>
  <cp:lastModifiedBy>kylin</cp:lastModifiedBy>
  <cp:lastPrinted>2020-01-11T10:23:00Z</cp:lastPrinted>
  <dcterms:modified xsi:type="dcterms:W3CDTF">2026-01-20T09:41:14Z</dcterms:modified>
  <dc:title>XXXX年第X批风险监测实施方案</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9ECB6B72A82A78013FE93769F2617C81_43</vt:lpwstr>
  </property>
  <property fmtid="{D5CDD505-2E9C-101B-9397-08002B2CF9AE}" pid="4" name="KSOTemplateDocerSaveRecord">
    <vt:lpwstr>eyJoZGlkIjoiOGQxYmYxODg3MGVmODdhZDczYjA0NjhlZWQ4YjY4ZDYiLCJ1c2VySWQiOiIxMjAxNjEzMzM0In0=</vt:lpwstr>
  </property>
</Properties>
</file>